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YLZB-G2018</w:t>
      </w:r>
      <w:r>
        <w:rPr>
          <w:rFonts w:hint="eastAsia" w:asciiTheme="majorEastAsia" w:hAnsiTheme="majorEastAsia" w:eastAsiaTheme="majorEastAsia" w:cstheme="majorEastAsia"/>
          <w:b/>
          <w:bCs/>
          <w:color w:val="000000"/>
          <w:sz w:val="44"/>
          <w:szCs w:val="44"/>
          <w:lang w:val="en-US" w:eastAsia="zh-CN"/>
        </w:rPr>
        <w:t>047</w:t>
      </w:r>
      <w:r>
        <w:rPr>
          <w:rFonts w:hint="eastAsia" w:asciiTheme="majorEastAsia" w:hAnsiTheme="majorEastAsia" w:eastAsiaTheme="majorEastAsia" w:cstheme="majorEastAsia"/>
          <w:b/>
          <w:bCs/>
          <w:color w:val="000000"/>
          <w:sz w:val="44"/>
          <w:szCs w:val="44"/>
        </w:rPr>
        <w:t>号</w:t>
      </w:r>
      <w:bookmarkStart w:id="0" w:name="_Hlk517774989"/>
      <w:r>
        <w:rPr>
          <w:rFonts w:hint="eastAsia" w:asciiTheme="majorEastAsia" w:hAnsiTheme="majorEastAsia" w:eastAsiaTheme="majorEastAsia" w:cstheme="majorEastAsia"/>
          <w:b/>
          <w:bCs/>
          <w:color w:val="000000"/>
          <w:sz w:val="44"/>
          <w:szCs w:val="44"/>
          <w:lang w:eastAsia="zh-CN"/>
        </w:rPr>
        <w:t>长葛市人民医院“高强度聚焦超声肿瘤治疗系统医疗设备采购”项目</w:t>
      </w:r>
    </w:p>
    <w:bookmarkEnd w:id="0"/>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047</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长葛市人民医院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val="en-US" w:eastAsia="zh-CN"/>
        </w:rPr>
        <w:t>八</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长葛市人民医院“高强度聚焦超声肿瘤治疗系统医疗设备采购”项目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eastAsia="zh-CN"/>
        </w:rPr>
        <w:t>YLZB-G2018</w:t>
      </w:r>
      <w:r>
        <w:rPr>
          <w:rFonts w:hint="eastAsia" w:cs="仿宋_GB2312" w:asciiTheme="minorEastAsia" w:hAnsiTheme="minorEastAsia" w:eastAsiaTheme="minorEastAsia"/>
          <w:color w:val="000000"/>
          <w:shd w:val="clear" w:color="auto" w:fill="FFFFFF"/>
          <w:lang w:val="en-US" w:eastAsia="zh-CN"/>
        </w:rPr>
        <w:t>047</w:t>
      </w:r>
      <w:r>
        <w:rPr>
          <w:rFonts w:hint="eastAsia" w:cs="仿宋_GB2312" w:asciiTheme="minorEastAsia" w:hAnsiTheme="minorEastAsia" w:eastAsiaTheme="minorEastAsia"/>
          <w:color w:val="000000"/>
          <w:shd w:val="clear" w:color="auto" w:fill="FFFFFF"/>
          <w:lang w:eastAsia="zh-CN"/>
        </w:rPr>
        <w:t>号</w:t>
      </w:r>
      <w:r>
        <w:rPr>
          <w:rFonts w:hint="eastAsia" w:cs="仿宋_GB2312" w:asciiTheme="minorEastAsia" w:hAnsiTheme="minorEastAsia" w:eastAsiaTheme="minorEastAsia"/>
          <w:color w:val="000000"/>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eastAsia="zh-CN"/>
        </w:rPr>
        <w:t>高强度聚焦超声肿瘤治疗系统一套</w:t>
      </w:r>
      <w:r>
        <w:rPr>
          <w:rFonts w:hint="eastAsia" w:cs="仿宋_GB2312" w:asciiTheme="minorEastAsia" w:hAnsiTheme="minorEastAsia" w:eastAsiaTheme="minorEastAsia"/>
          <w:color w:val="000000"/>
          <w:shd w:val="clear" w:color="auto" w:fill="FFFFFF"/>
        </w:rPr>
        <w:t>。</w:t>
      </w:r>
    </w:p>
    <w:p>
      <w:pPr>
        <w:pStyle w:val="19"/>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hint="eastAsia" w:cs="仿宋_GB2312" w:asciiTheme="minorEastAsia" w:hAnsiTheme="minorEastAsia" w:eastAsiaTheme="minorEastAsia"/>
          <w:color w:val="000000"/>
          <w:shd w:val="clear" w:color="auto" w:fill="FFFFFF"/>
          <w:lang w:val="en-US" w:eastAsia="zh-CN"/>
        </w:rPr>
        <w:t>350</w:t>
      </w:r>
      <w:r>
        <w:rPr>
          <w:rFonts w:hint="eastAsia" w:cs="仿宋_GB2312" w:asciiTheme="minorEastAsia" w:hAnsiTheme="minorEastAsia" w:eastAsiaTheme="minorEastAsia"/>
          <w:color w:val="000000"/>
          <w:shd w:val="clear" w:color="auto" w:fill="FFFFFF"/>
        </w:rPr>
        <w:t>万元；最高限价：</w:t>
      </w:r>
      <w:r>
        <w:rPr>
          <w:rFonts w:hint="eastAsia" w:cs="仿宋_GB2312" w:asciiTheme="minorEastAsia" w:hAnsiTheme="minorEastAsia" w:eastAsiaTheme="minorEastAsia"/>
          <w:color w:val="000000"/>
          <w:shd w:val="clear" w:color="auto" w:fill="FFFFFF"/>
          <w:lang w:val="en-US" w:eastAsia="zh-CN"/>
        </w:rPr>
        <w:t>350</w:t>
      </w:r>
      <w:r>
        <w:rPr>
          <w:rFonts w:hint="eastAsia" w:cs="仿宋_GB2312" w:asciiTheme="minorEastAsia" w:hAnsiTheme="minorEastAsia" w:eastAsiaTheme="minorEastAsia"/>
          <w:color w:val="000000"/>
          <w:shd w:val="clear" w:color="auto" w:fill="FFFFFF"/>
        </w:rPr>
        <w:t>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w:t>
      </w:r>
      <w:r>
        <w:rPr>
          <w:rFonts w:hint="eastAsia" w:cs="仿宋_GB2312" w:asciiTheme="minorEastAsia" w:hAnsiTheme="minorEastAsia" w:eastAsiaTheme="minorEastAsia"/>
          <w:color w:val="000000"/>
          <w:shd w:val="clear" w:color="auto" w:fill="FFFFFF"/>
          <w:lang w:eastAsia="zh-CN"/>
        </w:rPr>
        <w:t>长葛市人民医院</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w:t>
      </w:r>
      <w:r>
        <w:rPr>
          <w:rFonts w:hint="eastAsia" w:cs="仿宋_GB2312" w:asciiTheme="minorEastAsia" w:hAnsiTheme="minorEastAsia" w:eastAsiaTheme="minorEastAsia"/>
          <w:color w:val="auto"/>
        </w:rPr>
        <w:t>2018年</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5</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五</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长葛市人民医院</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址：长葛市长社路52号</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联系人：赵永鑫             联系电话：13837405000</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代理机构：北京华采招标代理有限公司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地  址：许昌市新许路建行三楼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联系人：周伟               联系电话：13903749798</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长葛市人民医院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sz w:val="24"/>
          <w:szCs w:val="24"/>
        </w:rPr>
        <w:t xml:space="preserve"> 二〇一八年</w:t>
      </w:r>
      <w:r>
        <w:rPr>
          <w:rFonts w:hint="eastAsia" w:cs="仿宋_GB2312" w:asciiTheme="minorEastAsia" w:hAnsiTheme="minorEastAsia"/>
          <w:sz w:val="24"/>
          <w:szCs w:val="24"/>
          <w:lang w:val="en-US" w:eastAsia="zh-CN"/>
        </w:rPr>
        <w:t>八</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十</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：高强度聚焦超声肿瘤治疗系统一套。</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技术参数</w:t>
      </w:r>
    </w:p>
    <w:tbl>
      <w:tblPr>
        <w:tblStyle w:val="24"/>
        <w:tblpPr w:leftFromText="180" w:rightFromText="180" w:vertAnchor="text" w:horzAnchor="page" w:tblpXSpec="center" w:tblpY="465"/>
        <w:tblOverlap w:val="never"/>
        <w:tblW w:w="9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50"/>
        <w:gridCol w:w="5580"/>
        <w:gridCol w:w="630"/>
        <w:gridCol w:w="6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ascii="宋体" w:cs="宋体"/>
                <w:b/>
                <w:bCs/>
                <w:sz w:val="22"/>
              </w:rPr>
            </w:pPr>
            <w:r>
              <w:rPr>
                <w:rFonts w:hint="eastAsia" w:ascii="宋体" w:hAnsi="宋体" w:cs="宋体"/>
                <w:b/>
                <w:bCs/>
                <w:sz w:val="22"/>
              </w:rPr>
              <w:t>序号</w:t>
            </w:r>
          </w:p>
        </w:tc>
        <w:tc>
          <w:tcPr>
            <w:tcW w:w="1350" w:type="dxa"/>
            <w:vAlign w:val="center"/>
          </w:tcPr>
          <w:p>
            <w:pPr>
              <w:jc w:val="center"/>
              <w:rPr>
                <w:rFonts w:ascii="宋体" w:cs="宋体"/>
                <w:b/>
                <w:bCs/>
                <w:sz w:val="22"/>
              </w:rPr>
            </w:pPr>
            <w:r>
              <w:rPr>
                <w:rFonts w:hint="eastAsia" w:ascii="宋体" w:hAnsi="宋体" w:cs="宋体"/>
                <w:b/>
                <w:bCs/>
                <w:sz w:val="22"/>
              </w:rPr>
              <w:t>名称</w:t>
            </w:r>
          </w:p>
        </w:tc>
        <w:tc>
          <w:tcPr>
            <w:tcW w:w="5580" w:type="dxa"/>
            <w:vAlign w:val="center"/>
          </w:tcPr>
          <w:p>
            <w:pPr>
              <w:jc w:val="center"/>
              <w:rPr>
                <w:rFonts w:ascii="宋体" w:cs="宋体"/>
                <w:b/>
                <w:bCs/>
                <w:sz w:val="22"/>
              </w:rPr>
            </w:pPr>
            <w:r>
              <w:rPr>
                <w:rFonts w:hint="eastAsia" w:ascii="宋体" w:hAnsi="宋体" w:cs="宋体"/>
                <w:b/>
                <w:bCs/>
                <w:sz w:val="22"/>
              </w:rPr>
              <w:t>技术规格</w:t>
            </w:r>
          </w:p>
        </w:tc>
        <w:tc>
          <w:tcPr>
            <w:tcW w:w="630" w:type="dxa"/>
            <w:vAlign w:val="center"/>
          </w:tcPr>
          <w:p>
            <w:pPr>
              <w:jc w:val="center"/>
              <w:rPr>
                <w:rFonts w:ascii="宋体" w:cs="宋体"/>
                <w:b/>
                <w:bCs/>
                <w:sz w:val="22"/>
              </w:rPr>
            </w:pPr>
            <w:r>
              <w:rPr>
                <w:rFonts w:hint="eastAsia" w:ascii="宋体" w:hAnsi="宋体" w:cs="宋体"/>
                <w:b/>
                <w:bCs/>
                <w:sz w:val="22"/>
              </w:rPr>
              <w:t>单位</w:t>
            </w:r>
          </w:p>
        </w:tc>
        <w:tc>
          <w:tcPr>
            <w:tcW w:w="645" w:type="dxa"/>
            <w:vAlign w:val="center"/>
          </w:tcPr>
          <w:p>
            <w:pPr>
              <w:jc w:val="center"/>
              <w:rPr>
                <w:rFonts w:ascii="宋体" w:cs="宋体"/>
                <w:b/>
                <w:bCs/>
                <w:sz w:val="22"/>
              </w:rPr>
            </w:pPr>
            <w:r>
              <w:rPr>
                <w:rFonts w:hint="eastAsia" w:ascii="宋体" w:hAnsi="宋体" w:cs="宋体"/>
                <w:b/>
                <w:bCs/>
                <w:sz w:val="22"/>
              </w:rPr>
              <w:t>数量</w:t>
            </w:r>
          </w:p>
        </w:tc>
        <w:tc>
          <w:tcPr>
            <w:tcW w:w="1020" w:type="dxa"/>
            <w:vAlign w:val="center"/>
          </w:tcPr>
          <w:p>
            <w:pPr>
              <w:jc w:val="center"/>
              <w:rPr>
                <w:rFonts w:ascii="宋体" w:hAnsi="宋体" w:cs="宋体"/>
                <w:b/>
                <w:bCs/>
                <w:sz w:val="22"/>
              </w:rPr>
            </w:pPr>
            <w:r>
              <w:rPr>
                <w:rFonts w:hint="eastAsia" w:ascii="宋体" w:hAnsi="宋体" w:cs="宋体"/>
                <w:b/>
                <w:bCs/>
                <w:sz w:val="22"/>
              </w:rPr>
              <w:t>是否为</w:t>
            </w:r>
          </w:p>
          <w:p>
            <w:pPr>
              <w:jc w:val="center"/>
              <w:rPr>
                <w:rFonts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7" w:type="dxa"/>
            <w:vAlign w:val="center"/>
          </w:tcPr>
          <w:p>
            <w:pPr>
              <w:jc w:val="center"/>
              <w:rPr>
                <w:rFonts w:hint="eastAsia" w:ascii="宋体" w:hAnsi="宋体" w:cs="宋体" w:eastAsiaTheme="minorEastAsia"/>
                <w:b/>
                <w:bCs/>
                <w:sz w:val="22"/>
                <w:lang w:val="en-US" w:eastAsia="zh-CN"/>
              </w:rPr>
            </w:pPr>
            <w:r>
              <w:rPr>
                <w:rFonts w:hint="eastAsia" w:ascii="宋体" w:hAnsi="宋体" w:cs="宋体"/>
                <w:b w:val="0"/>
                <w:bCs w:val="0"/>
                <w:sz w:val="22"/>
                <w:lang w:val="en-US" w:eastAsia="zh-CN"/>
              </w:rPr>
              <w:t>1</w:t>
            </w:r>
          </w:p>
        </w:tc>
        <w:tc>
          <w:tcPr>
            <w:tcW w:w="1350" w:type="dxa"/>
            <w:vAlign w:val="center"/>
          </w:tcPr>
          <w:p>
            <w:pPr>
              <w:jc w:val="center"/>
              <w:rPr>
                <w:rFonts w:hint="eastAsia" w:ascii="宋体" w:hAnsi="宋体" w:cs="宋体"/>
                <w:b/>
                <w:bCs/>
                <w:sz w:val="22"/>
              </w:rPr>
            </w:pPr>
            <w:r>
              <w:rPr>
                <w:rFonts w:hint="eastAsia" w:ascii="宋体" w:hAnsi="宋体"/>
                <w:szCs w:val="21"/>
              </w:rPr>
              <w:t>高强度聚焦超声肿瘤治疗系统</w:t>
            </w:r>
          </w:p>
        </w:tc>
        <w:tc>
          <w:tcPr>
            <w:tcW w:w="5580" w:type="dxa"/>
            <w:vAlign w:val="center"/>
          </w:tcPr>
          <w:p>
            <w:pPr>
              <w:rPr>
                <w:rFonts w:hint="eastAsia"/>
              </w:rPr>
            </w:pPr>
            <w:r>
              <w:rPr>
                <w:rFonts w:hint="eastAsia"/>
              </w:rPr>
              <w:t>单次或分次累积治疗，使肿瘤组织产生凝固性坏死。</w:t>
            </w:r>
          </w:p>
          <w:p>
            <w:pPr>
              <w:rPr>
                <w:rFonts w:hint="eastAsia"/>
              </w:rPr>
            </w:pPr>
            <w:r>
              <w:rPr>
                <w:rFonts w:hint="eastAsia"/>
              </w:rPr>
              <w:t>是否有灼伤：无。</w:t>
            </w:r>
          </w:p>
          <w:p>
            <w:pPr>
              <w:rPr>
                <w:rFonts w:hint="eastAsia"/>
              </w:rPr>
            </w:pPr>
            <w:r>
              <w:rPr>
                <w:rFonts w:hint="eastAsia"/>
              </w:rPr>
              <w:t>治疗麻醉：不需要。</w:t>
            </w:r>
          </w:p>
          <w:p>
            <w:pPr>
              <w:rPr>
                <w:rFonts w:hint="eastAsia"/>
              </w:rPr>
            </w:pPr>
            <w:r>
              <w:rPr>
                <w:rFonts w:hint="eastAsia"/>
              </w:rPr>
              <w:t>超声实时监控，发射过程中不关闭监控超声。</w:t>
            </w:r>
          </w:p>
          <w:p>
            <w:pPr>
              <w:rPr>
                <w:rFonts w:hint="eastAsia"/>
              </w:rPr>
            </w:pPr>
            <w:r>
              <w:rPr>
                <w:rFonts w:hint="eastAsia"/>
              </w:rPr>
              <w:t>治疗区域模拟显示。</w:t>
            </w:r>
          </w:p>
          <w:p>
            <w:pPr>
              <w:rPr>
                <w:rFonts w:hint="eastAsia"/>
              </w:rPr>
            </w:pPr>
            <w:r>
              <w:rPr>
                <w:rFonts w:hint="eastAsia"/>
              </w:rPr>
              <w:t>系统参数</w:t>
            </w:r>
          </w:p>
          <w:p>
            <w:pPr>
              <w:rPr>
                <w:rFonts w:hint="eastAsia"/>
              </w:rPr>
            </w:pPr>
            <w:r>
              <w:rPr>
                <w:rFonts w:hint="eastAsia"/>
              </w:rPr>
              <w:t>治疗头</w:t>
            </w:r>
          </w:p>
          <w:p>
            <w:pPr>
              <w:rPr>
                <w:rFonts w:hint="eastAsia"/>
              </w:rPr>
            </w:pPr>
            <w:r>
              <w:rPr>
                <w:rFonts w:hint="eastAsia"/>
              </w:rPr>
              <w:t>下置式（开放性水槽）</w:t>
            </w:r>
          </w:p>
          <w:p>
            <w:pPr>
              <w:rPr>
                <w:rFonts w:hint="eastAsia"/>
              </w:rPr>
            </w:pPr>
            <w:r>
              <w:rPr>
                <w:rFonts w:hint="eastAsia"/>
              </w:rPr>
              <w:t>采用环形列阵聚焦换能器，两次叠加聚焦.</w:t>
            </w:r>
          </w:p>
          <w:p>
            <w:pPr>
              <w:rPr>
                <w:rFonts w:hint="eastAsia"/>
              </w:rPr>
            </w:pPr>
            <w:r>
              <w:rPr>
                <w:rFonts w:hint="eastAsia"/>
              </w:rPr>
              <w:t>超声波频率：1.0MHz±0.1MHz</w:t>
            </w:r>
          </w:p>
          <w:p>
            <w:pPr>
              <w:rPr>
                <w:rFonts w:hint="eastAsia"/>
              </w:rPr>
            </w:pPr>
            <w:r>
              <w:rPr>
                <w:rFonts w:hint="eastAsia"/>
              </w:rPr>
              <w:t>超声功率放大器输出功率可调，焦域内的声强或声功率可以降低到最大值的20％以下</w:t>
            </w:r>
          </w:p>
          <w:p>
            <w:pPr>
              <w:rPr>
                <w:rFonts w:hint="eastAsia"/>
              </w:rPr>
            </w:pPr>
            <w:r>
              <w:rPr>
                <w:rFonts w:hint="eastAsia"/>
              </w:rPr>
              <w:t>焦域横向尺寸：≦7x7mm</w:t>
            </w:r>
          </w:p>
          <w:p>
            <w:pPr>
              <w:rPr>
                <w:rFonts w:hint="eastAsia"/>
              </w:rPr>
            </w:pPr>
            <w:r>
              <w:rPr>
                <w:rFonts w:hint="eastAsia"/>
              </w:rPr>
              <w:t>焦域纵向尺寸：≦12mm</w:t>
            </w:r>
          </w:p>
          <w:p>
            <w:pPr>
              <w:rPr>
                <w:rFonts w:hint="eastAsia"/>
              </w:rPr>
            </w:pPr>
            <w:r>
              <w:rPr>
                <w:rFonts w:hint="eastAsia"/>
              </w:rPr>
              <w:t>焦域最大声强：不小于2000瓦/平方厘米（出具水听器实测检测报告）</w:t>
            </w:r>
          </w:p>
          <w:p>
            <w:pPr>
              <w:rPr>
                <w:rFonts w:hint="eastAsia"/>
              </w:rPr>
            </w:pPr>
            <w:r>
              <w:rPr>
                <w:rFonts w:hint="eastAsia"/>
              </w:rPr>
              <w:t>焦距：150mm±5mm。</w:t>
            </w:r>
          </w:p>
          <w:p>
            <w:pPr>
              <w:rPr>
                <w:rFonts w:hint="eastAsia"/>
              </w:rPr>
            </w:pPr>
            <w:r>
              <w:rPr>
                <w:rFonts w:hint="eastAsia"/>
              </w:rPr>
              <w:t>脉冲宽度：20-500ms，占空时间：20-500ms</w:t>
            </w:r>
          </w:p>
          <w:p>
            <w:pPr>
              <w:rPr>
                <w:rFonts w:hint="eastAsia"/>
              </w:rPr>
            </w:pPr>
            <w:r>
              <w:rPr>
                <w:rFonts w:hint="eastAsia"/>
              </w:rPr>
              <w:t>扫描方式：间歇式扫描</w:t>
            </w:r>
          </w:p>
          <w:p>
            <w:pPr>
              <w:rPr>
                <w:rFonts w:hint="eastAsia"/>
              </w:rPr>
            </w:pPr>
            <w:r>
              <w:rPr>
                <w:rFonts w:hint="eastAsia"/>
              </w:rPr>
              <w:t>具备治疗头换能器三维运动系统</w:t>
            </w:r>
          </w:p>
          <w:p>
            <w:pPr>
              <w:rPr>
                <w:rFonts w:hint="eastAsia"/>
              </w:rPr>
            </w:pPr>
            <w:r>
              <w:rPr>
                <w:rFonts w:hint="eastAsia"/>
              </w:rPr>
              <w:t>治疗头X向（治疗床横轴方向）运动范围：≥100mm，累计误差不大于1mm</w:t>
            </w:r>
          </w:p>
          <w:p>
            <w:pPr>
              <w:rPr>
                <w:rFonts w:hint="eastAsia"/>
              </w:rPr>
            </w:pPr>
            <w:r>
              <w:rPr>
                <w:rFonts w:hint="eastAsia"/>
              </w:rPr>
              <w:t>治疗头Y向（治疗床纵轴方向）运动范围：≥100mm，累计误差不大于1mm；</w:t>
            </w:r>
          </w:p>
          <w:p>
            <w:pPr>
              <w:rPr>
                <w:rFonts w:hint="eastAsia"/>
              </w:rPr>
            </w:pPr>
            <w:r>
              <w:rPr>
                <w:rFonts w:hint="eastAsia"/>
              </w:rPr>
              <w:t>治疗头Z向（垂直于治疗床面方向）运动范围：≥150mm，累计误差不大于1mm</w:t>
            </w:r>
          </w:p>
          <w:p>
            <w:pPr>
              <w:rPr>
                <w:rFonts w:hint="eastAsia"/>
              </w:rPr>
            </w:pPr>
            <w:r>
              <w:rPr>
                <w:rFonts w:hint="eastAsia"/>
              </w:rPr>
              <w:t>具备治疗头角度翻转运动系统</w:t>
            </w:r>
          </w:p>
          <w:p>
            <w:pPr>
              <w:rPr>
                <w:rFonts w:hint="eastAsia"/>
              </w:rPr>
            </w:pPr>
            <w:r>
              <w:rPr>
                <w:rFonts w:hint="eastAsia"/>
              </w:rPr>
              <w:t>翻转角度：≤20 º</w:t>
            </w:r>
          </w:p>
          <w:p>
            <w:pPr>
              <w:rPr>
                <w:rFonts w:hint="eastAsia"/>
              </w:rPr>
            </w:pPr>
            <w:r>
              <w:rPr>
                <w:rFonts w:hint="eastAsia"/>
              </w:rPr>
              <w:t>翻转累计误差：±1°</w:t>
            </w:r>
          </w:p>
          <w:p>
            <w:pPr>
              <w:rPr>
                <w:rFonts w:hint="eastAsia"/>
              </w:rPr>
            </w:pPr>
            <w:r>
              <w:rPr>
                <w:rFonts w:hint="eastAsia"/>
              </w:rPr>
              <w:t>治疗床</w:t>
            </w:r>
          </w:p>
          <w:p>
            <w:pPr>
              <w:rPr>
                <w:rFonts w:hint="eastAsia"/>
              </w:rPr>
            </w:pPr>
            <w:r>
              <w:rPr>
                <w:rFonts w:hint="eastAsia"/>
              </w:rPr>
              <w:t>床面尺寸：长≥1900mm ；宽≥800mm。</w:t>
            </w:r>
          </w:p>
          <w:p>
            <w:pPr>
              <w:rPr>
                <w:rFonts w:hint="eastAsia"/>
              </w:rPr>
            </w:pPr>
            <w:r>
              <w:rPr>
                <w:rFonts w:hint="eastAsia"/>
              </w:rPr>
              <w:t>最大承重：200kg</w:t>
            </w:r>
            <w:r>
              <w:rPr>
                <w:rFonts w:hint="eastAsia"/>
              </w:rPr>
              <w:tab/>
            </w:r>
          </w:p>
          <w:p>
            <w:pPr>
              <w:rPr>
                <w:rFonts w:hint="eastAsia"/>
              </w:rPr>
            </w:pPr>
            <w:r>
              <w:rPr>
                <w:rFonts w:hint="eastAsia"/>
              </w:rPr>
              <w:t>水处理系统</w:t>
            </w:r>
          </w:p>
          <w:p>
            <w:pPr>
              <w:rPr>
                <w:rFonts w:hint="eastAsia"/>
              </w:rPr>
            </w:pPr>
            <w:r>
              <w:rPr>
                <w:rFonts w:hint="eastAsia"/>
              </w:rPr>
              <w:t>介质水溶氧量：≤3mg/L。</w:t>
            </w:r>
          </w:p>
          <w:p>
            <w:pPr>
              <w:rPr>
                <w:rFonts w:hint="eastAsia"/>
              </w:rPr>
            </w:pPr>
            <w:r>
              <w:rPr>
                <w:rFonts w:hint="eastAsia"/>
              </w:rPr>
              <w:t>介质水温度：≤40℃,水温控制误差:±2℃</w:t>
            </w:r>
          </w:p>
          <w:p>
            <w:pPr>
              <w:rPr>
                <w:rFonts w:hint="eastAsia"/>
              </w:rPr>
            </w:pPr>
            <w:r>
              <w:rPr>
                <w:rFonts w:hint="eastAsia"/>
              </w:rPr>
              <w:t>单次制水后可以提供3个患者治疗用水</w:t>
            </w:r>
          </w:p>
          <w:p>
            <w:pPr>
              <w:rPr>
                <w:rFonts w:hint="eastAsia"/>
              </w:rPr>
            </w:pPr>
            <w:r>
              <w:rPr>
                <w:rFonts w:hint="eastAsia"/>
              </w:rPr>
              <w:t>计算机硬件</w:t>
            </w:r>
          </w:p>
          <w:p>
            <w:pPr>
              <w:rPr>
                <w:rFonts w:hint="eastAsia"/>
              </w:rPr>
            </w:pPr>
            <w:r>
              <w:rPr>
                <w:rFonts w:hint="eastAsia"/>
              </w:rPr>
              <w:t>主机采用工业计算机架构。</w:t>
            </w:r>
          </w:p>
          <w:p>
            <w:pPr>
              <w:rPr>
                <w:rFonts w:hint="eastAsia"/>
              </w:rPr>
            </w:pPr>
            <w:r>
              <w:rPr>
                <w:rFonts w:hint="eastAsia"/>
              </w:rPr>
              <w:t>CPU：双核高性能处理器.</w:t>
            </w:r>
          </w:p>
          <w:p>
            <w:pPr>
              <w:rPr>
                <w:rFonts w:hint="eastAsia"/>
              </w:rPr>
            </w:pPr>
            <w:r>
              <w:rPr>
                <w:rFonts w:hint="eastAsia"/>
              </w:rPr>
              <w:t>内存≥4G，硬盘≥1TB.</w:t>
            </w:r>
          </w:p>
          <w:p>
            <w:pPr>
              <w:rPr>
                <w:rFonts w:hint="eastAsia"/>
              </w:rPr>
            </w:pPr>
            <w:r>
              <w:rPr>
                <w:rFonts w:hint="eastAsia"/>
              </w:rPr>
              <w:t>图象采集卡：高性能图象采集卡.</w:t>
            </w:r>
          </w:p>
          <w:p>
            <w:pPr>
              <w:rPr>
                <w:rFonts w:hint="eastAsia"/>
              </w:rPr>
            </w:pPr>
            <w:r>
              <w:rPr>
                <w:rFonts w:hint="eastAsia"/>
              </w:rPr>
              <w:t>整体项目培训服务</w:t>
            </w:r>
          </w:p>
          <w:p>
            <w:pPr>
              <w:rPr>
                <w:rFonts w:hint="eastAsia"/>
              </w:rPr>
            </w:pPr>
            <w:r>
              <w:rPr>
                <w:rFonts w:hint="eastAsia"/>
              </w:rPr>
              <w:t>项目安装条件</w:t>
            </w:r>
          </w:p>
          <w:p>
            <w:pPr>
              <w:rPr>
                <w:rFonts w:hint="eastAsia"/>
              </w:rPr>
            </w:pPr>
            <w:r>
              <w:rPr>
                <w:rFonts w:hint="eastAsia"/>
              </w:rPr>
              <w:t>机房面积：≤25㎡，单边≤4m；</w:t>
            </w:r>
          </w:p>
          <w:p>
            <w:pPr>
              <w:rPr>
                <w:rFonts w:hint="eastAsia"/>
              </w:rPr>
            </w:pPr>
            <w:r>
              <w:rPr>
                <w:rFonts w:hint="eastAsia"/>
              </w:rPr>
              <w:t>电源要求：单相三线，带符合当地法律法规要求的接地线；</w:t>
            </w:r>
          </w:p>
          <w:p>
            <w:pPr>
              <w:rPr>
                <w:rFonts w:hint="eastAsia" w:ascii="宋体" w:hAnsi="宋体" w:cs="宋体"/>
                <w:b/>
                <w:bCs/>
                <w:sz w:val="22"/>
              </w:rPr>
            </w:pPr>
            <w:r>
              <w:rPr>
                <w:rFonts w:hint="eastAsia"/>
              </w:rPr>
              <w:t>供水要求：流量≧1m³/h，水压0.1-0.5MPa。</w:t>
            </w:r>
          </w:p>
        </w:tc>
        <w:tc>
          <w:tcPr>
            <w:tcW w:w="630" w:type="dxa"/>
            <w:vMerge w:val="restart"/>
            <w:vAlign w:val="center"/>
          </w:tcPr>
          <w:p>
            <w:pPr>
              <w:jc w:val="center"/>
              <w:rPr>
                <w:rFonts w:hint="eastAsia" w:ascii="宋体" w:hAnsi="宋体" w:cs="宋体" w:eastAsiaTheme="minorEastAsia"/>
                <w:b w:val="0"/>
                <w:bCs w:val="0"/>
                <w:sz w:val="22"/>
                <w:lang w:val="en-US" w:eastAsia="zh-CN"/>
              </w:rPr>
            </w:pPr>
            <w:r>
              <w:rPr>
                <w:rFonts w:hint="eastAsia" w:ascii="宋体" w:hAnsi="宋体" w:cs="宋体"/>
                <w:b w:val="0"/>
                <w:bCs w:val="0"/>
                <w:sz w:val="22"/>
                <w:lang w:val="en-US" w:eastAsia="zh-CN"/>
              </w:rPr>
              <w:t>1</w:t>
            </w:r>
          </w:p>
        </w:tc>
        <w:tc>
          <w:tcPr>
            <w:tcW w:w="645" w:type="dxa"/>
            <w:vMerge w:val="restart"/>
            <w:vAlign w:val="center"/>
          </w:tcPr>
          <w:p>
            <w:pPr>
              <w:jc w:val="center"/>
              <w:rPr>
                <w:rFonts w:hint="eastAsia" w:ascii="宋体" w:hAnsi="宋体" w:cs="宋体" w:eastAsiaTheme="minorEastAsia"/>
                <w:b w:val="0"/>
                <w:bCs w:val="0"/>
                <w:sz w:val="22"/>
                <w:lang w:eastAsia="zh-CN"/>
              </w:rPr>
            </w:pPr>
            <w:r>
              <w:rPr>
                <w:rFonts w:hint="eastAsia" w:ascii="宋体" w:hAnsi="宋体" w:cs="宋体"/>
                <w:b w:val="0"/>
                <w:bCs w:val="0"/>
                <w:sz w:val="22"/>
                <w:lang w:eastAsia="zh-CN"/>
              </w:rPr>
              <w:t>套</w:t>
            </w:r>
          </w:p>
        </w:tc>
        <w:tc>
          <w:tcPr>
            <w:tcW w:w="1020" w:type="dxa"/>
            <w:vMerge w:val="restart"/>
            <w:vAlign w:val="center"/>
          </w:tcPr>
          <w:p>
            <w:pPr>
              <w:jc w:val="center"/>
              <w:rPr>
                <w:rFonts w:hint="eastAsia" w:ascii="宋体" w:hAnsi="宋体" w:cs="宋体" w:eastAsiaTheme="minorEastAsia"/>
                <w:b w:val="0"/>
                <w:bCs w:val="0"/>
                <w:sz w:val="22"/>
                <w:lang w:eastAsia="zh-CN"/>
              </w:rPr>
            </w:pPr>
            <w:r>
              <w:rPr>
                <w:rFonts w:hint="eastAsia" w:ascii="宋体" w:hAnsi="宋体" w:cs="宋体"/>
                <w:b w:val="0"/>
                <w:bCs w:val="0"/>
                <w:sz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7" w:type="dxa"/>
            <w:vAlign w:val="center"/>
          </w:tcPr>
          <w:p>
            <w:pPr>
              <w:jc w:val="center"/>
              <w:rPr>
                <w:rFonts w:hint="eastAsia" w:ascii="宋体" w:cs="宋体" w:eastAsiaTheme="minorEastAsia"/>
                <w:color w:val="000000"/>
                <w:sz w:val="20"/>
                <w:szCs w:val="20"/>
                <w:lang w:eastAsia="zh-CN"/>
              </w:rPr>
            </w:pPr>
            <w:r>
              <w:rPr>
                <w:rFonts w:hint="eastAsia" w:ascii="宋体" w:hAnsi="宋体" w:cs="宋体"/>
                <w:color w:val="000000"/>
                <w:sz w:val="20"/>
                <w:szCs w:val="20"/>
                <w:lang w:val="en-US" w:eastAsia="zh-CN"/>
              </w:rPr>
              <w:t>1.1</w:t>
            </w:r>
          </w:p>
        </w:tc>
        <w:tc>
          <w:tcPr>
            <w:tcW w:w="1350" w:type="dxa"/>
            <w:vAlign w:val="center"/>
          </w:tcPr>
          <w:p>
            <w:pPr>
              <w:jc w:val="center"/>
              <w:rPr>
                <w:rFonts w:ascii="宋体" w:hAnsi="宋体" w:cs="宋体"/>
                <w:color w:val="000000"/>
                <w:sz w:val="20"/>
                <w:szCs w:val="20"/>
              </w:rPr>
            </w:pPr>
            <w:r>
              <w:rPr>
                <w:rFonts w:hint="eastAsia" w:cs="宋体"/>
              </w:rPr>
              <w:t>功率发射装置</w:t>
            </w:r>
          </w:p>
        </w:tc>
        <w:tc>
          <w:tcPr>
            <w:tcW w:w="5580" w:type="dxa"/>
            <w:vAlign w:val="center"/>
          </w:tcPr>
          <w:p>
            <w:pPr>
              <w:jc w:val="both"/>
              <w:rPr>
                <w:rFonts w:ascii="宋体" w:cs="宋体"/>
                <w:color w:val="000000"/>
                <w:sz w:val="20"/>
                <w:szCs w:val="20"/>
              </w:rPr>
            </w:pPr>
            <w:r>
              <w:rPr>
                <w:rFonts w:hint="eastAsia" w:cs="宋体"/>
              </w:rPr>
              <w:t>包括超声振荡电路和超声功率放大电路，输出功率到换能器。</w:t>
            </w:r>
          </w:p>
        </w:tc>
        <w:tc>
          <w:tcPr>
            <w:tcW w:w="630" w:type="dxa"/>
            <w:vMerge w:val="continue"/>
            <w:vAlign w:val="center"/>
          </w:tcPr>
          <w:p>
            <w:pPr>
              <w:jc w:val="center"/>
              <w:rPr>
                <w:rFonts w:hint="eastAsia" w:ascii="宋体" w:cs="宋体" w:eastAsiaTheme="minorEastAsia"/>
                <w:color w:val="000000"/>
                <w:sz w:val="20"/>
                <w:szCs w:val="20"/>
                <w:lang w:eastAsia="zh-CN"/>
              </w:rPr>
            </w:pPr>
          </w:p>
        </w:tc>
        <w:tc>
          <w:tcPr>
            <w:tcW w:w="645" w:type="dxa"/>
            <w:vMerge w:val="continue"/>
            <w:vAlign w:val="center"/>
          </w:tcPr>
          <w:p>
            <w:pPr>
              <w:jc w:val="center"/>
              <w:rPr>
                <w:rFonts w:hint="eastAsia" w:ascii="宋体" w:cs="宋体" w:eastAsiaTheme="minorEastAsia"/>
                <w:color w:val="000000"/>
                <w:sz w:val="20"/>
                <w:szCs w:val="20"/>
                <w:lang w:val="en-US" w:eastAsia="zh-CN"/>
              </w:rPr>
            </w:pPr>
          </w:p>
        </w:tc>
        <w:tc>
          <w:tcPr>
            <w:tcW w:w="1020" w:type="dxa"/>
            <w:vMerge w:val="continue"/>
            <w:vAlign w:val="center"/>
          </w:tcPr>
          <w:p>
            <w:pPr>
              <w:jc w:val="center"/>
              <w:rPr>
                <w:rFonts w:hint="eastAsia" w:ascii="宋体" w:cs="宋体" w:eastAsiaTheme="minorEastAsia"/>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1.2</w:t>
            </w:r>
          </w:p>
        </w:tc>
        <w:tc>
          <w:tcPr>
            <w:tcW w:w="1350" w:type="dxa"/>
            <w:vAlign w:val="center"/>
          </w:tcPr>
          <w:p>
            <w:pPr>
              <w:jc w:val="center"/>
              <w:rPr>
                <w:rFonts w:hint="eastAsia" w:cs="宋体"/>
              </w:rPr>
            </w:pPr>
            <w:r>
              <w:rPr>
                <w:rFonts w:hint="eastAsia" w:cs="宋体"/>
              </w:rPr>
              <w:t>控制系统</w:t>
            </w:r>
          </w:p>
        </w:tc>
        <w:tc>
          <w:tcPr>
            <w:tcW w:w="5580" w:type="dxa"/>
            <w:vAlign w:val="center"/>
          </w:tcPr>
          <w:p>
            <w:pPr>
              <w:jc w:val="both"/>
              <w:rPr>
                <w:rFonts w:hint="eastAsia" w:ascii="宋体" w:hAnsi="宋体" w:cs="宋体" w:eastAsiaTheme="minorEastAsia"/>
                <w:spacing w:val="14"/>
                <w:sz w:val="24"/>
                <w:szCs w:val="24"/>
                <w:lang w:val="en-US" w:eastAsia="zh-CN"/>
              </w:rPr>
            </w:pPr>
            <w:r>
              <w:rPr>
                <w:rFonts w:hint="eastAsia" w:cs="宋体"/>
                <w:lang w:eastAsia="zh-CN"/>
              </w:rPr>
              <w:t>由计算机控制系统及手动操作控制系统组成，计算机控制系统</w:t>
            </w:r>
            <w:r>
              <w:rPr>
                <w:rFonts w:hint="eastAsia" w:cs="宋体"/>
              </w:rPr>
              <w:t>包括计算机主机，监视器，键盘，鼠标，治疗程序控制软件，可通过对焦点的三维移动和功率超声波发射的控制，完成治疗过程；基于</w:t>
            </w:r>
            <w:r>
              <w:t>windows-XP</w:t>
            </w:r>
            <w:r>
              <w:rPr>
                <w:rFonts w:hint="eastAsia" w:cs="宋体"/>
              </w:rPr>
              <w:t>系统的治疗程序控制软件，可根据病人状况和肿瘤大小位置等信息，设置步（行或层）距、发射（间隙）时间、发射次数等治疗参数，控制治疗，也可记录、储存、查询和统计病例数据和治疗过程数据。电脑主机安装于控制台内</w:t>
            </w:r>
            <w:r>
              <w:rPr>
                <w:rFonts w:hint="eastAsia" w:cs="宋体"/>
                <w:lang w:eastAsia="zh-CN"/>
              </w:rPr>
              <w:t>；手动操作控制系统</w:t>
            </w:r>
            <w:r>
              <w:rPr>
                <w:rFonts w:hint="eastAsia" w:cs="宋体"/>
              </w:rPr>
              <w:t>包括主电源开关及手控面板。面板上有</w:t>
            </w:r>
            <w:r>
              <w:t>B</w:t>
            </w:r>
            <w:r>
              <w:rPr>
                <w:rFonts w:hint="eastAsia" w:cs="宋体"/>
              </w:rPr>
              <w:t>超探头升降、旋转控制，聚焦器上下、前后、左右移动控制，主电源开关，超声电源开关、超声功率大小调节，治疗水囊进水和排水开关。</w:t>
            </w:r>
          </w:p>
        </w:tc>
        <w:tc>
          <w:tcPr>
            <w:tcW w:w="630" w:type="dxa"/>
            <w:vMerge w:val="continue"/>
            <w:vAlign w:val="center"/>
          </w:tcPr>
          <w:p>
            <w:pPr>
              <w:jc w:val="center"/>
              <w:rPr>
                <w:rFonts w:hint="eastAsia" w:ascii="宋体" w:cs="宋体"/>
                <w:color w:val="000000"/>
                <w:sz w:val="20"/>
                <w:szCs w:val="20"/>
                <w:lang w:eastAsia="zh-CN"/>
              </w:rPr>
            </w:pPr>
          </w:p>
        </w:tc>
        <w:tc>
          <w:tcPr>
            <w:tcW w:w="645" w:type="dxa"/>
            <w:vMerge w:val="continue"/>
            <w:vAlign w:val="center"/>
          </w:tcPr>
          <w:p>
            <w:pPr>
              <w:jc w:val="center"/>
              <w:rPr>
                <w:rFonts w:hint="eastAsia" w:ascii="宋体" w:cs="宋体"/>
                <w:color w:val="000000"/>
                <w:sz w:val="20"/>
                <w:szCs w:val="20"/>
                <w:lang w:val="en-US" w:eastAsia="zh-CN"/>
              </w:rPr>
            </w:pPr>
          </w:p>
        </w:tc>
        <w:tc>
          <w:tcPr>
            <w:tcW w:w="1020" w:type="dxa"/>
            <w:vMerge w:val="continue"/>
            <w:vAlign w:val="center"/>
          </w:tcPr>
          <w:p>
            <w:pPr>
              <w:jc w:val="center"/>
              <w:rPr>
                <w:rFonts w:hint="eastAsia" w:ascii="宋体" w:cs="宋体"/>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1.3</w:t>
            </w:r>
          </w:p>
        </w:tc>
        <w:tc>
          <w:tcPr>
            <w:tcW w:w="1350" w:type="dxa"/>
            <w:vAlign w:val="center"/>
          </w:tcPr>
          <w:p>
            <w:pPr>
              <w:jc w:val="center"/>
              <w:rPr>
                <w:rFonts w:hint="eastAsia" w:cs="宋体"/>
              </w:rPr>
            </w:pPr>
            <w:r>
              <w:rPr>
                <w:rFonts w:cs="宋体"/>
              </w:rPr>
              <w:t>B</w:t>
            </w:r>
            <w:r>
              <w:rPr>
                <w:rFonts w:hint="eastAsia" w:cs="宋体"/>
              </w:rPr>
              <w:t>超（</w:t>
            </w:r>
            <w:r>
              <w:rPr>
                <w:rFonts w:hint="eastAsia" w:ascii="宋体" w:hAnsi="宋体"/>
              </w:rPr>
              <w:t>迈瑞</w:t>
            </w:r>
            <w:r>
              <w:rPr>
                <w:rFonts w:ascii="宋体" w:hAnsi="宋体"/>
              </w:rPr>
              <w:t>DC-39</w:t>
            </w:r>
            <w:r>
              <w:rPr>
                <w:rFonts w:hint="eastAsia" w:cs="宋体"/>
              </w:rPr>
              <w:t>）</w:t>
            </w:r>
          </w:p>
        </w:tc>
        <w:tc>
          <w:tcPr>
            <w:tcW w:w="5580" w:type="dxa"/>
            <w:vAlign w:val="center"/>
          </w:tcPr>
          <w:p>
            <w:pPr>
              <w:jc w:val="both"/>
              <w:rPr>
                <w:rFonts w:hint="eastAsia" w:ascii="宋体" w:hAnsi="宋体"/>
                <w:szCs w:val="21"/>
                <w:lang w:eastAsia="zh-CN"/>
              </w:rPr>
            </w:pPr>
            <w:r>
              <w:rPr>
                <w:rFonts w:hint="eastAsia" w:cs="宋体"/>
                <w:lang w:eastAsia="zh-CN"/>
              </w:rPr>
              <w:t>由</w:t>
            </w:r>
            <w:r>
              <w:rPr>
                <w:rFonts w:hint="eastAsia" w:cs="宋体"/>
              </w:rPr>
              <w:t>主机、显示器、移动车和探头</w:t>
            </w:r>
            <w:r>
              <w:rPr>
                <w:rFonts w:hint="eastAsia" w:cs="宋体"/>
                <w:lang w:eastAsia="zh-CN"/>
              </w:rPr>
              <w:t>组成，</w:t>
            </w:r>
            <w:r>
              <w:rPr>
                <w:rFonts w:hint="eastAsia" w:cs="宋体"/>
              </w:rPr>
              <w:t>用于测量肿瘤的大小和定位</w:t>
            </w:r>
            <w:r>
              <w:rPr>
                <w:rFonts w:hint="eastAsia" w:cs="宋体"/>
                <w:lang w:eastAsia="zh-CN"/>
              </w:rPr>
              <w:t>；</w:t>
            </w:r>
            <w:r>
              <w:rPr>
                <w:rFonts w:hint="eastAsia" w:cs="宋体"/>
              </w:rPr>
              <w:t>二个腹部探头</w:t>
            </w:r>
            <w:r>
              <w:rPr>
                <w:rFonts w:hint="eastAsia" w:cs="宋体"/>
                <w:lang w:eastAsia="zh-CN"/>
              </w:rPr>
              <w:t>；</w:t>
            </w:r>
            <w:r>
              <w:rPr>
                <w:rFonts w:hint="eastAsia" w:ascii="宋体" w:hAnsi="宋体"/>
                <w:szCs w:val="21"/>
              </w:rPr>
              <w:t>保修期12个月</w:t>
            </w:r>
            <w:r>
              <w:rPr>
                <w:rFonts w:hint="eastAsia" w:ascii="宋体" w:hAnsi="宋体"/>
                <w:szCs w:val="21"/>
                <w:lang w:eastAsia="zh-CN"/>
              </w:rPr>
              <w:t>；</w:t>
            </w:r>
          </w:p>
          <w:p>
            <w:pPr>
              <w:rPr>
                <w:rFonts w:hint="eastAsia"/>
              </w:rPr>
            </w:pPr>
            <w:r>
              <w:rPr>
                <w:rFonts w:hint="eastAsia"/>
              </w:rPr>
              <w:t>智能斑点噪声抑制成像iClear：智能图像优化处理技术，有效抑制二维图像的斑点噪声，增强图像对比分辨率，使组织边界显示更清晰、回声更细腻。</w:t>
            </w:r>
          </w:p>
          <w:p>
            <w:pPr>
              <w:rPr>
                <w:rFonts w:hint="eastAsia"/>
              </w:rPr>
            </w:pPr>
            <w:r>
              <w:rPr>
                <w:rFonts w:hint="eastAsia"/>
              </w:rPr>
              <w:t>智能空间复合成像iBeam：多角度偏转图像复合，得到最佳的对比分辨率、更多的组织结构信息；减少声影，减少斑点噪声，使图像更加清晰。</w:t>
            </w:r>
          </w:p>
          <w:p>
            <w:pPr>
              <w:rPr>
                <w:rFonts w:hint="eastAsia"/>
              </w:rPr>
            </w:pPr>
            <w:r>
              <w:rPr>
                <w:rFonts w:hint="eastAsia"/>
              </w:rPr>
              <w:t>宽带频移谐波成像PSHI：获取更纯净的谐波和更高的谐波采样率，得到更好的分辨率、更少的噪音。</w:t>
            </w:r>
          </w:p>
          <w:p>
            <w:pPr>
              <w:rPr>
                <w:rFonts w:hint="eastAsia"/>
              </w:rPr>
            </w:pPr>
            <w:r>
              <w:rPr>
                <w:rFonts w:hint="eastAsia"/>
              </w:rPr>
              <w:t>支持多种成像模式全方位、多切面、立体观察病灶，为临床提供更多的诊断信息。3D/4D快速切换、超声断层成像等快捷容积成像功能，令诊断变得轻松自如。</w:t>
            </w:r>
          </w:p>
          <w:p>
            <w:pPr>
              <w:rPr>
                <w:rFonts w:hint="eastAsia"/>
              </w:rPr>
            </w:pPr>
            <w:r>
              <w:rPr>
                <w:rFonts w:hint="eastAsia"/>
              </w:rPr>
              <w:t>基于迈瑞独有的技术，最大程度的减少用户对操作手法的依赖，提升可重复性和临床实用性，增强医生诊断信心。</w:t>
            </w:r>
          </w:p>
          <w:p>
            <w:pPr>
              <w:jc w:val="both"/>
              <w:rPr>
                <w:rFonts w:hint="eastAsia" w:ascii="宋体" w:hAnsi="宋体"/>
                <w:szCs w:val="21"/>
                <w:lang w:eastAsia="zh-CN"/>
              </w:rPr>
            </w:pPr>
            <w:r>
              <w:rPr>
                <w:rFonts w:hint="eastAsia"/>
              </w:rPr>
              <w:t>内置丰富的自动测量功能，确保临床诊断的准确性和一致性，使操作便捷、快速。</w:t>
            </w:r>
          </w:p>
        </w:tc>
        <w:tc>
          <w:tcPr>
            <w:tcW w:w="630" w:type="dxa"/>
            <w:vMerge w:val="continue"/>
            <w:vAlign w:val="center"/>
          </w:tcPr>
          <w:p>
            <w:pPr>
              <w:jc w:val="center"/>
              <w:rPr>
                <w:rFonts w:hint="eastAsia" w:ascii="宋体" w:cs="宋体"/>
                <w:color w:val="000000"/>
                <w:sz w:val="20"/>
                <w:szCs w:val="20"/>
                <w:lang w:eastAsia="zh-CN"/>
              </w:rPr>
            </w:pPr>
          </w:p>
        </w:tc>
        <w:tc>
          <w:tcPr>
            <w:tcW w:w="645" w:type="dxa"/>
            <w:vMerge w:val="continue"/>
            <w:vAlign w:val="center"/>
          </w:tcPr>
          <w:p>
            <w:pPr>
              <w:jc w:val="center"/>
              <w:rPr>
                <w:rFonts w:hint="eastAsia" w:ascii="宋体" w:cs="宋体"/>
                <w:color w:val="000000"/>
                <w:sz w:val="20"/>
                <w:szCs w:val="20"/>
                <w:lang w:val="en-US" w:eastAsia="zh-CN"/>
              </w:rPr>
            </w:pPr>
          </w:p>
        </w:tc>
        <w:tc>
          <w:tcPr>
            <w:tcW w:w="1020" w:type="dxa"/>
            <w:vMerge w:val="continue"/>
            <w:vAlign w:val="center"/>
          </w:tcPr>
          <w:p>
            <w:pPr>
              <w:jc w:val="center"/>
              <w:rPr>
                <w:rFonts w:hint="eastAsia" w:ascii="宋体" w:cs="宋体"/>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7"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1.4</w:t>
            </w:r>
          </w:p>
        </w:tc>
        <w:tc>
          <w:tcPr>
            <w:tcW w:w="1350" w:type="dxa"/>
            <w:vAlign w:val="center"/>
          </w:tcPr>
          <w:p>
            <w:pPr>
              <w:jc w:val="center"/>
              <w:rPr>
                <w:rFonts w:hint="eastAsia" w:cs="宋体"/>
              </w:rPr>
            </w:pPr>
            <w:r>
              <w:rPr>
                <w:rFonts w:hint="eastAsia" w:cs="宋体"/>
              </w:rPr>
              <w:t>真空水处理系统</w:t>
            </w:r>
          </w:p>
        </w:tc>
        <w:tc>
          <w:tcPr>
            <w:tcW w:w="5580" w:type="dxa"/>
            <w:vAlign w:val="center"/>
          </w:tcPr>
          <w:p>
            <w:pPr>
              <w:jc w:val="both"/>
              <w:rPr>
                <w:rFonts w:hint="eastAsia" w:cs="宋体"/>
              </w:rPr>
            </w:pPr>
            <w:r>
              <w:rPr>
                <w:rFonts w:hint="eastAsia" w:cs="宋体"/>
              </w:rPr>
              <w:t>用于完成治疗用水的脱气、加温、上水、排放等相关功能。</w:t>
            </w:r>
          </w:p>
        </w:tc>
        <w:tc>
          <w:tcPr>
            <w:tcW w:w="630" w:type="dxa"/>
            <w:vMerge w:val="continue"/>
            <w:vAlign w:val="center"/>
          </w:tcPr>
          <w:p>
            <w:pPr>
              <w:jc w:val="center"/>
              <w:rPr>
                <w:rFonts w:hint="eastAsia" w:ascii="宋体" w:cs="宋体"/>
                <w:color w:val="000000"/>
                <w:sz w:val="20"/>
                <w:szCs w:val="20"/>
                <w:lang w:eastAsia="zh-CN"/>
              </w:rPr>
            </w:pPr>
          </w:p>
        </w:tc>
        <w:tc>
          <w:tcPr>
            <w:tcW w:w="645" w:type="dxa"/>
            <w:vMerge w:val="continue"/>
            <w:vAlign w:val="center"/>
          </w:tcPr>
          <w:p>
            <w:pPr>
              <w:jc w:val="center"/>
              <w:rPr>
                <w:rFonts w:hint="eastAsia" w:ascii="宋体" w:cs="宋体"/>
                <w:color w:val="000000"/>
                <w:sz w:val="20"/>
                <w:szCs w:val="20"/>
                <w:lang w:val="en-US" w:eastAsia="zh-CN"/>
              </w:rPr>
            </w:pPr>
          </w:p>
        </w:tc>
        <w:tc>
          <w:tcPr>
            <w:tcW w:w="1020" w:type="dxa"/>
            <w:vMerge w:val="continue"/>
            <w:vAlign w:val="center"/>
          </w:tcPr>
          <w:p>
            <w:pPr>
              <w:jc w:val="center"/>
              <w:rPr>
                <w:rFonts w:hint="eastAsia" w:ascii="宋体" w:cs="宋体"/>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47"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w:t>
            </w:r>
          </w:p>
        </w:tc>
        <w:tc>
          <w:tcPr>
            <w:tcW w:w="1350" w:type="dxa"/>
            <w:vAlign w:val="center"/>
          </w:tcPr>
          <w:p>
            <w:pPr>
              <w:jc w:val="center"/>
              <w:rPr>
                <w:rFonts w:hint="eastAsia" w:cs="宋体"/>
              </w:rPr>
            </w:pPr>
            <w:r>
              <w:rPr>
                <w:rFonts w:hint="eastAsia" w:cs="宋体"/>
              </w:rPr>
              <w:t>治疗系统</w:t>
            </w:r>
          </w:p>
        </w:tc>
        <w:tc>
          <w:tcPr>
            <w:tcW w:w="5580" w:type="dxa"/>
            <w:vAlign w:val="center"/>
          </w:tcPr>
          <w:p>
            <w:pPr>
              <w:jc w:val="both"/>
              <w:rPr>
                <w:rFonts w:hint="eastAsia" w:cs="宋体"/>
                <w:lang w:eastAsia="zh-CN"/>
              </w:rPr>
            </w:pPr>
            <w:r>
              <w:rPr>
                <w:rFonts w:hint="eastAsia" w:cs="宋体"/>
                <w:lang w:eastAsia="zh-CN"/>
              </w:rPr>
              <w:t>由治疗床、超声聚焦器及驱动装置组成</w:t>
            </w:r>
          </w:p>
          <w:p>
            <w:pPr>
              <w:jc w:val="both"/>
              <w:rPr>
                <w:rFonts w:hint="eastAsia" w:cs="宋体"/>
                <w:lang w:eastAsia="zh-CN"/>
              </w:rPr>
            </w:pPr>
            <w:r>
              <w:rPr>
                <w:rFonts w:hint="eastAsia" w:cs="宋体"/>
                <w:lang w:eastAsia="zh-CN"/>
              </w:rPr>
              <w:t>治疗床</w:t>
            </w:r>
            <w:r>
              <w:rPr>
                <w:rFonts w:hint="eastAsia" w:cs="宋体"/>
              </w:rPr>
              <w:t>采用</w:t>
            </w:r>
            <w:r>
              <w:t>ABS</w:t>
            </w:r>
            <w:r>
              <w:rPr>
                <w:rFonts w:hint="eastAsia" w:cs="宋体"/>
              </w:rPr>
              <w:t>工程塑料，美观安全，绝缘强度高</w:t>
            </w:r>
            <w:r>
              <w:rPr>
                <w:rFonts w:hint="eastAsia" w:cs="宋体"/>
                <w:lang w:eastAsia="zh-CN"/>
              </w:rPr>
              <w:t>；</w:t>
            </w:r>
          </w:p>
          <w:p>
            <w:pPr>
              <w:jc w:val="both"/>
              <w:rPr>
                <w:rFonts w:hint="eastAsia" w:cs="宋体"/>
                <w:lang w:eastAsia="zh-CN"/>
              </w:rPr>
            </w:pPr>
            <w:r>
              <w:rPr>
                <w:rFonts w:hint="eastAsia" w:cs="宋体"/>
                <w:lang w:eastAsia="zh-CN"/>
              </w:rPr>
              <w:t>超声聚焦器</w:t>
            </w:r>
            <w:r>
              <w:rPr>
                <w:rFonts w:hint="eastAsia" w:cs="宋体"/>
              </w:rPr>
              <w:t>为一精密凹球面的多元大功率超声聚焦器，置于治疗床下面的水槽内，</w:t>
            </w:r>
            <w:r>
              <w:t>B</w:t>
            </w:r>
            <w:r>
              <w:rPr>
                <w:rFonts w:hint="eastAsia" w:cs="宋体"/>
              </w:rPr>
              <w:t>超腹部探头安装于超声聚焦器内，可由相关电机驱动实现在聚焦器内中轴线上的升降和旋转运动，</w:t>
            </w:r>
            <w:r>
              <w:t>B</w:t>
            </w:r>
            <w:r>
              <w:rPr>
                <w:rFonts w:hint="eastAsia" w:cs="宋体"/>
              </w:rPr>
              <w:t>超探头可将在</w:t>
            </w:r>
            <w:r>
              <w:rPr>
                <w:rFonts w:ascii="宋体" w:cs="宋体"/>
              </w:rPr>
              <w:t>0</w:t>
            </w:r>
            <w:r>
              <w:rPr>
                <w:rFonts w:hint="eastAsia" w:ascii="宋体" w:hAnsi="宋体" w:cs="宋体"/>
              </w:rPr>
              <w:t>°</w:t>
            </w:r>
            <w:r>
              <w:rPr>
                <w:rFonts w:hint="eastAsia" w:cs="宋体"/>
              </w:rPr>
              <w:t>到</w:t>
            </w:r>
            <w:r>
              <w:t>90</w:t>
            </w:r>
            <w:r>
              <w:rPr>
                <w:rFonts w:hint="eastAsia" w:cs="宋体"/>
              </w:rPr>
              <w:t>°的范围内旋转</w:t>
            </w:r>
            <w:r>
              <w:rPr>
                <w:rFonts w:hint="eastAsia" w:cs="宋体"/>
                <w:lang w:eastAsia="zh-CN"/>
              </w:rPr>
              <w:t>；</w:t>
            </w:r>
          </w:p>
          <w:p>
            <w:pPr>
              <w:jc w:val="both"/>
              <w:rPr>
                <w:rFonts w:hint="eastAsia" w:cs="宋体"/>
                <w:lang w:eastAsia="zh-CN"/>
              </w:rPr>
            </w:pPr>
            <w:r>
              <w:rPr>
                <w:rFonts w:hint="eastAsia" w:cs="宋体"/>
                <w:lang w:eastAsia="zh-CN"/>
              </w:rPr>
              <w:t>驱动装置</w:t>
            </w:r>
            <w:r>
              <w:rPr>
                <w:rFonts w:hint="eastAsia" w:cs="宋体"/>
              </w:rPr>
              <w:t>在治疗程序控制软件控制下，驱动超声聚焦器在</w:t>
            </w:r>
            <w:r>
              <w:t>X</w:t>
            </w:r>
            <w:r>
              <w:rPr>
                <w:rFonts w:hint="eastAsia" w:cs="宋体"/>
              </w:rPr>
              <w:t>、</w:t>
            </w:r>
            <w:r>
              <w:t>Y</w:t>
            </w:r>
            <w:r>
              <w:rPr>
                <w:rFonts w:hint="eastAsia" w:cs="宋体"/>
              </w:rPr>
              <w:t>、</w:t>
            </w:r>
            <w:r>
              <w:t>Z</w:t>
            </w:r>
            <w:r>
              <w:rPr>
                <w:rFonts w:hint="eastAsia" w:cs="宋体"/>
              </w:rPr>
              <w:t>方向作精确三维直线运动，使超声焦点对准病灶并进行逐点扫描治疗，患者无需移动。</w:t>
            </w:r>
          </w:p>
        </w:tc>
        <w:tc>
          <w:tcPr>
            <w:tcW w:w="630" w:type="dxa"/>
            <w:vMerge w:val="continue"/>
            <w:vAlign w:val="center"/>
          </w:tcPr>
          <w:p>
            <w:pPr>
              <w:jc w:val="center"/>
              <w:rPr>
                <w:rFonts w:hint="eastAsia" w:ascii="宋体" w:cs="宋体"/>
                <w:color w:val="000000"/>
                <w:sz w:val="20"/>
                <w:szCs w:val="20"/>
                <w:lang w:eastAsia="zh-CN"/>
              </w:rPr>
            </w:pPr>
          </w:p>
        </w:tc>
        <w:tc>
          <w:tcPr>
            <w:tcW w:w="645" w:type="dxa"/>
            <w:vMerge w:val="continue"/>
            <w:vAlign w:val="center"/>
          </w:tcPr>
          <w:p>
            <w:pPr>
              <w:jc w:val="center"/>
              <w:rPr>
                <w:rFonts w:hint="eastAsia" w:ascii="宋体" w:cs="宋体"/>
                <w:color w:val="000000"/>
                <w:sz w:val="20"/>
                <w:szCs w:val="20"/>
                <w:lang w:val="en-US" w:eastAsia="zh-CN"/>
              </w:rPr>
            </w:pPr>
          </w:p>
        </w:tc>
        <w:tc>
          <w:tcPr>
            <w:tcW w:w="1020" w:type="dxa"/>
            <w:vMerge w:val="continue"/>
            <w:vAlign w:val="center"/>
          </w:tcPr>
          <w:p>
            <w:pPr>
              <w:jc w:val="center"/>
              <w:rPr>
                <w:rFonts w:hint="eastAsia" w:ascii="宋体" w:cs="宋体"/>
                <w:color w:val="000000"/>
                <w:sz w:val="20"/>
                <w:szCs w:val="20"/>
                <w:lang w:eastAsia="zh-CN"/>
              </w:rPr>
            </w:pPr>
          </w:p>
        </w:tc>
      </w:tr>
    </w:tbl>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、投标人应就该项目进行完整投标，否则为无效投标。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rPr>
        <w:t>、本招标文件所列需求为最低要求，投标产品不得低于最低要求，否则为无效投标。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val="zh-CN"/>
        </w:rPr>
        <w:t>、质量要求：合格。设备必须符合国家质量检测标准和本招标文件规定标准的全新正品现货，提供随货物《产品合格证》及其它相关质量、技术及技术证明文件。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val="zh-CN"/>
        </w:rPr>
        <w:t>、维修响应时间在接到客户报修电话后24小时内响应并给出解决方案，48小时内现场解决问题。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val="zh-CN"/>
        </w:rPr>
        <w:t>、中标人提供现场技术培训，保证使用人员能够正确操作、使用设备的各种功能，设备安装时，设备厂家的安装人员对医院设备管理及维修人员进行技术培训，以保障该设备日常使用的规范性以及该设备的日常保养；设备安装后，由厂家派临床操作医生前往医院现场指导培训三周（分两次完成），并确保该院医生能独立完成患者的治疗。</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val="zh-CN"/>
        </w:rPr>
        <w:t>、自设备经用户验收完毕起12个月为质保期，厂家负责在正常操作情况下的设备维护及零部件更换等免费服务；在质保期后，厂家提供正常的维修、维护服务，零部件更换只收取成本费用，不响应的为无效投标。</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10、免费为用户开展远程设备故障诊断服务；负责每年定期及不定期巡回对医院设备的使用状况进行检查，并及时向医院提交相应的检查报告及处理意见。</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w:t>
      </w:r>
      <w:r>
        <w:rPr>
          <w:rFonts w:hint="eastAsia" w:cs="黑体" w:asciiTheme="minorEastAsia" w:hAnsiTheme="minorEastAsia" w:eastAsiaTheme="minorEastAsia"/>
          <w:b/>
          <w:bCs/>
          <w:color w:val="000000"/>
          <w:shd w:val="clear" w:color="auto" w:fill="FFFFFF"/>
          <w:lang w:val="en-US" w:eastAsia="zh-CN"/>
        </w:rPr>
        <w:t>350</w:t>
      </w:r>
      <w:r>
        <w:rPr>
          <w:rFonts w:hint="eastAsia" w:cs="黑体" w:asciiTheme="minorEastAsia" w:hAnsiTheme="minorEastAsia" w:eastAsiaTheme="minorEastAsia"/>
          <w:b/>
          <w:bCs/>
          <w:color w:val="000000"/>
          <w:shd w:val="clear" w:color="auto" w:fill="FFFFFF"/>
        </w:rPr>
        <w:t>万元；最高限价：</w:t>
      </w:r>
      <w:r>
        <w:rPr>
          <w:rFonts w:hint="eastAsia" w:cs="黑体" w:asciiTheme="minorEastAsia" w:hAnsiTheme="minorEastAsia" w:eastAsiaTheme="minorEastAsia"/>
          <w:b/>
          <w:bCs/>
          <w:color w:val="000000"/>
          <w:shd w:val="clear" w:color="auto" w:fill="FFFFFF"/>
          <w:lang w:val="en-US" w:eastAsia="zh-CN"/>
        </w:rPr>
        <w:t>350</w:t>
      </w:r>
      <w:r>
        <w:rPr>
          <w:rFonts w:hint="eastAsia" w:cs="黑体" w:asciiTheme="minorEastAsia" w:hAnsiTheme="minorEastAsia" w:eastAsiaTheme="minorEastAsia"/>
          <w:b/>
          <w:bCs/>
          <w:color w:val="000000"/>
          <w:shd w:val="clear" w:color="auto" w:fill="FFFFFF"/>
        </w:rPr>
        <w:t>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2、</w:t>
      </w:r>
      <w:r>
        <w:rPr>
          <w:rFonts w:hint="eastAsia" w:cs="黑体" w:asciiTheme="minorEastAsia" w:hAnsiTheme="minorEastAsia"/>
          <w:color w:val="000000"/>
          <w:kern w:val="0"/>
          <w:sz w:val="24"/>
          <w:szCs w:val="24"/>
          <w:lang w:val="zh-CN"/>
        </w:rPr>
        <w:t>支付时间及条件：设备安装调试合格使用后付合同总价款的</w:t>
      </w:r>
      <w:r>
        <w:rPr>
          <w:rFonts w:hint="eastAsia" w:cs="黑体" w:asciiTheme="minorEastAsia" w:hAnsiTheme="minorEastAsia"/>
          <w:color w:val="000000"/>
          <w:kern w:val="0"/>
          <w:sz w:val="24"/>
          <w:szCs w:val="24"/>
          <w:lang w:val="en-US" w:eastAsia="zh-CN"/>
        </w:rPr>
        <w:t>90</w:t>
      </w:r>
      <w:r>
        <w:rPr>
          <w:rFonts w:hint="eastAsia" w:cs="黑体" w:asciiTheme="minorEastAsia" w:hAnsiTheme="minorEastAsia"/>
          <w:color w:val="000000"/>
          <w:kern w:val="0"/>
          <w:sz w:val="24"/>
          <w:szCs w:val="24"/>
          <w:lang w:val="zh-CN"/>
        </w:rPr>
        <w:t>%，剩余</w:t>
      </w:r>
      <w:r>
        <w:rPr>
          <w:rFonts w:hint="eastAsia" w:cs="黑体" w:asciiTheme="minorEastAsia" w:hAnsiTheme="minorEastAsia"/>
          <w:color w:val="000000"/>
          <w:kern w:val="0"/>
          <w:sz w:val="24"/>
          <w:szCs w:val="24"/>
          <w:lang w:val="en-US" w:eastAsia="zh-CN"/>
        </w:rPr>
        <w:t>10</w:t>
      </w:r>
      <w:r>
        <w:rPr>
          <w:rFonts w:hint="eastAsia" w:cs="黑体" w:asciiTheme="minorEastAsia" w:hAnsiTheme="minorEastAsia"/>
          <w:color w:val="000000"/>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长葛市人民医院“高强度聚焦超声肿瘤治疗系统医疗设备采购”项目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047</w:t>
            </w:r>
            <w:bookmarkStart w:id="14" w:name="_GoBack"/>
            <w:bookmarkEnd w:id="14"/>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高强度聚焦超声肿瘤治疗系统</w:t>
            </w:r>
            <w:r>
              <w:rPr>
                <w:rFonts w:hint="eastAsia" w:cs="仿宋_GB2312" w:asciiTheme="minorEastAsia" w:hAnsiTheme="minorEastAsia"/>
                <w:color w:val="auto"/>
                <w:sz w:val="24"/>
                <w:szCs w:val="24"/>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长葛市人民医院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长葛市人民医院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址：长葛市长社路52号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赵永鑫</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val="en-US" w:eastAsia="zh-CN"/>
              </w:rPr>
              <w:t>13837405000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名称：北京华采招标代理有限公司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七、具有相应范围的《医疗器械生产许可证》或《医疗器械经营许可证》经营范围涵盖所投包号产品，并具有投标产品的《中华人民共和国医疗器械注册证》并加盖投标人公章的原件扫描件（或图片）；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350</w:t>
            </w:r>
            <w:r>
              <w:rPr>
                <w:rFonts w:hint="eastAsia" w:cs="宋体" w:asciiTheme="minorEastAsia" w:hAnsiTheme="minorEastAsia"/>
                <w:bCs/>
                <w:color w:val="auto"/>
                <w:sz w:val="24"/>
                <w:szCs w:val="24"/>
                <w:lang w:val="zh-CN"/>
              </w:rPr>
              <w:t>万元；最高限价：</w:t>
            </w:r>
            <w:r>
              <w:rPr>
                <w:rFonts w:hint="eastAsia" w:cs="宋体" w:asciiTheme="minorEastAsia" w:hAnsiTheme="minorEastAsia"/>
                <w:bCs/>
                <w:color w:val="auto"/>
                <w:sz w:val="24"/>
                <w:szCs w:val="24"/>
                <w:lang w:val="en-US" w:eastAsia="zh-CN"/>
              </w:rPr>
              <w:t>350</w:t>
            </w:r>
            <w:r>
              <w:rPr>
                <w:rFonts w:hint="eastAsia" w:cs="宋体" w:asciiTheme="minorEastAsia" w:hAnsiTheme="minorEastAsia"/>
                <w:bCs/>
                <w:color w:val="auto"/>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2018年9月5日9时30分（北京时间）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五</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金额：柒万元整（¥</w:t>
            </w:r>
            <w:r>
              <w:rPr>
                <w:rFonts w:hint="eastAsia" w:cs="仿宋_GB2312" w:asciiTheme="minorEastAsia" w:hAnsiTheme="minorEastAsia"/>
                <w:color w:val="auto"/>
                <w:sz w:val="24"/>
                <w:szCs w:val="24"/>
                <w:lang w:val="en-US" w:eastAsia="zh-CN"/>
              </w:rPr>
              <w:t>70000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autoSpaceDE w:val="0"/>
        <w:autoSpaceDN w:val="0"/>
        <w:spacing w:line="360" w:lineRule="auto"/>
        <w:ind w:left="78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numPr>
          <w:ilvl w:val="1"/>
          <w:numId w:val="9"/>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numPr>
          <w:ilvl w:val="1"/>
          <w:numId w:val="10"/>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numPr>
          <w:ilvl w:val="0"/>
          <w:numId w:val="1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numPr>
          <w:ilvl w:val="0"/>
          <w:numId w:val="13"/>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numPr>
          <w:ilvl w:val="0"/>
          <w:numId w:val="1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numPr>
          <w:ilvl w:val="1"/>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numPr>
          <w:ilvl w:val="0"/>
          <w:numId w:val="1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numPr>
          <w:ilvl w:val="0"/>
          <w:numId w:val="1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szCs w:val="21"/>
        </w:rPr>
        <w:t>并加盖投标人公章的原件扫描件（或图片）</w:t>
      </w:r>
      <w:r>
        <w:rPr>
          <w:rFonts w:hint="eastAsia" w:cs="仿宋_GB2312" w:asciiTheme="minorEastAsia" w:hAnsiTheme="minorEastAsia"/>
          <w:szCs w:val="21"/>
          <w:lang w:val="zh-CN"/>
        </w:rPr>
        <w:t>。投标人所投其他产品若属于“节能产品政府采购清单”优先采购产品，在同等条件下，优先采购清单中的产品。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000000"/>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sz w:val="24"/>
          <w:szCs w:val="24"/>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w:t>
            </w:r>
            <w:r>
              <w:rPr>
                <w:rFonts w:hint="eastAsia" w:asciiTheme="minorEastAsia" w:hAnsiTheme="minorEastAsia"/>
                <w:b/>
                <w:sz w:val="24"/>
                <w:szCs w:val="24"/>
                <w:lang w:eastAsia="zh-CN"/>
              </w:rPr>
              <w:t>；</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ascii="宋体" w:hAnsi="宋体" w:eastAsia="宋体" w:cs="宋体"/>
                <w:sz w:val="24"/>
                <w:szCs w:val="24"/>
              </w:rPr>
            </w:pPr>
            <w:r>
              <w:rPr>
                <w:rFonts w:hint="eastAsia" w:ascii="宋体" w:hAnsi="宋体" w:eastAsia="宋体" w:cs="宋体"/>
                <w:sz w:val="24"/>
                <w:szCs w:val="24"/>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25</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45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价格部分（满分</w:t>
            </w:r>
            <w:r>
              <w:rPr>
                <w:rFonts w:hint="eastAsia" w:ascii="宋体" w:hAnsi="宋体" w:eastAsia="宋体" w:cs="宋体"/>
                <w:b/>
                <w:color w:val="000000"/>
                <w:sz w:val="24"/>
                <w:szCs w:val="24"/>
                <w:u w:val="single"/>
              </w:rPr>
              <w:t>30</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ascii="宋体" w:hAnsi="宋体" w:eastAsia="宋体" w:cs="宋体"/>
                <w:color w:val="000000"/>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商务部分（满分</w:t>
            </w:r>
            <w:r>
              <w:rPr>
                <w:rFonts w:hint="eastAsia" w:ascii="宋体" w:hAnsi="宋体" w:eastAsia="宋体" w:cs="宋体"/>
                <w:b/>
                <w:color w:val="000000"/>
                <w:sz w:val="24"/>
                <w:szCs w:val="24"/>
                <w:u w:val="single"/>
              </w:rPr>
              <w:t>25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430" w:lineRule="exact"/>
              <w:rPr>
                <w:rFonts w:ascii="宋体" w:hAnsi="宋体" w:eastAsia="宋体" w:cs="宋体"/>
                <w:b/>
                <w:color w:val="000000"/>
                <w:sz w:val="24"/>
              </w:rPr>
            </w:pPr>
            <w:r>
              <w:rPr>
                <w:rFonts w:hint="eastAsia" w:ascii="宋体" w:hAnsi="宋体" w:eastAsia="宋体" w:cs="宋体"/>
                <w:b/>
                <w:color w:val="000000"/>
                <w:sz w:val="24"/>
              </w:rPr>
              <w:t>节约能源、保护环境政策加分</w:t>
            </w:r>
          </w:p>
          <w:p>
            <w:pPr>
              <w:spacing w:line="36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1、除政府强制采购的节能产品外，投标人所投其他产品属于“节能产品政府采购清单”优先采购产品，</w:t>
            </w:r>
            <w:r>
              <w:rPr>
                <w:rFonts w:hint="eastAsia" w:ascii="宋体" w:hAnsi="宋体" w:eastAsia="宋体" w:cs="仿宋_GB2312"/>
                <w:sz w:val="24"/>
                <w:szCs w:val="24"/>
                <w:lang w:val="zh-CN"/>
              </w:rPr>
              <w:t>投标文件中须提供最新一期《节能产品政府采购清单》中产品所在页复印件加盖投标人公章。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2、投标人所投产品属于“环境标志产品政府采购清单”内产品，</w:t>
            </w:r>
            <w:r>
              <w:rPr>
                <w:rFonts w:hint="eastAsia" w:ascii="宋体" w:hAnsi="宋体" w:eastAsia="宋体" w:cs="仿宋_GB2312"/>
                <w:sz w:val="24"/>
                <w:szCs w:val="24"/>
                <w:lang w:val="zh-CN"/>
              </w:rPr>
              <w:t>投标文件中须提供最新一期《环保产品政府采购清单》中产品所在页复印件加盖投标人公章。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rPr>
                <w:rFonts w:ascii="宋体" w:hAnsi="宋体" w:eastAsia="宋体" w:cs="宋体"/>
                <w:color w:val="000000"/>
                <w:sz w:val="24"/>
                <w:szCs w:val="24"/>
              </w:rPr>
            </w:pPr>
            <w:r>
              <w:rPr>
                <w:rFonts w:hint="eastAsia" w:ascii="宋体" w:hAnsi="宋体" w:eastAsia="宋体" w:cs="宋体"/>
                <w:b/>
                <w:color w:val="000000"/>
                <w:sz w:val="24"/>
                <w:szCs w:val="24"/>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000000"/>
                <w:sz w:val="24"/>
              </w:rPr>
            </w:pPr>
            <w:r>
              <w:rPr>
                <w:rFonts w:hint="eastAsia" w:ascii="宋体" w:hAnsi="宋体" w:eastAsia="宋体" w:cs="宋体"/>
                <w:b/>
                <w:color w:val="000000"/>
                <w:sz w:val="24"/>
              </w:rPr>
              <w:t xml:space="preserve"> 业绩</w:t>
            </w:r>
          </w:p>
          <w:p>
            <w:pPr>
              <w:spacing w:line="430" w:lineRule="exact"/>
              <w:ind w:firstLine="560" w:firstLineChars="200"/>
              <w:rPr>
                <w:rFonts w:ascii="仿宋" w:hAnsi="仿宋" w:eastAsia="仿宋" w:cs="仿宋"/>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000000"/>
                <w:sz w:val="24"/>
              </w:rPr>
            </w:pPr>
            <w:r>
              <w:rPr>
                <w:rFonts w:hint="eastAsia" w:ascii="宋体" w:hAnsi="宋体" w:eastAsia="宋体" w:cs="宋体"/>
                <w:sz w:val="24"/>
              </w:rPr>
              <w:t>投标人2015年1月1日以来，具有类似项目业绩单次合同金额在：</w:t>
            </w:r>
            <w:r>
              <w:rPr>
                <w:rFonts w:hint="eastAsia" w:ascii="宋体" w:hAnsi="宋体" w:eastAsia="宋体" w:cs="宋体"/>
                <w:sz w:val="24"/>
                <w:lang w:val="en-US" w:eastAsia="zh-CN"/>
              </w:rPr>
              <w:t>300</w:t>
            </w:r>
            <w:r>
              <w:rPr>
                <w:rFonts w:hint="eastAsia" w:ascii="宋体" w:hAnsi="宋体" w:eastAsia="宋体" w:cs="宋体"/>
                <w:sz w:val="24"/>
              </w:rPr>
              <w:t>万元以上（含</w:t>
            </w:r>
            <w:r>
              <w:rPr>
                <w:rFonts w:hint="eastAsia" w:ascii="宋体" w:hAnsi="宋体" w:eastAsia="宋体" w:cs="宋体"/>
                <w:sz w:val="24"/>
                <w:lang w:val="en-US" w:eastAsia="zh-CN"/>
              </w:rPr>
              <w:t>300</w:t>
            </w:r>
            <w:r>
              <w:rPr>
                <w:rFonts w:hint="eastAsia" w:ascii="宋体" w:hAnsi="宋体" w:eastAsia="宋体" w:cs="宋体"/>
                <w:sz w:val="24"/>
              </w:rPr>
              <w:t>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8"/>
                <w:szCs w:val="28"/>
              </w:rPr>
            </w:pPr>
            <w:r>
              <w:rPr>
                <w:rFonts w:hint="eastAsia" w:ascii="宋体" w:hAnsi="宋体" w:eastAsia="宋体" w:cs="宋体"/>
                <w:b/>
                <w:bCs/>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GB"/>
              </w:rPr>
              <w:tab/>
            </w:r>
            <w:r>
              <w:rPr>
                <w:rFonts w:hint="eastAsia" w:ascii="宋体" w:hAnsi="宋体" w:eastAsia="宋体" w:cs="宋体"/>
                <w:sz w:val="24"/>
                <w:szCs w:val="24"/>
                <w:lang w:val="en-GB"/>
              </w:rPr>
              <w:t>生产厂家提供ISO9001质量管理体系认证证书、ISO13485医疗器械质量管理体系认证证书的，每提供一项得</w:t>
            </w:r>
            <w:r>
              <w:rPr>
                <w:rFonts w:hint="eastAsia" w:ascii="宋体" w:hAnsi="宋体" w:eastAsia="宋体" w:cs="宋体"/>
                <w:sz w:val="24"/>
                <w:szCs w:val="24"/>
              </w:rPr>
              <w:t>3</w:t>
            </w:r>
            <w:r>
              <w:rPr>
                <w:rFonts w:hint="eastAsia" w:ascii="宋体" w:hAnsi="宋体" w:eastAsia="宋体" w:cs="宋体"/>
                <w:sz w:val="24"/>
                <w:szCs w:val="24"/>
                <w:lang w:val="en-GB"/>
              </w:rPr>
              <w:t>分，满分</w:t>
            </w:r>
            <w:r>
              <w:rPr>
                <w:rFonts w:ascii="宋体" w:hAnsi="宋体" w:eastAsia="宋体" w:cs="宋体"/>
                <w:sz w:val="24"/>
                <w:szCs w:val="24"/>
                <w:lang w:val="en-GB"/>
              </w:rPr>
              <w:t>6</w:t>
            </w:r>
            <w:r>
              <w:rPr>
                <w:rFonts w:hint="eastAsia" w:ascii="宋体" w:hAnsi="宋体" w:eastAsia="宋体" w:cs="宋体"/>
                <w:sz w:val="24"/>
                <w:szCs w:val="24"/>
                <w:lang w:val="en-GB"/>
              </w:rPr>
              <w:t>分，不提供不得分。</w:t>
            </w:r>
          </w:p>
          <w:p>
            <w:pPr>
              <w:spacing w:line="360" w:lineRule="auto"/>
              <w:jc w:val="left"/>
              <w:rPr>
                <w:rFonts w:ascii="宋体" w:hAnsi="宋体" w:eastAsia="宋体" w:cs="宋体"/>
                <w:sz w:val="24"/>
              </w:rPr>
            </w:pPr>
            <w:r>
              <w:rPr>
                <w:rFonts w:hint="eastAsia" w:ascii="宋体" w:hAnsi="宋体" w:eastAsia="宋体" w:cs="宋体"/>
                <w:sz w:val="24"/>
                <w:szCs w:val="24"/>
                <w:lang w:val="en-GB"/>
              </w:rPr>
              <w:t>2、</w:t>
            </w:r>
            <w:r>
              <w:rPr>
                <w:rFonts w:hint="eastAsia" w:ascii="宋体" w:hAnsi="宋体" w:eastAsia="宋体" w:cs="宋体"/>
                <w:sz w:val="24"/>
                <w:szCs w:val="24"/>
                <w:lang w:val="en-GB"/>
              </w:rPr>
              <w:tab/>
            </w:r>
            <w:r>
              <w:rPr>
                <w:rFonts w:hint="eastAsia" w:ascii="宋体" w:hAnsi="宋体" w:eastAsia="宋体" w:cs="宋体"/>
                <w:sz w:val="24"/>
                <w:szCs w:val="24"/>
                <w:lang w:val="en-GB"/>
              </w:rPr>
              <w:t>投标所有产品通过CE认证证书，并提供资料满足得</w:t>
            </w:r>
            <w:r>
              <w:rPr>
                <w:rFonts w:hint="eastAsia" w:ascii="宋体" w:hAnsi="宋体" w:eastAsia="宋体" w:cs="宋体"/>
                <w:sz w:val="24"/>
                <w:szCs w:val="24"/>
              </w:rPr>
              <w:t>4</w:t>
            </w:r>
            <w:r>
              <w:rPr>
                <w:rFonts w:hint="eastAsia" w:ascii="宋体" w:hAnsi="宋体" w:eastAsia="宋体" w:cs="宋体"/>
                <w:sz w:val="24"/>
                <w:szCs w:val="24"/>
                <w:lang w:val="en-GB"/>
              </w:rPr>
              <w:t>分,</w:t>
            </w:r>
            <w:r>
              <w:rPr>
                <w:rFonts w:hint="eastAsia"/>
              </w:rPr>
              <w:t xml:space="preserve"> </w:t>
            </w:r>
            <w:r>
              <w:rPr>
                <w:rFonts w:hint="eastAsia" w:ascii="宋体" w:hAnsi="宋体" w:eastAsia="宋体" w:cs="宋体"/>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ascii="宋体" w:hAnsi="宋体" w:eastAsia="宋体" w:cs="宋体"/>
                <w:sz w:val="24"/>
                <w:szCs w:val="24"/>
                <w:lang w:val="en-GB"/>
              </w:rPr>
              <w:t>10</w:t>
            </w:r>
            <w:r>
              <w:rPr>
                <w:rFonts w:hint="eastAsia" w:ascii="宋体" w:hAnsi="宋体" w:eastAsia="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售后服务</w:t>
            </w:r>
          </w:p>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及培训</w:t>
            </w:r>
          </w:p>
          <w:p>
            <w:pPr>
              <w:spacing w:line="43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000000"/>
                <w:sz w:val="24"/>
                <w:szCs w:val="24"/>
              </w:rPr>
            </w:pPr>
            <w:r>
              <w:rPr>
                <w:rFonts w:hint="eastAsia" w:ascii="宋体" w:hAnsi="宋体" w:eastAsia="宋体" w:cs="宋体"/>
                <w:sz w:val="24"/>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w:t>
            </w:r>
            <w:r>
              <w:rPr>
                <w:rFonts w:hint="eastAsia" w:ascii="宋体" w:hAnsi="宋体" w:eastAsia="宋体" w:cs="Courier New"/>
                <w:bCs/>
                <w:sz w:val="24"/>
              </w:rPr>
              <w:t>不满足不得分</w:t>
            </w:r>
            <w:r>
              <w:rPr>
                <w:rFonts w:hint="eastAsia" w:ascii="宋体" w:hAnsi="宋体" w:eastAsia="宋体" w:cs="宋体"/>
                <w:color w:val="000000"/>
                <w:sz w:val="24"/>
                <w:szCs w:val="24"/>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11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技术部分（满分</w:t>
            </w:r>
            <w:r>
              <w:rPr>
                <w:rFonts w:hint="eastAsia" w:ascii="宋体" w:hAnsi="宋体" w:eastAsia="宋体" w:cs="宋体"/>
                <w:b/>
                <w:color w:val="000000"/>
                <w:sz w:val="24"/>
                <w:szCs w:val="24"/>
                <w:u w:val="single"/>
              </w:rPr>
              <w:t>45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投标文件的规范程度</w:t>
            </w:r>
          </w:p>
          <w:p>
            <w:pPr>
              <w:jc w:val="center"/>
              <w:rPr>
                <w:rFonts w:ascii="宋体" w:hAnsi="宋体" w:eastAsia="宋体" w:cs="宋体"/>
                <w:b/>
                <w:color w:val="000000"/>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000000"/>
                <w:sz w:val="24"/>
              </w:rPr>
            </w:pPr>
            <w:r>
              <w:rPr>
                <w:rFonts w:hint="eastAsia" w:ascii="宋体" w:hAnsi="宋体" w:eastAsia="宋体" w:cs="Courier New"/>
                <w:bCs/>
                <w:color w:val="000000"/>
                <w:sz w:val="24"/>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000000"/>
                <w:sz w:val="24"/>
              </w:rPr>
            </w:pPr>
            <w:r>
              <w:rPr>
                <w:rFonts w:hint="eastAsia" w:ascii="宋体" w:hAnsi="宋体" w:eastAsia="宋体" w:cs="Courier New"/>
                <w:bCs/>
                <w:color w:val="000000"/>
                <w:sz w:val="24"/>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对招标文件的响应程度</w:t>
            </w:r>
          </w:p>
          <w:p>
            <w:pPr>
              <w:spacing w:line="360" w:lineRule="exact"/>
              <w:jc w:val="center"/>
              <w:rPr>
                <w:rFonts w:ascii="宋体" w:hAnsi="宋体" w:eastAsia="宋体" w:cs="宋体"/>
                <w:color w:val="000000"/>
                <w:sz w:val="24"/>
                <w:szCs w:val="24"/>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b/>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4"/>
              </w:rPr>
            </w:pPr>
            <w:r>
              <w:rPr>
                <w:rFonts w:hint="eastAsia" w:ascii="宋体" w:hAnsi="宋体" w:cs="宋体"/>
                <w:sz w:val="24"/>
              </w:rPr>
              <w:t>①</w:t>
            </w:r>
            <w:r>
              <w:rPr>
                <w:rFonts w:hint="eastAsia" w:ascii="宋体" w:hAnsi="宋体" w:cs="宋体"/>
                <w:sz w:val="24"/>
                <w:lang w:eastAsia="zh-CN"/>
              </w:rPr>
              <w:t>未</w:t>
            </w:r>
            <w:r>
              <w:rPr>
                <w:rFonts w:hint="eastAsia" w:ascii="宋体" w:hAnsi="宋体" w:cs="宋体"/>
                <w:sz w:val="24"/>
              </w:rPr>
              <w:t>实质性响应招标文件要求的视为无效投标。</w:t>
            </w:r>
          </w:p>
          <w:p>
            <w:pPr>
              <w:spacing w:line="360" w:lineRule="auto"/>
              <w:rPr>
                <w:rFonts w:ascii="宋体" w:hAnsi="宋体" w:eastAsia="宋体" w:cs="Courier New"/>
                <w:bCs/>
                <w:color w:val="000000"/>
                <w:sz w:val="24"/>
              </w:rPr>
            </w:pPr>
            <w:r>
              <w:rPr>
                <w:rFonts w:hint="eastAsia" w:ascii="宋体" w:hAnsi="宋体" w:eastAsia="宋体" w:cs="宋体"/>
                <w:sz w:val="24"/>
              </w:rPr>
              <w:t>②根据投标人对所投产品配置的成熟性、稳定性、可维修性及产品性能与配置等情况，全部满足的得26分。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43分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6"/>
          <w:rFonts w:ascii="宋体" w:hAnsi="宋体" w:eastAsia="宋体"/>
        </w:rPr>
      </w:pPr>
      <w:bookmarkStart w:id="2" w:name="_Toc174185203"/>
      <w:bookmarkStart w:id="3" w:name="_Toc184023138"/>
      <w:bookmarkStart w:id="4" w:name="_Toc186274126"/>
      <w:r>
        <w:rPr>
          <w:rStyle w:val="26"/>
          <w:rFonts w:hint="eastAsia" w:ascii="宋体" w:hAnsi="宋体" w:eastAsia="宋体"/>
        </w:rPr>
        <w:t>投标文件封皮格式</w:t>
      </w:r>
      <w:bookmarkStart w:id="5" w:name="_Toc14398"/>
      <w:bookmarkStart w:id="6" w:name="_Toc16238"/>
      <w:bookmarkStart w:id="7" w:name="_Toc12595"/>
      <w:bookmarkStart w:id="8" w:name="_Toc5131"/>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5"/>
    <w:bookmarkEnd w:id="6"/>
    <w:bookmarkEnd w:id="7"/>
    <w:bookmarkEnd w:id="8"/>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9" w:name="_资格证明文件"/>
            <w:bookmarkEnd w:id="9"/>
            <w:bookmarkStart w:id="10" w:name="_Toc364329026"/>
            <w:r>
              <w:rPr>
                <w:rFonts w:hint="eastAsia" w:asciiTheme="minorEastAsia" w:hAnsiTheme="minorEastAsia"/>
                <w:sz w:val="24"/>
                <w:szCs w:val="24"/>
              </w:rPr>
              <w:t>法定代表人授权代表身份证（正面）</w:t>
            </w:r>
            <w:bookmarkEnd w:id="10"/>
          </w:p>
        </w:tc>
        <w:tc>
          <w:tcPr>
            <w:tcW w:w="4492" w:type="dxa"/>
            <w:gridSpan w:val="2"/>
            <w:vAlign w:val="center"/>
          </w:tcPr>
          <w:p>
            <w:pPr>
              <w:jc w:val="center"/>
              <w:rPr>
                <w:rFonts w:asciiTheme="minorEastAsia" w:hAnsiTheme="minorEastAsia"/>
                <w:sz w:val="24"/>
                <w:szCs w:val="24"/>
              </w:rPr>
            </w:pPr>
            <w:bookmarkStart w:id="11" w:name="_Toc364329027"/>
            <w:r>
              <w:rPr>
                <w:rFonts w:hint="eastAsia" w:asciiTheme="minorEastAsia" w:hAnsiTheme="minorEastAsia"/>
                <w:sz w:val="24"/>
                <w:szCs w:val="24"/>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2" w:name="OLE_LINK14"/>
      <w:bookmarkStart w:id="13" w:name="OLE_LINK13"/>
      <w:r>
        <w:rPr>
          <w:rFonts w:hint="eastAsia" w:ascii="宋体" w:hAnsi="宋体"/>
          <w:b/>
          <w:bCs/>
          <w:color w:val="000000"/>
          <w:sz w:val="36"/>
          <w:szCs w:val="36"/>
        </w:rPr>
        <w:t>4.10 残疾人福利性单位声明函</w:t>
      </w:r>
    </w:p>
    <w:bookmarkEnd w:id="12"/>
    <w:bookmarkEnd w:id="13"/>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485006EF"/>
    <w:multiLevelType w:val="singleLevel"/>
    <w:tmpl w:val="485006EF"/>
    <w:lvl w:ilvl="0" w:tentative="0">
      <w:start w:val="5"/>
      <w:numFmt w:val="chineseCounting"/>
      <w:suff w:val="nothing"/>
      <w:lvlText w:val="（%1）"/>
      <w:lvlJc w:val="left"/>
      <w:rPr>
        <w:rFonts w:hint="eastAsia"/>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6"/>
  </w:num>
  <w:num w:numId="4">
    <w:abstractNumId w:val="13"/>
  </w:num>
  <w:num w:numId="5">
    <w:abstractNumId w:val="15"/>
  </w:num>
  <w:num w:numId="6">
    <w:abstractNumId w:val="0"/>
  </w:num>
  <w:num w:numId="7">
    <w:abstractNumId w:val="8"/>
  </w:num>
  <w:num w:numId="8">
    <w:abstractNumId w:val="17"/>
  </w:num>
  <w:num w:numId="9">
    <w:abstractNumId w:val="18"/>
  </w:num>
  <w:num w:numId="10">
    <w:abstractNumId w:val="12"/>
  </w:num>
  <w:num w:numId="11">
    <w:abstractNumId w:val="9"/>
  </w:num>
  <w:num w:numId="12">
    <w:abstractNumId w:val="5"/>
  </w:num>
  <w:num w:numId="13">
    <w:abstractNumId w:val="6"/>
  </w:num>
  <w:num w:numId="14">
    <w:abstractNumId w:val="20"/>
  </w:num>
  <w:num w:numId="15">
    <w:abstractNumId w:val="11"/>
  </w:num>
  <w:num w:numId="16">
    <w:abstractNumId w:val="19"/>
  </w:num>
  <w:num w:numId="17">
    <w:abstractNumId w:val="4"/>
  </w:num>
  <w:num w:numId="18">
    <w:abstractNumId w:val="7"/>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954CE"/>
    <w:rsid w:val="000B201C"/>
    <w:rsid w:val="000F40BE"/>
    <w:rsid w:val="000F58D4"/>
    <w:rsid w:val="00137165"/>
    <w:rsid w:val="00160D27"/>
    <w:rsid w:val="001C3E6D"/>
    <w:rsid w:val="00201BCA"/>
    <w:rsid w:val="00215B36"/>
    <w:rsid w:val="0022279A"/>
    <w:rsid w:val="00227E3C"/>
    <w:rsid w:val="002A39A2"/>
    <w:rsid w:val="002A7EAE"/>
    <w:rsid w:val="002C1175"/>
    <w:rsid w:val="002F21EF"/>
    <w:rsid w:val="003337FB"/>
    <w:rsid w:val="00363726"/>
    <w:rsid w:val="00397A66"/>
    <w:rsid w:val="003C1CEA"/>
    <w:rsid w:val="00450C1D"/>
    <w:rsid w:val="00460A21"/>
    <w:rsid w:val="00496923"/>
    <w:rsid w:val="004D15DE"/>
    <w:rsid w:val="00505787"/>
    <w:rsid w:val="0051397E"/>
    <w:rsid w:val="00520714"/>
    <w:rsid w:val="0057038A"/>
    <w:rsid w:val="005E646F"/>
    <w:rsid w:val="00615C10"/>
    <w:rsid w:val="00636AAD"/>
    <w:rsid w:val="00685B99"/>
    <w:rsid w:val="00694DB2"/>
    <w:rsid w:val="006E678E"/>
    <w:rsid w:val="006F1C15"/>
    <w:rsid w:val="007054C2"/>
    <w:rsid w:val="00713175"/>
    <w:rsid w:val="00714BBF"/>
    <w:rsid w:val="0076324F"/>
    <w:rsid w:val="0078154E"/>
    <w:rsid w:val="007D329B"/>
    <w:rsid w:val="008570DB"/>
    <w:rsid w:val="00885877"/>
    <w:rsid w:val="008B3AF4"/>
    <w:rsid w:val="008D07A8"/>
    <w:rsid w:val="00933EBF"/>
    <w:rsid w:val="009434C1"/>
    <w:rsid w:val="00952BD1"/>
    <w:rsid w:val="0097065A"/>
    <w:rsid w:val="009C12AB"/>
    <w:rsid w:val="009D27F1"/>
    <w:rsid w:val="00A3752F"/>
    <w:rsid w:val="00A4670A"/>
    <w:rsid w:val="00A57254"/>
    <w:rsid w:val="00A90DA0"/>
    <w:rsid w:val="00AD60E2"/>
    <w:rsid w:val="00AF2871"/>
    <w:rsid w:val="00B07A0D"/>
    <w:rsid w:val="00BA0A5F"/>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82ADE"/>
    <w:rsid w:val="04764B88"/>
    <w:rsid w:val="05A66782"/>
    <w:rsid w:val="06032CF4"/>
    <w:rsid w:val="063A4E35"/>
    <w:rsid w:val="098C3919"/>
    <w:rsid w:val="0B6C7109"/>
    <w:rsid w:val="0B747927"/>
    <w:rsid w:val="1007750D"/>
    <w:rsid w:val="101F07CA"/>
    <w:rsid w:val="11B47D57"/>
    <w:rsid w:val="16120009"/>
    <w:rsid w:val="18274E5F"/>
    <w:rsid w:val="18CF104A"/>
    <w:rsid w:val="19AE47E0"/>
    <w:rsid w:val="1B5C7908"/>
    <w:rsid w:val="1F40287E"/>
    <w:rsid w:val="237819C9"/>
    <w:rsid w:val="257B38B9"/>
    <w:rsid w:val="25B142AB"/>
    <w:rsid w:val="28F025A3"/>
    <w:rsid w:val="29827945"/>
    <w:rsid w:val="2A1D6C96"/>
    <w:rsid w:val="2B955B97"/>
    <w:rsid w:val="2C0C3C17"/>
    <w:rsid w:val="2C2B5EA5"/>
    <w:rsid w:val="2DF00782"/>
    <w:rsid w:val="2F1B757B"/>
    <w:rsid w:val="312C3F38"/>
    <w:rsid w:val="32C361F8"/>
    <w:rsid w:val="33C24A64"/>
    <w:rsid w:val="36977DC0"/>
    <w:rsid w:val="39B65436"/>
    <w:rsid w:val="3BBC43AE"/>
    <w:rsid w:val="3CB35B1E"/>
    <w:rsid w:val="3E0D40EE"/>
    <w:rsid w:val="400C3772"/>
    <w:rsid w:val="436D082F"/>
    <w:rsid w:val="43E834BD"/>
    <w:rsid w:val="44813CAF"/>
    <w:rsid w:val="450B2124"/>
    <w:rsid w:val="45A8776E"/>
    <w:rsid w:val="468D6055"/>
    <w:rsid w:val="479F493E"/>
    <w:rsid w:val="48EA24EE"/>
    <w:rsid w:val="49233EC3"/>
    <w:rsid w:val="49810E90"/>
    <w:rsid w:val="4B570E56"/>
    <w:rsid w:val="4C272505"/>
    <w:rsid w:val="4F3B1AD7"/>
    <w:rsid w:val="505D42CC"/>
    <w:rsid w:val="52B3711D"/>
    <w:rsid w:val="543864BA"/>
    <w:rsid w:val="54AD4E49"/>
    <w:rsid w:val="54F42526"/>
    <w:rsid w:val="555A4F1D"/>
    <w:rsid w:val="556632E1"/>
    <w:rsid w:val="567C1AC3"/>
    <w:rsid w:val="56AD14CC"/>
    <w:rsid w:val="57204064"/>
    <w:rsid w:val="57F57718"/>
    <w:rsid w:val="5AAC5DA8"/>
    <w:rsid w:val="5BD21553"/>
    <w:rsid w:val="5D287C15"/>
    <w:rsid w:val="5D6C7D2C"/>
    <w:rsid w:val="5DA440F6"/>
    <w:rsid w:val="60A41701"/>
    <w:rsid w:val="63C26805"/>
    <w:rsid w:val="640D360D"/>
    <w:rsid w:val="6428471C"/>
    <w:rsid w:val="6504685B"/>
    <w:rsid w:val="66BA304E"/>
    <w:rsid w:val="67740EFF"/>
    <w:rsid w:val="67EF097B"/>
    <w:rsid w:val="681B1C02"/>
    <w:rsid w:val="69820879"/>
    <w:rsid w:val="6B16490F"/>
    <w:rsid w:val="6BD579B3"/>
    <w:rsid w:val="6F9264BE"/>
    <w:rsid w:val="714047DC"/>
    <w:rsid w:val="719E0453"/>
    <w:rsid w:val="71C45568"/>
    <w:rsid w:val="71FF01CB"/>
    <w:rsid w:val="728D5BBC"/>
    <w:rsid w:val="748E2E4F"/>
    <w:rsid w:val="74BC2E67"/>
    <w:rsid w:val="75323C2B"/>
    <w:rsid w:val="7B3E2A22"/>
    <w:rsid w:val="7C4B5BB7"/>
    <w:rsid w:val="7DA2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字符"/>
    <w:basedOn w:val="20"/>
    <w:link w:val="2"/>
    <w:qFormat/>
    <w:uiPriority w:val="0"/>
    <w:rPr>
      <w:rFonts w:ascii="Calibri" w:hAnsi="Calibri" w:eastAsia="宋体" w:cs="Times New Roman"/>
      <w:b/>
      <w:bCs/>
      <w:kern w:val="44"/>
      <w:sz w:val="44"/>
      <w:szCs w:val="44"/>
    </w:rPr>
  </w:style>
  <w:style w:type="character" w:customStyle="1" w:styleId="26">
    <w:name w:val="标题 2 字符"/>
    <w:basedOn w:val="20"/>
    <w:link w:val="3"/>
    <w:qFormat/>
    <w:uiPriority w:val="0"/>
    <w:rPr>
      <w:rFonts w:ascii="Arial" w:hAnsi="Arial" w:eastAsia="黑体" w:cs="Times New Roman"/>
      <w:b/>
      <w:bCs/>
      <w:kern w:val="0"/>
      <w:sz w:val="32"/>
      <w:szCs w:val="32"/>
    </w:rPr>
  </w:style>
  <w:style w:type="character" w:customStyle="1" w:styleId="27">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字符"/>
    <w:basedOn w:val="20"/>
    <w:link w:val="5"/>
    <w:qFormat/>
    <w:uiPriority w:val="0"/>
    <w:rPr>
      <w:rFonts w:ascii="Arial" w:hAnsi="Arial" w:eastAsia="黑体" w:cs="Times New Roman"/>
      <w:b/>
      <w:bCs/>
      <w:kern w:val="0"/>
      <w:sz w:val="28"/>
      <w:szCs w:val="28"/>
    </w:rPr>
  </w:style>
  <w:style w:type="character" w:customStyle="1" w:styleId="29">
    <w:name w:val="纯文本 字符"/>
    <w:basedOn w:val="20"/>
    <w:link w:val="13"/>
    <w:qFormat/>
    <w:uiPriority w:val="0"/>
    <w:rPr>
      <w:rFonts w:eastAsia="宋体"/>
      <w:sz w:val="24"/>
    </w:rPr>
  </w:style>
  <w:style w:type="character" w:customStyle="1" w:styleId="30">
    <w:name w:val="日期 字符"/>
    <w:basedOn w:val="20"/>
    <w:link w:val="14"/>
    <w:qFormat/>
    <w:uiPriority w:val="99"/>
  </w:style>
  <w:style w:type="character" w:customStyle="1" w:styleId="31">
    <w:name w:val="页脚 字符"/>
    <w:basedOn w:val="20"/>
    <w:link w:val="15"/>
    <w:qFormat/>
    <w:uiPriority w:val="99"/>
    <w:rPr>
      <w:sz w:val="18"/>
      <w:szCs w:val="18"/>
    </w:rPr>
  </w:style>
  <w:style w:type="character" w:customStyle="1" w:styleId="32">
    <w:name w:val="页眉 字符"/>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0"/>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字符"/>
    <w:basedOn w:val="20"/>
    <w:link w:val="7"/>
    <w:semiHidden/>
    <w:qFormat/>
    <w:uiPriority w:val="99"/>
  </w:style>
  <w:style w:type="character" w:customStyle="1" w:styleId="49">
    <w:name w:val="正文文本首行缩进 字符"/>
    <w:basedOn w:val="48"/>
    <w:link w:val="6"/>
    <w:qFormat/>
    <w:uiPriority w:val="0"/>
    <w:rPr>
      <w:rFonts w:ascii="宋体" w:hAnsi="Times New Roman" w:eastAsia="宋体" w:cs="Times New Roman"/>
      <w:kern w:val="0"/>
      <w:sz w:val="34"/>
      <w:szCs w:val="20"/>
    </w:rPr>
  </w:style>
  <w:style w:type="character" w:customStyle="1" w:styleId="50">
    <w:name w:val="HTML 预设格式 字符"/>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7325</Words>
  <Characters>41759</Characters>
  <Lines>347</Lines>
  <Paragraphs>97</Paragraphs>
  <TotalTime>1</TotalTime>
  <ScaleCrop>false</ScaleCrop>
  <LinksUpToDate>false</LinksUpToDate>
  <CharactersWithSpaces>48987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2018-07-25T00:31:00Z</cp:lastPrinted>
  <dcterms:modified xsi:type="dcterms:W3CDTF">2018-08-09T08:42:18Z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