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44"/>
          <w:szCs w:val="44"/>
        </w:rPr>
      </w:pPr>
    </w:p>
    <w:p>
      <w:pPr>
        <w:autoSpaceDE w:val="0"/>
        <w:autoSpaceDN w:val="0"/>
        <w:spacing w:line="360" w:lineRule="auto"/>
        <w:jc w:val="center"/>
        <w:rPr>
          <w:rFonts w:hint="eastAsia" w:ascii="黑体" w:hAnsi="黑体" w:eastAsia="黑体" w:cs="黑体"/>
          <w:b/>
          <w:sz w:val="52"/>
          <w:szCs w:val="52"/>
          <w:lang w:eastAsia="zh-CN"/>
        </w:rPr>
      </w:pPr>
      <w:r>
        <w:rPr>
          <w:rFonts w:hint="eastAsia" w:ascii="黑体" w:hAnsi="黑体" w:eastAsia="黑体" w:cs="黑体"/>
          <w:b/>
          <w:sz w:val="52"/>
          <w:szCs w:val="52"/>
          <w:lang w:eastAsia="zh-CN"/>
        </w:rPr>
        <w:t>禹州市房屋不动产登记采购项目</w:t>
      </w:r>
    </w:p>
    <w:p>
      <w:pPr>
        <w:numPr>
          <w:ilvl w:val="0"/>
          <w:numId w:val="0"/>
        </w:numPr>
        <w:autoSpaceDE w:val="0"/>
        <w:autoSpaceDN w:val="0"/>
        <w:spacing w:before="0" w:after="160" w:line="360" w:lineRule="auto"/>
        <w:ind w:right="0" w:firstLine="0"/>
        <w:jc w:val="center"/>
        <w:rPr>
          <w:rFonts w:hint="eastAsia" w:ascii="黑体" w:hAnsi="黑体" w:eastAsia="黑体" w:cs="黑体"/>
          <w:b/>
          <w:color w:val="auto"/>
          <w:position w:val="0"/>
          <w:sz w:val="52"/>
          <w:szCs w:val="52"/>
        </w:rPr>
      </w:pPr>
      <w:r>
        <w:rPr>
          <w:rFonts w:hint="eastAsia" w:ascii="黑体" w:hAnsi="黑体" w:eastAsia="黑体" w:cs="黑体"/>
          <w:b/>
          <w:color w:val="auto"/>
          <w:position w:val="0"/>
          <w:sz w:val="52"/>
          <w:szCs w:val="52"/>
        </w:rPr>
        <w:t>(一至三标段)</w:t>
      </w:r>
    </w:p>
    <w:p>
      <w:pPr>
        <w:ind w:firstLine="883" w:firstLineChars="200"/>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2"/>
        <w:rPr>
          <w:rFonts w:ascii="仿宋" w:hAnsi="仿宋" w:eastAsia="仿宋"/>
          <w:sz w:val="32"/>
        </w:rPr>
      </w:pPr>
    </w:p>
    <w:p>
      <w:pPr>
        <w:pStyle w:val="2"/>
        <w:rPr>
          <w:rFonts w:ascii="仿宋" w:hAnsi="仿宋" w:eastAsia="仿宋"/>
          <w:sz w:val="32"/>
        </w:rPr>
      </w:pPr>
    </w:p>
    <w:p>
      <w:pPr>
        <w:pStyle w:val="2"/>
        <w:rPr>
          <w:rFonts w:ascii="仿宋" w:hAnsi="仿宋" w:eastAsia="仿宋"/>
          <w:sz w:val="32"/>
        </w:rPr>
      </w:pP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lang w:eastAsia="zh-CN"/>
        </w:rPr>
        <w:t>采购单位</w:t>
      </w:r>
      <w:r>
        <w:rPr>
          <w:rFonts w:hint="eastAsia" w:ascii="宋体" w:hAnsi="宋体" w:cs="宋体"/>
          <w:b/>
          <w:bCs/>
          <w:sz w:val="32"/>
          <w:szCs w:val="32"/>
        </w:rPr>
        <w:t>：</w:t>
      </w:r>
      <w:r>
        <w:rPr>
          <w:rFonts w:hint="eastAsia" w:ascii="宋体" w:hAnsi="宋体" w:cs="宋体"/>
          <w:b/>
          <w:bCs/>
          <w:sz w:val="32"/>
          <w:szCs w:val="32"/>
          <w:lang w:eastAsia="zh-CN"/>
        </w:rPr>
        <w:t>禹州市国土资源局</w:t>
      </w:r>
    </w:p>
    <w:p>
      <w:pPr>
        <w:spacing w:line="360" w:lineRule="auto"/>
        <w:ind w:firstLine="1285" w:firstLineChars="400"/>
        <w:jc w:val="left"/>
        <w:rPr>
          <w:rFonts w:hint="eastAsia" w:ascii="宋体" w:hAnsi="宋体" w:cs="宋体"/>
          <w:b/>
          <w:bCs/>
          <w:sz w:val="32"/>
          <w:szCs w:val="32"/>
          <w:lang w:val="en-US" w:eastAsia="zh-CN"/>
        </w:rPr>
      </w:pPr>
      <w:r>
        <w:rPr>
          <w:rFonts w:hint="eastAsia" w:ascii="宋体" w:hAnsi="宋体" w:cs="宋体"/>
          <w:b/>
          <w:bCs/>
          <w:sz w:val="32"/>
          <w:szCs w:val="32"/>
          <w:lang w:eastAsia="zh-CN"/>
        </w:rPr>
        <w:t>采购编号：</w:t>
      </w:r>
      <w:r>
        <w:rPr>
          <w:rFonts w:hint="eastAsia" w:ascii="宋体" w:hAnsi="宋体" w:cs="宋体"/>
          <w:b/>
          <w:bCs/>
          <w:sz w:val="32"/>
          <w:szCs w:val="32"/>
          <w:lang w:val="en-US" w:eastAsia="zh-CN"/>
        </w:rPr>
        <w:t>YZCG-G2018205</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采购代理机构：禹州市政府采购中心</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采购监督机构：禹州市政府采购监督管理办公室</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日    期：二〇一</w:t>
      </w:r>
      <w:r>
        <w:rPr>
          <w:rFonts w:hint="eastAsia" w:ascii="宋体" w:hAnsi="宋体" w:cs="宋体"/>
          <w:b/>
          <w:bCs/>
          <w:sz w:val="32"/>
          <w:szCs w:val="32"/>
          <w:lang w:eastAsia="zh-CN"/>
        </w:rPr>
        <w:t>八年八月</w:t>
      </w:r>
    </w:p>
    <w:p>
      <w:pPr>
        <w:rPr>
          <w:rFonts w:ascii="仿宋" w:hAnsi="仿宋" w:eastAsia="仿宋"/>
          <w:b/>
          <w:sz w:val="32"/>
        </w:rPr>
      </w:pP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仿宋" w:hAnsi="仿宋" w:eastAsia="仿宋" w:cs="仿宋"/>
          <w:b/>
          <w:sz w:val="44"/>
          <w:szCs w:val="44"/>
        </w:rPr>
      </w:pPr>
      <w:r>
        <w:rPr>
          <w:rFonts w:hint="eastAsia" w:ascii="仿宋" w:hAnsi="仿宋" w:eastAsia="仿宋" w:cs="仿宋"/>
          <w:b/>
          <w:sz w:val="44"/>
          <w:szCs w:val="44"/>
        </w:rPr>
        <w:t xml:space="preserve"> 投标邀请函</w:t>
      </w:r>
    </w:p>
    <w:p>
      <w:pPr>
        <w:spacing w:line="360" w:lineRule="auto"/>
        <w:rPr>
          <w:rFonts w:ascii="仿宋" w:hAnsi="仿宋" w:eastAsia="仿宋" w:cs="仿宋"/>
          <w:b/>
          <w:sz w:val="24"/>
          <w:szCs w:val="24"/>
        </w:rPr>
      </w:pPr>
    </w:p>
    <w:p>
      <w:pPr>
        <w:spacing w:line="312" w:lineRule="auto"/>
        <w:jc w:val="center"/>
        <w:textAlignment w:val="auto"/>
        <w:outlineLvl w:val="9"/>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禹州市农村房屋不动产登记项目</w:t>
      </w:r>
    </w:p>
    <w:p>
      <w:pPr>
        <w:spacing w:line="312" w:lineRule="auto"/>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邀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函</w:t>
      </w:r>
    </w:p>
    <w:p>
      <w:pPr>
        <w:pStyle w:val="2"/>
        <w:rPr>
          <w:rFonts w:hint="eastAsia"/>
        </w:rPr>
      </w:pP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禹州市政府采购中心受</w:t>
      </w:r>
      <w:r>
        <w:rPr>
          <w:rFonts w:hint="eastAsia" w:ascii="仿宋" w:hAnsi="仿宋" w:eastAsia="仿宋" w:cs="仿宋"/>
          <w:b w:val="0"/>
          <w:bCs/>
          <w:color w:val="000000"/>
          <w:kern w:val="0"/>
          <w:sz w:val="24"/>
          <w:szCs w:val="24"/>
          <w:lang w:eastAsia="zh-CN"/>
        </w:rPr>
        <w:t>禹州市国土资源局</w:t>
      </w:r>
      <w:r>
        <w:rPr>
          <w:rFonts w:hint="eastAsia" w:ascii="仿宋" w:hAnsi="仿宋" w:eastAsia="仿宋" w:cs="仿宋"/>
          <w:b w:val="0"/>
          <w:bCs/>
          <w:color w:val="000000"/>
          <w:kern w:val="0"/>
          <w:sz w:val="24"/>
          <w:szCs w:val="24"/>
        </w:rPr>
        <w:t>委托，就</w:t>
      </w:r>
      <w:r>
        <w:rPr>
          <w:rFonts w:hint="eastAsia" w:ascii="仿宋" w:hAnsi="仿宋" w:eastAsia="仿宋" w:cs="仿宋"/>
          <w:b w:val="0"/>
          <w:bCs/>
          <w:color w:val="000000"/>
          <w:kern w:val="0"/>
          <w:sz w:val="24"/>
          <w:szCs w:val="24"/>
          <w:lang w:eastAsia="zh-CN"/>
        </w:rPr>
        <w:t>禹州市</w:t>
      </w:r>
      <w:r>
        <w:rPr>
          <w:rFonts w:hint="eastAsia" w:ascii="仿宋" w:hAnsi="仿宋" w:eastAsia="仿宋" w:cs="仿宋"/>
          <w:b w:val="0"/>
          <w:bCs/>
          <w:color w:val="000000"/>
          <w:kern w:val="0"/>
          <w:sz w:val="24"/>
          <w:szCs w:val="24"/>
        </w:rPr>
        <w:t>农村房屋不动产登记项目进行公开招标，现欢迎符合相应条件的投标人参加投标。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 xml:space="preserve">  </w:t>
      </w:r>
      <w:r>
        <w:rPr>
          <w:rFonts w:hint="eastAsia" w:ascii="仿宋" w:hAnsi="仿宋" w:eastAsia="仿宋" w:cs="仿宋"/>
          <w:b/>
          <w:color w:val="000000"/>
          <w:kern w:val="0"/>
          <w:sz w:val="24"/>
          <w:szCs w:val="24"/>
        </w:rPr>
        <w:t>一、项目基本情况</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1、采购人：禹州市国土资源局</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2、项目名称：</w:t>
      </w:r>
      <w:r>
        <w:rPr>
          <w:rFonts w:hint="eastAsia" w:ascii="仿宋" w:hAnsi="仿宋" w:eastAsia="仿宋" w:cs="仿宋"/>
          <w:b w:val="0"/>
          <w:bCs/>
          <w:color w:val="000000"/>
          <w:kern w:val="0"/>
          <w:sz w:val="24"/>
          <w:szCs w:val="24"/>
          <w:lang w:eastAsia="zh-CN"/>
        </w:rPr>
        <w:t>禹州市农村房屋不动产登记项目</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3、采购编号：YZCG-G201</w:t>
      </w:r>
      <w:r>
        <w:rPr>
          <w:rFonts w:hint="eastAsia" w:ascii="仿宋" w:hAnsi="仿宋" w:eastAsia="仿宋" w:cs="仿宋"/>
          <w:b w:val="0"/>
          <w:bCs/>
          <w:color w:val="000000"/>
          <w:kern w:val="0"/>
          <w:sz w:val="24"/>
          <w:szCs w:val="24"/>
          <w:lang w:val="en-US" w:eastAsia="zh-CN"/>
        </w:rPr>
        <w:t>8205</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4、</w:t>
      </w:r>
      <w:r>
        <w:rPr>
          <w:rFonts w:hint="eastAsia" w:ascii="仿宋" w:hAnsi="仿宋" w:eastAsia="仿宋" w:cs="仿宋"/>
          <w:b w:val="0"/>
          <w:bCs/>
          <w:color w:val="000000"/>
          <w:kern w:val="0"/>
          <w:sz w:val="24"/>
          <w:szCs w:val="24"/>
        </w:rPr>
        <w:t>项目需求：根据禹州市不动产登记需要，完成禹州市全市范围内的房屋权籍调查、房地一体权籍调查、权籍信息叠加整合、不动产登记</w:t>
      </w:r>
      <w:r>
        <w:rPr>
          <w:rFonts w:hint="eastAsia" w:ascii="仿宋" w:hAnsi="仿宋" w:eastAsia="仿宋" w:cs="仿宋"/>
          <w:b w:val="0"/>
          <w:bCs/>
          <w:color w:val="000000"/>
          <w:kern w:val="0"/>
          <w:sz w:val="24"/>
          <w:szCs w:val="24"/>
          <w:lang w:val="en-US" w:eastAsia="zh-CN"/>
        </w:rPr>
        <w:t>.</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lang w:eastAsia="zh-CN"/>
        </w:rPr>
        <w:t>标段划分如下：</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一标段：鸠山镇、磨街乡房屋不动产登记和全市数据库整合；</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二标段：文殊镇、方岗镇房屋不动产登记；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三标段：神垕镇、鸿畅镇房屋不动产登记；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工期（竣工期）：2018年12月31日前完成本项目的百分之三十，2019年8月31日完工。。</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质量要求：符合国家及行业规定要求。</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rPr>
        <w:t>5、采购预算：一标段：251.65万元；二标段：146.88万元；三标段：255.96万元。</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6、最高限价：一标段：251.65万元；二标段：146.88万元；三标段：255.96万元。</w:t>
      </w:r>
    </w:p>
    <w:p>
      <w:pPr>
        <w:widowControl/>
        <w:shd w:val="clear" w:color="auto" w:fill="FFFFFF"/>
        <w:spacing w:line="336" w:lineRule="auto"/>
        <w:ind w:firstLine="482" w:firstLineChars="20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二</w:t>
      </w:r>
      <w:r>
        <w:rPr>
          <w:rFonts w:hint="eastAsia" w:ascii="仿宋" w:hAnsi="仿宋" w:eastAsia="仿宋" w:cs="仿宋"/>
          <w:b/>
          <w:color w:val="000000"/>
          <w:kern w:val="0"/>
          <w:sz w:val="24"/>
          <w:szCs w:val="24"/>
        </w:rPr>
        <w:t>、需要落实的政府采购政策</w:t>
      </w:r>
      <w:r>
        <w:rPr>
          <w:rFonts w:hint="eastAsia" w:ascii="仿宋" w:hAnsi="仿宋" w:eastAsia="仿宋" w:cs="仿宋"/>
          <w:b/>
          <w:color w:val="000000"/>
          <w:kern w:val="0"/>
          <w:sz w:val="24"/>
          <w:szCs w:val="24"/>
          <w:lang w:eastAsia="zh-CN"/>
        </w:rPr>
        <w:t>：</w:t>
      </w:r>
    </w:p>
    <w:p>
      <w:pPr>
        <w:widowControl/>
        <w:shd w:val="clear" w:color="auto" w:fill="FFFFFF"/>
        <w:wordWrap/>
        <w:adjustRightInd/>
        <w:snapToGrid/>
        <w:spacing w:line="336" w:lineRule="auto"/>
        <w:ind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0"/>
        </w:numPr>
        <w:shd w:val="clear" w:color="auto" w:fill="FFFFFF"/>
        <w:wordWrap/>
        <w:adjustRightInd/>
        <w:snapToGrid/>
        <w:spacing w:line="336" w:lineRule="auto"/>
        <w:ind w:firstLine="482" w:firstLineChars="200"/>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numPr>
          <w:ilvl w:val="0"/>
          <w:numId w:val="0"/>
        </w:numPr>
        <w:shd w:val="clear" w:color="auto" w:fill="FFFFFF"/>
        <w:wordWrap/>
        <w:adjustRightInd/>
        <w:snapToGrid/>
        <w:spacing w:line="336"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符合《中华人民共和国政府采购法》第二十二条之规定；</w:t>
      </w:r>
    </w:p>
    <w:p>
      <w:pPr>
        <w:numPr>
          <w:ilvl w:val="0"/>
          <w:numId w:val="0"/>
        </w:numPr>
        <w:shd w:val="clear" w:color="auto" w:fill="FFFFFF"/>
        <w:wordWrap/>
        <w:adjustRightInd/>
        <w:snapToGrid/>
        <w:spacing w:line="336" w:lineRule="auto"/>
        <w:ind w:firstLine="480" w:firstLineChars="200"/>
        <w:textAlignment w:val="auto"/>
        <w:outlineLvl w:val="9"/>
        <w:rPr>
          <w:rFonts w:hint="eastAsia"/>
          <w:lang w:val="en-US" w:eastAsia="zh-CN"/>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投标商须具有独立法人资格及相应经营范围（以营业执照为准）；</w:t>
      </w:r>
    </w:p>
    <w:p>
      <w:pPr>
        <w:pStyle w:val="2"/>
        <w:wordWrap/>
        <w:adjustRightInd/>
        <w:snapToGrid/>
        <w:spacing w:line="336" w:lineRule="auto"/>
        <w:ind w:firstLine="48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lang w:val="en-US" w:eastAsia="zh-CN"/>
        </w:rPr>
        <w:t>3.</w:t>
      </w:r>
      <w:r>
        <w:rPr>
          <w:rFonts w:hint="eastAsia" w:ascii="仿宋" w:hAnsi="仿宋" w:eastAsia="仿宋" w:cs="仿宋"/>
        </w:rPr>
        <w:t>投标人须具备测绘地理信息行政主管部门颁发的测绘乙级（</w:t>
      </w:r>
      <w:r>
        <w:rPr>
          <w:rFonts w:hint="eastAsia" w:ascii="仿宋" w:hAnsi="仿宋" w:eastAsia="仿宋" w:cs="仿宋"/>
          <w:lang w:eastAsia="zh-CN"/>
        </w:rPr>
        <w:t>专业范围</w:t>
      </w:r>
      <w:r>
        <w:rPr>
          <w:rFonts w:hint="eastAsia" w:ascii="仿宋" w:hAnsi="仿宋" w:eastAsia="仿宋" w:cs="仿宋"/>
        </w:rPr>
        <w:t>含地理信息系统工程</w:t>
      </w:r>
      <w:r>
        <w:rPr>
          <w:rFonts w:hint="eastAsia" w:ascii="仿宋" w:hAnsi="仿宋" w:eastAsia="仿宋" w:cs="仿宋"/>
          <w:lang w:eastAsia="zh-CN"/>
        </w:rPr>
        <w:t>、</w:t>
      </w:r>
      <w:r>
        <w:rPr>
          <w:rFonts w:hint="eastAsia" w:ascii="仿宋" w:hAnsi="仿宋" w:eastAsia="仿宋" w:cs="仿宋"/>
        </w:rPr>
        <w:t>不动产地籍、房产测绘)及以上资质，并在人员、设备、资金等方面具有相应的能力，拟派项目负责人须具有测绘专业</w:t>
      </w:r>
      <w:r>
        <w:rPr>
          <w:rFonts w:hint="eastAsia" w:ascii="仿宋" w:hAnsi="仿宋" w:eastAsia="仿宋" w:cs="仿宋"/>
          <w:lang w:val="en-US" w:eastAsia="zh-CN"/>
        </w:rPr>
        <w:t>高级职称或注册测绘师资格；</w:t>
      </w:r>
    </w:p>
    <w:p>
      <w:pPr>
        <w:shd w:val="clear" w:color="auto" w:fill="FFFFFF"/>
        <w:wordWrap/>
        <w:adjustRightInd/>
        <w:snapToGrid/>
        <w:spacing w:line="336" w:lineRule="auto"/>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法定代表人授权代表</w:t>
      </w:r>
      <w:r>
        <w:rPr>
          <w:rFonts w:hint="eastAsia" w:ascii="仿宋" w:hAnsi="仿宋" w:eastAsia="仿宋" w:cs="仿宋"/>
          <w:color w:val="000000"/>
          <w:kern w:val="0"/>
          <w:sz w:val="24"/>
          <w:szCs w:val="24"/>
          <w:lang w:eastAsia="zh-CN"/>
        </w:rPr>
        <w:t>及</w:t>
      </w:r>
      <w:r>
        <w:rPr>
          <w:rFonts w:hint="eastAsia" w:ascii="仿宋" w:hAnsi="仿宋" w:eastAsia="仿宋" w:cs="仿宋"/>
          <w:color w:val="000000"/>
          <w:kern w:val="0"/>
          <w:sz w:val="24"/>
          <w:szCs w:val="24"/>
        </w:rPr>
        <w:t>项目负责人须是本单位职工，提供本公司为本人缴纳社会保险证明；</w:t>
      </w:r>
    </w:p>
    <w:p>
      <w:pPr>
        <w:shd w:val="clear" w:color="auto" w:fill="FFFFFF"/>
        <w:wordWrap/>
        <w:adjustRightInd/>
        <w:snapToGrid/>
        <w:spacing w:line="336" w:lineRule="auto"/>
        <w:ind w:firstLine="480"/>
        <w:textAlignment w:val="auto"/>
        <w:outlineLvl w:val="9"/>
        <w:rPr>
          <w:rFonts w:hint="eastAsia"/>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.本次招标不接受联合体招标。</w:t>
      </w:r>
    </w:p>
    <w:p>
      <w:pPr>
        <w:widowControl/>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336" w:lineRule="auto"/>
        <w:ind w:firstLine="480" w:firstLineChars="200"/>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lang w:val="zh-CN"/>
        </w:rPr>
        <w:t>http://221.14.6.70:8088/ggzy/eps/public/RegistAllJcxx.html</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336" w:lineRule="auto"/>
        <w:ind w:firstLine="480" w:firstLineChars="200"/>
        <w:textAlignment w:val="auto"/>
        <w:outlineLvl w:val="9"/>
        <w:rPr>
          <w:rFonts w:ascii="楷体" w:hAnsi="楷体" w:eastAsia="楷体" w:cs="宋体"/>
          <w:sz w:val="24"/>
          <w:szCs w:val="24"/>
          <w:lang w:val="zh-CN"/>
        </w:rPr>
      </w:pPr>
      <w:r>
        <w:rPr>
          <w:rFonts w:hint="eastAsia" w:ascii="仿宋" w:hAnsi="仿宋" w:eastAsia="仿宋" w:cs="宋体"/>
          <w:sz w:val="24"/>
          <w:szCs w:val="24"/>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336"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spacing w:line="336"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336" w:lineRule="auto"/>
        <w:ind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30</w:t>
      </w:r>
      <w:r>
        <w:rPr>
          <w:rFonts w:hint="eastAsia" w:ascii="仿宋" w:hAnsi="仿宋" w:eastAsia="仿宋" w:cs="仿宋"/>
          <w:color w:val="000000"/>
          <w:kern w:val="0"/>
          <w:sz w:val="24"/>
          <w:szCs w:val="24"/>
        </w:rPr>
        <w:t>日</w:t>
      </w:r>
      <w:r>
        <w:rPr>
          <w:rFonts w:hint="eastAsia" w:ascii="仿宋" w:hAnsi="仿宋" w:eastAsia="仿宋" w:cs="仿宋"/>
          <w:color w:val="FF0000"/>
          <w:kern w:val="0"/>
          <w:sz w:val="24"/>
          <w:szCs w:val="24"/>
        </w:rPr>
        <w:t xml:space="preserve"> </w:t>
      </w:r>
      <w:r>
        <w:rPr>
          <w:rFonts w:hint="eastAsia" w:ascii="仿宋" w:hAnsi="仿宋" w:eastAsia="仿宋" w:cs="仿宋"/>
          <w:color w:val="FF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336" w:lineRule="auto"/>
        <w:ind w:firstLine="480" w:firstLineChars="200"/>
        <w:textAlignment w:val="auto"/>
        <w:outlineLvl w:val="9"/>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336" w:lineRule="auto"/>
        <w:ind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336" w:lineRule="auto"/>
        <w:ind w:firstLine="1212" w:firstLineChars="505"/>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336" w:lineRule="auto"/>
        <w:ind w:firstLine="1212" w:firstLineChars="505"/>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numPr>
          <w:ilvl w:val="0"/>
          <w:numId w:val="3"/>
        </w:numPr>
        <w:shd w:val="clear" w:color="auto" w:fill="FFFFFF"/>
        <w:spacing w:line="336" w:lineRule="auto"/>
        <w:ind w:firstLine="720" w:firstLineChars="300"/>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禹州市国土资源局</w:t>
      </w:r>
    </w:p>
    <w:p>
      <w:pPr>
        <w:widowControl/>
        <w:numPr>
          <w:ilvl w:val="0"/>
          <w:numId w:val="0"/>
        </w:numPr>
        <w:shd w:val="clear" w:color="auto" w:fill="FFFFFF"/>
        <w:spacing w:line="336" w:lineRule="auto"/>
        <w:ind w:firstLine="1200" w:firstLineChars="5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336" w:lineRule="auto"/>
        <w:ind w:firstLine="1212" w:firstLineChars="505"/>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李先生</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0374-2077577</w:t>
      </w:r>
    </w:p>
    <w:p>
      <w:pPr>
        <w:spacing w:line="336" w:lineRule="auto"/>
        <w:ind w:firstLine="4080" w:firstLineChars="1700"/>
        <w:textAlignment w:val="auto"/>
        <w:outlineLvl w:val="9"/>
        <w:rPr>
          <w:rFonts w:ascii="仿宋" w:hAnsi="仿宋" w:eastAsia="仿宋" w:cs="仿宋"/>
          <w:sz w:val="24"/>
          <w:szCs w:val="24"/>
        </w:rPr>
      </w:pPr>
      <w:r>
        <w:rPr>
          <w:rFonts w:hint="eastAsia" w:ascii="仿宋" w:hAnsi="仿宋" w:eastAsia="仿宋" w:cs="仿宋"/>
          <w:sz w:val="24"/>
          <w:szCs w:val="24"/>
        </w:rPr>
        <w:t xml:space="preserve">    </w:t>
      </w:r>
    </w:p>
    <w:p>
      <w:pPr>
        <w:spacing w:line="336" w:lineRule="auto"/>
        <w:ind w:firstLine="4080" w:firstLineChars="1700"/>
        <w:textAlignment w:val="auto"/>
        <w:outlineLvl w:val="9"/>
        <w:rPr>
          <w:rFonts w:ascii="仿宋" w:hAnsi="仿宋" w:eastAsia="仿宋" w:cs="仿宋"/>
          <w:sz w:val="24"/>
          <w:szCs w:val="24"/>
        </w:rPr>
      </w:pPr>
    </w:p>
    <w:p>
      <w:pPr>
        <w:spacing w:line="336" w:lineRule="auto"/>
        <w:ind w:firstLine="5760" w:firstLineChars="2400"/>
        <w:textAlignment w:val="auto"/>
        <w:outlineLvl w:val="9"/>
        <w:rPr>
          <w:rFonts w:ascii="仿宋" w:hAnsi="仿宋" w:eastAsia="仿宋" w:cs="仿宋"/>
          <w:b/>
          <w:sz w:val="44"/>
          <w:szCs w:val="44"/>
        </w:rPr>
      </w:pPr>
      <w:r>
        <w:rPr>
          <w:rFonts w:hint="eastAsia" w:ascii="仿宋" w:hAnsi="仿宋" w:eastAsia="仿宋" w:cs="仿宋"/>
          <w:color w:val="000000"/>
          <w:sz w:val="24"/>
          <w:szCs w:val="24"/>
        </w:rPr>
        <w:t>2018年</w:t>
      </w:r>
      <w:r>
        <w:rPr>
          <w:rFonts w:hint="eastAsia" w:ascii="仿宋" w:hAnsi="仿宋" w:eastAsia="仿宋" w:cs="仿宋"/>
          <w:color w:val="000000"/>
          <w:sz w:val="24"/>
          <w:szCs w:val="24"/>
          <w:lang w:val="en-US" w:eastAsia="zh-CN"/>
        </w:rPr>
        <w:t xml:space="preserve"> 8 </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 xml:space="preserve"> 9</w:t>
      </w:r>
      <w:r>
        <w:rPr>
          <w:rFonts w:hint="eastAsia" w:ascii="仿宋" w:hAnsi="仿宋" w:eastAsia="仿宋" w:cs="仿宋"/>
          <w:color w:val="000000"/>
          <w:sz w:val="24"/>
          <w:szCs w:val="24"/>
        </w:rPr>
        <w:t>日</w:t>
      </w:r>
    </w:p>
    <w:p>
      <w:pPr>
        <w:pStyle w:val="2"/>
        <w:rPr>
          <w:rFonts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color w:val="FF0000"/>
                <w:sz w:val="24"/>
                <w:szCs w:val="24"/>
              </w:rPr>
              <w:t>YZCG—G2018</w:t>
            </w:r>
            <w:r>
              <w:rPr>
                <w:rFonts w:hint="eastAsia" w:ascii="仿宋" w:hAnsi="仿宋" w:eastAsia="仿宋"/>
                <w:color w:val="FF0000"/>
                <w:sz w:val="24"/>
                <w:szCs w:val="24"/>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0"/>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hint="eastAsia" w:ascii="仿宋" w:hAnsi="仿宋" w:eastAsia="仿宋"/>
                <w:sz w:val="24"/>
                <w:szCs w:val="24"/>
                <w:lang w:eastAsia="zh-CN"/>
              </w:rPr>
            </w:pPr>
            <w:r>
              <w:rPr>
                <w:rFonts w:hint="eastAsia" w:ascii="仿宋" w:hAnsi="仿宋" w:eastAsia="仿宋"/>
                <w:sz w:val="24"/>
                <w:szCs w:val="24"/>
                <w:lang w:eastAsia="zh-CN"/>
              </w:rPr>
              <w:t>采购项目名称</w:t>
            </w:r>
          </w:p>
        </w:tc>
        <w:tc>
          <w:tcPr>
            <w:tcW w:w="6300" w:type="dxa"/>
            <w:tcMar>
              <w:top w:w="0" w:type="dxa"/>
              <w:left w:w="0" w:type="dxa"/>
              <w:bottom w:w="0" w:type="dxa"/>
              <w:right w:w="0" w:type="dxa"/>
            </w:tcMar>
            <w:vAlign w:val="center"/>
          </w:tcPr>
          <w:p>
            <w:pPr>
              <w:spacing w:line="440" w:lineRule="exact"/>
              <w:textAlignment w:val="center"/>
              <w:rPr>
                <w:rFonts w:hint="eastAsia" w:ascii="仿宋" w:hAnsi="仿宋" w:eastAsia="仿宋"/>
                <w:sz w:val="24"/>
                <w:szCs w:val="24"/>
              </w:rPr>
            </w:pPr>
            <w:r>
              <w:rPr>
                <w:rFonts w:hint="eastAsia" w:ascii="仿宋" w:hAnsi="仿宋" w:eastAsia="仿宋"/>
                <w:sz w:val="24"/>
                <w:szCs w:val="24"/>
                <w:lang w:eastAsia="zh-CN"/>
              </w:rPr>
              <w:t>禹州市</w:t>
            </w:r>
            <w:r>
              <w:rPr>
                <w:rFonts w:hint="eastAsia" w:ascii="仿宋" w:hAnsi="仿宋" w:eastAsia="仿宋"/>
                <w:sz w:val="24"/>
                <w:szCs w:val="24"/>
              </w:rPr>
              <w:t>农村房屋不动产登记项目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widowControl/>
              <w:numPr>
                <w:ilvl w:val="0"/>
                <w:numId w:val="0"/>
              </w:numPr>
              <w:shd w:val="clear" w:color="auto" w:fill="FFFFFF"/>
              <w:spacing w:line="336" w:lineRule="auto"/>
              <w:jc w:val="left"/>
              <w:textAlignment w:val="auto"/>
              <w:outlineLvl w:val="9"/>
              <w:rPr>
                <w:rFonts w:ascii="仿宋" w:hAnsi="仿宋" w:eastAsia="仿宋"/>
                <w:sz w:val="24"/>
                <w:szCs w:val="24"/>
              </w:rPr>
            </w:pPr>
            <w:r>
              <w:rPr>
                <w:rFonts w:hint="eastAsia" w:ascii="仿宋" w:hAnsi="仿宋" w:eastAsia="仿宋" w:cs="仿宋"/>
                <w:b w:val="0"/>
                <w:bCs/>
                <w:color w:val="000000"/>
                <w:kern w:val="0"/>
                <w:sz w:val="24"/>
                <w:szCs w:val="24"/>
                <w:lang w:val="en-US" w:eastAsia="zh-CN"/>
              </w:rPr>
              <w:t>2018年12月31日前完成本项目的百分之三十，2019年8月31日完工。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default" w:ascii="仿宋" w:hAnsi="仿宋" w:eastAsia="仿宋"/>
                <w:b/>
                <w:bCs/>
                <w:color w:val="0000FF"/>
                <w:sz w:val="24"/>
                <w:szCs w:val="24"/>
              </w:rPr>
            </w:pPr>
            <w:r>
              <w:rPr>
                <w:rFonts w:hint="default" w:ascii="仿宋" w:hAnsi="仿宋" w:eastAsia="仿宋"/>
                <w:b/>
                <w:bCs/>
                <w:color w:val="0000FF"/>
                <w:sz w:val="24"/>
                <w:szCs w:val="24"/>
              </w:rPr>
              <w:t>一标段人民币贰万伍仟元整（¥25000.00元）；</w:t>
            </w:r>
          </w:p>
          <w:p>
            <w:pPr>
              <w:widowControl/>
              <w:spacing w:line="440" w:lineRule="exact"/>
              <w:textAlignment w:val="center"/>
              <w:rPr>
                <w:rFonts w:hint="default" w:ascii="仿宋" w:hAnsi="仿宋" w:eastAsia="仿宋"/>
                <w:b/>
                <w:bCs/>
                <w:color w:val="0000FF"/>
                <w:sz w:val="24"/>
                <w:szCs w:val="24"/>
              </w:rPr>
            </w:pPr>
            <w:r>
              <w:rPr>
                <w:rFonts w:hint="default" w:ascii="仿宋" w:hAnsi="仿宋" w:eastAsia="仿宋"/>
                <w:b/>
                <w:bCs/>
                <w:color w:val="0000FF"/>
                <w:sz w:val="24"/>
                <w:szCs w:val="24"/>
              </w:rPr>
              <w:t>二标段人民币贰万伍仟元整（¥25000.00元）；</w:t>
            </w:r>
          </w:p>
          <w:p>
            <w:pPr>
              <w:widowControl/>
              <w:spacing w:line="440" w:lineRule="exact"/>
              <w:textAlignment w:val="center"/>
              <w:rPr>
                <w:rFonts w:ascii="仿宋" w:hAnsi="仿宋" w:eastAsia="仿宋"/>
                <w:sz w:val="24"/>
                <w:szCs w:val="24"/>
              </w:rPr>
            </w:pPr>
            <w:r>
              <w:rPr>
                <w:rFonts w:hint="default" w:ascii="仿宋" w:hAnsi="仿宋" w:eastAsia="仿宋"/>
                <w:b/>
                <w:bCs/>
                <w:color w:val="0000FF"/>
                <w:sz w:val="24"/>
                <w:szCs w:val="24"/>
              </w:rPr>
              <w:t>三标段人民币贰万伍仟元整（¥25000.00元）；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 xml:space="preserve"> 8 </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30</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pStyle w:val="2"/>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1、投标文件（一）（资格性投标文件）：正本1份，副本2份。</w:t>
            </w:r>
          </w:p>
          <w:p>
            <w:pPr>
              <w:pStyle w:val="2"/>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2、投标文件（二）（符合性投标文件）：正本1份，副本</w:t>
            </w:r>
            <w:r>
              <w:rPr>
                <w:rFonts w:hint="eastAsia" w:ascii="仿宋" w:hAnsi="仿宋" w:eastAsia="仿宋"/>
                <w:color w:val="000000"/>
                <w:kern w:val="0"/>
                <w:sz w:val="24"/>
                <w:szCs w:val="24"/>
                <w:lang w:val="en-US" w:eastAsia="zh-CN"/>
              </w:rPr>
              <w:t>6</w:t>
            </w:r>
            <w:r>
              <w:rPr>
                <w:rFonts w:hint="eastAsia" w:ascii="仿宋" w:hAnsi="仿宋" w:eastAsia="仿宋"/>
                <w:color w:val="000000"/>
                <w:kern w:val="0"/>
                <w:sz w:val="24"/>
                <w:szCs w:val="24"/>
                <w:lang w:eastAsia="zh-CN"/>
              </w:rPr>
              <w:t>份。</w:t>
            </w:r>
          </w:p>
          <w:p>
            <w:pPr>
              <w:pStyle w:val="2"/>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3.提供电子版投标文件一份(U盘)，随投标文件密封。</w:t>
            </w:r>
          </w:p>
          <w:p>
            <w:pPr>
              <w:pStyle w:val="2"/>
              <w:rPr>
                <w:rFonts w:hint="eastAsia" w:eastAsia="仿宋"/>
                <w:lang w:val="en-US" w:eastAsia="zh-CN"/>
              </w:rPr>
            </w:pPr>
            <w:r>
              <w:rPr>
                <w:rFonts w:hint="eastAsia" w:ascii="仿宋" w:hAnsi="仿宋" w:eastAsia="仿宋"/>
                <w:color w:val="000000"/>
                <w:kern w:val="0"/>
                <w:sz w:val="24"/>
                <w:szCs w:val="24"/>
                <w:lang w:eastAsia="zh-CN"/>
              </w:rPr>
              <w:t>注：投标商须分标段进行投标。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73"/>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73"/>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73"/>
              <w:spacing w:line="480" w:lineRule="exact"/>
              <w:ind w:firstLine="0" w:firstLineChars="0"/>
              <w:rPr>
                <w:rFonts w:hint="eastAsia" w:ascii="仿宋" w:hAnsi="仿宋" w:eastAsia="仿宋"/>
                <w:b/>
                <w:bCs/>
                <w:sz w:val="24"/>
                <w:szCs w:val="24"/>
                <w:lang w:val="zh-CN"/>
              </w:rPr>
            </w:pPr>
            <w:r>
              <w:rPr>
                <w:rFonts w:hint="eastAsia" w:ascii="仿宋" w:hAnsi="仿宋" w:eastAsia="仿宋"/>
                <w:b/>
                <w:bCs/>
                <w:sz w:val="24"/>
                <w:szCs w:val="24"/>
                <w:lang w:val="zh-CN"/>
              </w:rPr>
              <w:t>本项目预算金额和最高限价为：</w:t>
            </w:r>
          </w:p>
          <w:p>
            <w:pPr>
              <w:pStyle w:val="73"/>
              <w:spacing w:line="480" w:lineRule="exact"/>
              <w:ind w:firstLine="0" w:firstLineChars="0"/>
              <w:rPr>
                <w:rFonts w:hint="eastAsia" w:ascii="仿宋" w:hAnsi="仿宋" w:eastAsia="仿宋"/>
                <w:b/>
                <w:bCs/>
                <w:color w:val="0000FF"/>
                <w:sz w:val="24"/>
                <w:szCs w:val="24"/>
                <w:lang w:val="zh-CN"/>
              </w:rPr>
            </w:pPr>
            <w:r>
              <w:rPr>
                <w:rFonts w:hint="eastAsia" w:ascii="仿宋" w:hAnsi="仿宋" w:eastAsia="仿宋"/>
                <w:b/>
                <w:bCs/>
                <w:color w:val="0000FF"/>
                <w:sz w:val="24"/>
                <w:szCs w:val="24"/>
                <w:lang w:val="zh-CN"/>
              </w:rPr>
              <w:t>一标段：251.65万元；</w:t>
            </w:r>
          </w:p>
          <w:p>
            <w:pPr>
              <w:pStyle w:val="73"/>
              <w:spacing w:line="480" w:lineRule="exact"/>
              <w:ind w:firstLine="0" w:firstLineChars="0"/>
              <w:rPr>
                <w:rFonts w:hint="eastAsia" w:ascii="仿宋" w:hAnsi="仿宋" w:eastAsia="仿宋"/>
                <w:b/>
                <w:bCs/>
                <w:color w:val="0000FF"/>
                <w:sz w:val="24"/>
                <w:szCs w:val="24"/>
                <w:lang w:val="zh-CN"/>
              </w:rPr>
            </w:pPr>
            <w:r>
              <w:rPr>
                <w:rFonts w:hint="eastAsia" w:ascii="仿宋" w:hAnsi="仿宋" w:eastAsia="仿宋"/>
                <w:b/>
                <w:bCs/>
                <w:color w:val="0000FF"/>
                <w:sz w:val="24"/>
                <w:szCs w:val="24"/>
                <w:lang w:val="zh-CN"/>
              </w:rPr>
              <w:t>二标段：146.88万元；</w:t>
            </w:r>
          </w:p>
          <w:p>
            <w:pPr>
              <w:pStyle w:val="73"/>
              <w:spacing w:line="480" w:lineRule="exact"/>
              <w:ind w:firstLine="0" w:firstLineChars="0"/>
              <w:rPr>
                <w:rFonts w:hint="eastAsia" w:ascii="仿宋" w:hAnsi="仿宋" w:eastAsia="仿宋"/>
                <w:b/>
                <w:bCs/>
                <w:sz w:val="24"/>
                <w:szCs w:val="24"/>
                <w:lang w:val="zh-CN"/>
              </w:rPr>
            </w:pPr>
            <w:r>
              <w:rPr>
                <w:rFonts w:hint="eastAsia" w:ascii="仿宋" w:hAnsi="仿宋" w:eastAsia="仿宋"/>
                <w:b/>
                <w:bCs/>
                <w:color w:val="0000FF"/>
                <w:sz w:val="24"/>
                <w:szCs w:val="24"/>
                <w:lang w:val="zh-CN"/>
              </w:rPr>
              <w:t>三标段：255.96万元</w:t>
            </w:r>
            <w:r>
              <w:rPr>
                <w:rFonts w:hint="eastAsia" w:ascii="仿宋" w:hAnsi="仿宋" w:eastAsia="仿宋"/>
                <w:b/>
                <w:bCs/>
                <w:sz w:val="24"/>
                <w:szCs w:val="24"/>
                <w:lang w:val="zh-CN"/>
              </w:rPr>
              <w:t>。</w:t>
            </w:r>
          </w:p>
          <w:p>
            <w:pPr>
              <w:pStyle w:val="73"/>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投标商投标总报价不能超过项目预算金额及最最高限价，否则为无效投标。</w:t>
            </w:r>
          </w:p>
        </w:tc>
      </w:tr>
    </w:tbl>
    <w:p>
      <w:pPr>
        <w:pStyle w:val="2"/>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pStyle w:val="2"/>
        <w:rPr>
          <w:rFonts w:hint="eastAsia" w:ascii="仿宋" w:hAnsi="仿宋" w:eastAsia="仿宋" w:cs="黑体"/>
          <w:b/>
          <w:bCs/>
          <w:sz w:val="44"/>
          <w:szCs w:val="44"/>
          <w:lang w:val="zh-CN"/>
        </w:rPr>
      </w:pPr>
    </w:p>
    <w:p>
      <w:pPr>
        <w:pStyle w:val="2"/>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rPr>
        <w:t>5.9.投标文件内容模糊不清，无法辨认的</w:t>
      </w:r>
      <w:r>
        <w:rPr>
          <w:rFonts w:hint="eastAsia" w:ascii="仿宋" w:hAnsi="仿宋" w:eastAsia="仿宋" w:cs="宋体"/>
          <w:bCs/>
          <w:sz w:val="24"/>
          <w:lang w:eastAsia="zh-CN"/>
        </w:rPr>
        <w:t>；</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000000"/>
          <w:sz w:val="24"/>
          <w:szCs w:val="24"/>
          <w:lang w:val="zh-CN"/>
        </w:rPr>
      </w:pPr>
      <w:r>
        <w:rPr>
          <w:rFonts w:hint="eastAsia" w:ascii="仿宋" w:hAnsi="仿宋" w:eastAsia="仿宋" w:cs="仿宋_GB2312"/>
          <w:b/>
          <w:color w:val="00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投标人应提交壹份正本和</w:t>
      </w:r>
      <w:r>
        <w:rPr>
          <w:rFonts w:hint="eastAsia" w:ascii="仿宋" w:hAnsi="仿宋" w:eastAsia="仿宋" w:cs="仿宋_GB2312"/>
          <w:color w:val="FF0000"/>
          <w:sz w:val="24"/>
          <w:szCs w:val="24"/>
          <w:lang w:val="en-US" w:eastAsia="zh-CN"/>
        </w:rPr>
        <w:t>贰</w:t>
      </w:r>
      <w:r>
        <w:rPr>
          <w:rFonts w:hint="eastAsia" w:ascii="仿宋" w:hAnsi="仿宋" w:eastAsia="仿宋" w:cs="仿宋_GB2312"/>
          <w:color w:val="FF0000"/>
          <w:sz w:val="24"/>
          <w:szCs w:val="24"/>
          <w:lang w:val="zh-CN"/>
        </w:rPr>
        <w:t>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投标人应提交壹份正本和</w:t>
      </w:r>
      <w:r>
        <w:rPr>
          <w:rFonts w:hint="eastAsia" w:ascii="仿宋" w:hAnsi="仿宋" w:eastAsia="仿宋" w:cs="仿宋_GB2312"/>
          <w:color w:val="FF0000"/>
          <w:sz w:val="24"/>
          <w:szCs w:val="24"/>
          <w:lang w:val="en-US" w:eastAsia="zh-CN"/>
        </w:rPr>
        <w:t>陆</w:t>
      </w:r>
      <w:r>
        <w:rPr>
          <w:rFonts w:hint="eastAsia" w:ascii="仿宋" w:hAnsi="仿宋" w:eastAsia="仿宋" w:cs="仿宋_GB2312"/>
          <w:color w:val="FF0000"/>
          <w:sz w:val="24"/>
          <w:szCs w:val="24"/>
          <w:lang w:val="zh-CN"/>
        </w:rPr>
        <w:t>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 xml:space="preserve">D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5"/>
        </w:numPr>
        <w:tabs>
          <w:tab w:val="left" w:pos="8280"/>
        </w:tabs>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10" w:type="first"/>
          <w:footerReference r:id="rId12" w:type="first"/>
          <w:headerReference r:id="rId9" w:type="default"/>
          <w:footerReference r:id="rId11"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一、采购内容：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对禹州市农村房屋不动产登记、房屋权籍调查、房地一体权籍调查、权籍信息叠加整合、纸质档案数字化、叠加信息库合库。</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调查工作内容包括：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信息叠加整合工作内容包括：以宅基地和集体建设用地权籍（地籍）信息和数据库为依托，叠加整合农村房屋等建筑物、构筑物以及新增的宅基地、集体建设用地权籍信息，形成农村房地一体的不动产权籍信息数据库，为登记提供信息化基础。</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数据库合库质检工作内容包括：制定各标段数据录入技术规程、合库、数据库质检、审核，数据库成果移交和项目验收，并实现与不动产登记信息管理基础平台的关联。</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纸质档案数字化工作内容包括：将农村房屋不动产登记、登记申请、登记审核以及登记成果等全部纸质档案数字化，建立数字材料信息库。</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spacing w:line="520" w:lineRule="exact"/>
        <w:ind w:firstLine="480" w:firstLineChars="200"/>
        <w:rPr>
          <w:rFonts w:hint="eastAsia" w:ascii="仿宋" w:hAnsi="仿宋" w:eastAsia="仿宋" w:cs="仿宋_GB2312"/>
          <w:b w:val="0"/>
          <w:bCs/>
          <w:color w:val="000000"/>
          <w:sz w:val="24"/>
          <w:szCs w:val="24"/>
          <w:lang w:eastAsia="zh-CN"/>
        </w:rPr>
      </w:pPr>
      <w:r>
        <w:rPr>
          <w:rFonts w:hint="eastAsia" w:ascii="仿宋" w:hAnsi="仿宋" w:eastAsia="仿宋" w:cs="仿宋_GB2312"/>
          <w:b w:val="0"/>
          <w:bCs/>
          <w:color w:val="000000"/>
          <w:sz w:val="24"/>
          <w:szCs w:val="24"/>
          <w:lang w:eastAsia="zh-CN"/>
        </w:rPr>
        <w:t>第1标段：完成鸠山镇、磨街乡的房屋权籍调查、房地一体权籍调查、权籍信息叠加整合、不动产登记、纸质档案数字化，同时完成全市权籍信息叠加整合库的质检和项目验收工作；建立全市农村房屋权籍纸质档案数字化资料信息库，并建立与不动产登记信息管理基础平台的关联。</w:t>
      </w:r>
    </w:p>
    <w:p>
      <w:pPr>
        <w:spacing w:line="520" w:lineRule="exact"/>
        <w:ind w:firstLine="480" w:firstLineChars="200"/>
        <w:rPr>
          <w:rFonts w:hint="eastAsia" w:ascii="仿宋" w:hAnsi="仿宋" w:eastAsia="仿宋" w:cs="仿宋_GB2312"/>
          <w:b w:val="0"/>
          <w:bCs/>
          <w:color w:val="000000"/>
          <w:sz w:val="24"/>
          <w:szCs w:val="24"/>
          <w:lang w:eastAsia="zh-CN"/>
        </w:rPr>
      </w:pPr>
      <w:r>
        <w:rPr>
          <w:rFonts w:hint="eastAsia" w:ascii="仿宋" w:hAnsi="仿宋" w:eastAsia="仿宋" w:cs="仿宋_GB2312"/>
          <w:b w:val="0"/>
          <w:bCs/>
          <w:color w:val="000000"/>
          <w:sz w:val="24"/>
          <w:szCs w:val="24"/>
          <w:lang w:eastAsia="zh-CN"/>
        </w:rPr>
        <w:t>第2标段：完成</w:t>
      </w:r>
      <w:r>
        <w:rPr>
          <w:rFonts w:hint="eastAsia" w:ascii="仿宋" w:hAnsi="仿宋" w:eastAsia="仿宋" w:cs="仿宋_GB2312"/>
          <w:b w:val="0"/>
          <w:bCs/>
          <w:color w:val="000000"/>
          <w:sz w:val="24"/>
          <w:szCs w:val="24"/>
          <w:lang w:val="en-US" w:eastAsia="zh-CN"/>
        </w:rPr>
        <w:t>文殊镇</w:t>
      </w:r>
      <w:r>
        <w:rPr>
          <w:rFonts w:hint="eastAsia" w:ascii="仿宋" w:hAnsi="仿宋" w:eastAsia="仿宋" w:cs="仿宋_GB2312"/>
          <w:b w:val="0"/>
          <w:bCs/>
          <w:color w:val="000000"/>
          <w:sz w:val="24"/>
          <w:szCs w:val="24"/>
          <w:lang w:eastAsia="zh-CN"/>
        </w:rPr>
        <w:t>、</w:t>
      </w:r>
      <w:r>
        <w:rPr>
          <w:rFonts w:hint="eastAsia" w:ascii="仿宋" w:hAnsi="仿宋" w:eastAsia="仿宋" w:cs="仿宋_GB2312"/>
          <w:b w:val="0"/>
          <w:bCs/>
          <w:color w:val="000000"/>
          <w:sz w:val="24"/>
          <w:szCs w:val="24"/>
          <w:lang w:val="en-US" w:eastAsia="zh-CN"/>
        </w:rPr>
        <w:t>方岗</w:t>
      </w:r>
      <w:r>
        <w:rPr>
          <w:rFonts w:hint="eastAsia" w:ascii="仿宋" w:hAnsi="仿宋" w:eastAsia="仿宋" w:cs="仿宋_GB2312"/>
          <w:b w:val="0"/>
          <w:bCs/>
          <w:color w:val="000000"/>
          <w:sz w:val="24"/>
          <w:szCs w:val="24"/>
          <w:lang w:eastAsia="zh-CN"/>
        </w:rPr>
        <w:t>镇的房屋权籍调查、房地一体权籍调查、权籍信息叠加整合、不动产登记、纸质档案数字化工作，并配合1标段完成项目质检和验收工作。</w:t>
      </w:r>
    </w:p>
    <w:p>
      <w:pPr>
        <w:spacing w:line="520" w:lineRule="exact"/>
        <w:ind w:firstLine="480" w:firstLineChars="200"/>
        <w:rPr>
          <w:rFonts w:hint="eastAsia" w:ascii="仿宋" w:hAnsi="仿宋" w:eastAsia="仿宋" w:cs="仿宋_GB2312"/>
          <w:b w:val="0"/>
          <w:bCs/>
          <w:color w:val="000000"/>
          <w:sz w:val="24"/>
          <w:szCs w:val="24"/>
          <w:lang w:eastAsia="zh-CN"/>
        </w:rPr>
      </w:pPr>
      <w:r>
        <w:rPr>
          <w:rFonts w:hint="eastAsia" w:ascii="仿宋" w:hAnsi="仿宋" w:eastAsia="仿宋" w:cs="仿宋_GB2312"/>
          <w:b w:val="0"/>
          <w:bCs/>
          <w:color w:val="000000"/>
          <w:sz w:val="24"/>
          <w:szCs w:val="24"/>
          <w:lang w:eastAsia="zh-CN"/>
        </w:rPr>
        <w:t>第3标段：完成神垕镇、鸿畅镇的房屋权籍调查、房地一体权籍调查、权籍信息叠加整合、不动产登记、纸质档案数字化工作，并配合1标段完成项目质检和验收工作。</w:t>
      </w:r>
    </w:p>
    <w:p>
      <w:pPr>
        <w:spacing w:line="520" w:lineRule="exact"/>
        <w:ind w:firstLine="3373" w:firstLineChars="1200"/>
        <w:rPr>
          <w:rFonts w:hint="eastAsia" w:ascii="仿宋" w:hAnsi="仿宋" w:eastAsia="仿宋" w:cs="仿宋_GB2312"/>
          <w:b/>
          <w:sz w:val="28"/>
          <w:szCs w:val="16"/>
          <w:lang w:eastAsia="zh-CN"/>
        </w:rPr>
      </w:pPr>
      <w:r>
        <w:rPr>
          <w:rFonts w:hint="eastAsia" w:ascii="仿宋" w:hAnsi="仿宋" w:eastAsia="仿宋" w:cs="仿宋_GB2312"/>
          <w:b/>
          <w:sz w:val="28"/>
          <w:szCs w:val="16"/>
          <w:lang w:eastAsia="zh-CN"/>
        </w:rPr>
        <w:t>招标项目要求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一、投标人资格要求见投标人须知前附表。如资格证明文件遇年检、换证，则必须提供法定年检、换证单位出具的有效证明原件。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人须提供符合国家质量标准、部颁标准、行业标准、地方标准、规范或本招标文件规定标准的、供货渠道合法的全新原装合格正品（包括零部件、备件），且是成熟产品，而非试制品。如安装或配置软件的，须为正版软件。所提供的</w:t>
      </w:r>
      <w:r>
        <w:rPr>
          <w:rFonts w:hint="eastAsia" w:ascii="仿宋" w:hAnsi="仿宋" w:eastAsia="仿宋" w:cs="仿宋"/>
          <w:sz w:val="24"/>
          <w:szCs w:val="24"/>
          <w:lang w:eastAsia="zh-CN"/>
        </w:rPr>
        <w:t>货物（服务）</w:t>
      </w:r>
      <w:r>
        <w:rPr>
          <w:rFonts w:hint="eastAsia" w:ascii="仿宋" w:hAnsi="仿宋" w:eastAsia="仿宋" w:cs="仿宋"/>
          <w:sz w:val="24"/>
          <w:szCs w:val="24"/>
        </w:rPr>
        <w:t>应当同时符合国家有关安全、卫生、环保规定。</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三、如果本项目报经政府采购管理部门批准允许采购进口产品，则进口</w:t>
      </w:r>
      <w:r>
        <w:rPr>
          <w:rFonts w:hint="eastAsia" w:ascii="仿宋" w:hAnsi="仿宋" w:eastAsia="仿宋" w:cs="仿宋"/>
          <w:sz w:val="24"/>
          <w:szCs w:val="24"/>
          <w:lang w:eastAsia="zh-CN"/>
        </w:rPr>
        <w:t>货物（服务）</w:t>
      </w:r>
      <w:r>
        <w:rPr>
          <w:rFonts w:hint="eastAsia" w:ascii="仿宋" w:hAnsi="仿宋" w:eastAsia="仿宋" w:cs="仿宋"/>
          <w:sz w:val="24"/>
          <w:szCs w:val="24"/>
        </w:rPr>
        <w:t>及其有关服务必须符合原产地或中华人民共和国的设计和制造生产标准或行业标准。进口的</w:t>
      </w:r>
      <w:r>
        <w:rPr>
          <w:rFonts w:hint="eastAsia" w:ascii="仿宋" w:hAnsi="仿宋" w:eastAsia="仿宋" w:cs="仿宋"/>
          <w:sz w:val="24"/>
          <w:szCs w:val="24"/>
          <w:lang w:eastAsia="zh-CN"/>
        </w:rPr>
        <w:t>货物（服务）</w:t>
      </w:r>
      <w:r>
        <w:rPr>
          <w:rFonts w:hint="eastAsia" w:ascii="仿宋" w:hAnsi="仿宋" w:eastAsia="仿宋" w:cs="仿宋"/>
          <w:sz w:val="24"/>
          <w:szCs w:val="24"/>
        </w:rPr>
        <w:t>必须具有合法的进口手续和途径，并通过中华人民共和国质检、商检部门检验。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四、投标报价是履行合同的最终报价，无特别注明，均为人民币报价。应包括本招标项目所包含的</w:t>
      </w:r>
      <w:r>
        <w:rPr>
          <w:rFonts w:hint="eastAsia" w:ascii="仿宋" w:hAnsi="仿宋" w:eastAsia="仿宋" w:cs="仿宋"/>
          <w:sz w:val="24"/>
          <w:szCs w:val="24"/>
          <w:lang w:eastAsia="zh-CN"/>
        </w:rPr>
        <w:t>货物（服务）</w:t>
      </w:r>
      <w:r>
        <w:rPr>
          <w:rFonts w:hint="eastAsia" w:ascii="仿宋" w:hAnsi="仿宋" w:eastAsia="仿宋" w:cs="仿宋"/>
          <w:sz w:val="24"/>
          <w:szCs w:val="24"/>
        </w:rPr>
        <w:t>、软件、标准附件、备品备件、专用工具、图纸资料、技术服务，包装、仓储、运输、装卸、保险、税金，货到就位以及安装、调试、培训、保修等一切税金和费用。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如果本项目报经政府采购管理部门批准允许采购进口产品，除上述一切税金和费用外，投标报价还应包含国际运输、保险、进口产品报关清关、商检等一切税金和费用。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五、投标人对每种产品只允许有一种报价，采购人不接受有任何选择报价的投标。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六、合同签订：合同由采购人与中标人签订。</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服务要求</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1、工期（竣工期）：见投标人须知前附表。超出招标文件规定工期的投标将不被接受。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服务地点</w:t>
      </w:r>
      <w:r>
        <w:rPr>
          <w:rFonts w:hint="eastAsia" w:ascii="仿宋" w:hAnsi="仿宋" w:eastAsia="仿宋" w:cs="仿宋"/>
          <w:sz w:val="24"/>
          <w:szCs w:val="24"/>
        </w:rPr>
        <w:t>：采购人指定地点。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3、投标人应严格按照国家规范及和河南省有关技术要求，确保通过省级核查、验收。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九、付款方式：根据合同履行。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十、投标人必须由法定代表人或委托代理人参加开标仪式，随时接受评标委员会询问，并予以解答。</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十一、中标人应承担招标代理服务费由中标人领取中标通知书时向</w:t>
      </w:r>
      <w:r>
        <w:rPr>
          <w:rFonts w:hint="eastAsia" w:ascii="仿宋" w:hAnsi="仿宋" w:eastAsia="仿宋" w:cs="仿宋"/>
          <w:sz w:val="24"/>
          <w:szCs w:val="24"/>
          <w:lang w:eastAsia="zh-CN"/>
        </w:rPr>
        <w:t>采购</w:t>
      </w:r>
      <w:r>
        <w:rPr>
          <w:rFonts w:hint="eastAsia" w:ascii="仿宋" w:hAnsi="仿宋" w:eastAsia="仿宋" w:cs="仿宋"/>
          <w:sz w:val="24"/>
          <w:szCs w:val="24"/>
        </w:rPr>
        <w:t>代理机构支付。</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十二、项目总体要求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（一）农村房屋不动产登记权籍调查工作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pPr>
        <w:spacing w:line="520" w:lineRule="exact"/>
        <w:ind w:firstLine="3373" w:firstLineChars="1200"/>
        <w:rPr>
          <w:rFonts w:hint="eastAsia" w:ascii="仿宋" w:hAnsi="仿宋" w:eastAsia="仿宋" w:cs="仿宋_GB2312"/>
          <w:b/>
          <w:sz w:val="28"/>
          <w:szCs w:val="16"/>
          <w:lang w:eastAsia="zh-CN"/>
        </w:rPr>
      </w:pPr>
      <w:r>
        <w:rPr>
          <w:rFonts w:hint="eastAsia" w:ascii="仿宋" w:hAnsi="仿宋" w:eastAsia="仿宋" w:cs="仿宋_GB2312"/>
          <w:b/>
          <w:sz w:val="28"/>
          <w:szCs w:val="16"/>
          <w:lang w:eastAsia="zh-CN"/>
        </w:rPr>
        <w:t>技</w:t>
      </w:r>
      <w:r>
        <w:rPr>
          <w:rFonts w:hint="eastAsia" w:ascii="仿宋" w:hAnsi="仿宋" w:eastAsia="仿宋" w:cs="仿宋_GB2312"/>
          <w:b/>
          <w:sz w:val="28"/>
          <w:szCs w:val="16"/>
          <w:lang w:val="en-US" w:eastAsia="zh-CN"/>
        </w:rPr>
        <w:t xml:space="preserve">  </w:t>
      </w:r>
      <w:r>
        <w:rPr>
          <w:rFonts w:hint="eastAsia" w:ascii="仿宋" w:hAnsi="仿宋" w:eastAsia="仿宋" w:cs="仿宋_GB2312"/>
          <w:b/>
          <w:sz w:val="28"/>
          <w:szCs w:val="16"/>
          <w:lang w:eastAsia="zh-CN"/>
        </w:rPr>
        <w:t>术</w:t>
      </w:r>
      <w:r>
        <w:rPr>
          <w:rFonts w:hint="eastAsia" w:ascii="仿宋" w:hAnsi="仿宋" w:eastAsia="仿宋" w:cs="仿宋_GB2312"/>
          <w:b/>
          <w:sz w:val="28"/>
          <w:szCs w:val="16"/>
          <w:lang w:val="en-US" w:eastAsia="zh-CN"/>
        </w:rPr>
        <w:t xml:space="preserve">  </w:t>
      </w:r>
      <w:r>
        <w:rPr>
          <w:rFonts w:hint="eastAsia" w:ascii="仿宋" w:hAnsi="仿宋" w:eastAsia="仿宋" w:cs="仿宋_GB2312"/>
          <w:b/>
          <w:sz w:val="28"/>
          <w:szCs w:val="16"/>
          <w:lang w:eastAsia="zh-CN"/>
        </w:rPr>
        <w:t>要</w:t>
      </w:r>
      <w:r>
        <w:rPr>
          <w:rFonts w:hint="eastAsia" w:ascii="仿宋" w:hAnsi="仿宋" w:eastAsia="仿宋" w:cs="仿宋_GB2312"/>
          <w:b/>
          <w:sz w:val="28"/>
          <w:szCs w:val="16"/>
          <w:lang w:val="en-US" w:eastAsia="zh-CN"/>
        </w:rPr>
        <w:t xml:space="preserve">  </w:t>
      </w:r>
      <w:r>
        <w:rPr>
          <w:rFonts w:hint="eastAsia" w:ascii="仿宋" w:hAnsi="仿宋" w:eastAsia="仿宋" w:cs="仿宋_GB2312"/>
          <w:b/>
          <w:sz w:val="28"/>
          <w:szCs w:val="16"/>
          <w:lang w:eastAsia="zh-CN"/>
        </w:rPr>
        <w:t>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（一）技术标准</w:t>
      </w:r>
    </w:p>
    <w:p>
      <w:pPr>
        <w:tabs>
          <w:tab w:val="left" w:pos="5963"/>
        </w:tabs>
        <w:spacing w:line="420" w:lineRule="exact"/>
        <w:ind w:firstLine="480" w:firstLineChars="200"/>
        <w:rPr>
          <w:rFonts w:hint="eastAsia" w:ascii="仿宋" w:hAnsi="仿宋" w:eastAsia="仿宋" w:cs="仿宋"/>
          <w:sz w:val="24"/>
          <w:szCs w:val="24"/>
        </w:rPr>
      </w:pPr>
      <w:bookmarkStart w:id="0" w:name="_Toc510454027"/>
      <w:r>
        <w:rPr>
          <w:rFonts w:hint="eastAsia" w:ascii="仿宋" w:hAnsi="仿宋" w:eastAsia="仿宋" w:cs="仿宋"/>
          <w:sz w:val="24"/>
          <w:szCs w:val="24"/>
        </w:rPr>
        <w:t>1、数学基础</w:t>
      </w:r>
      <w:bookmarkEnd w:id="0"/>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平面坐标系统采用“2000 国家大地坐标系”。高程系统采用“1985 国家高程基准”。投影类型采用“高斯-克吕格投影”，3°分带。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5963"/>
        </w:tabs>
        <w:spacing w:line="420" w:lineRule="exact"/>
        <w:ind w:firstLine="480" w:firstLineChars="200"/>
        <w:rPr>
          <w:rFonts w:hint="eastAsia" w:ascii="仿宋" w:hAnsi="仿宋" w:eastAsia="仿宋" w:cs="仿宋"/>
          <w:sz w:val="24"/>
          <w:szCs w:val="24"/>
        </w:rPr>
      </w:pPr>
      <w:bookmarkStart w:id="1" w:name="_Toc510454028"/>
      <w:r>
        <w:rPr>
          <w:rFonts w:hint="eastAsia" w:ascii="仿宋" w:hAnsi="仿宋" w:eastAsia="仿宋" w:cs="仿宋"/>
          <w:sz w:val="24"/>
          <w:szCs w:val="24"/>
        </w:rPr>
        <w:t>2、界址点坐标成果</w:t>
      </w:r>
      <w:bookmarkEnd w:id="1"/>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界址点坐标分别提供 2000 国家大地坐标系和 1980 西安坐标系两套成果。 </w:t>
      </w:r>
    </w:p>
    <w:p>
      <w:pPr>
        <w:tabs>
          <w:tab w:val="left" w:pos="5963"/>
        </w:tabs>
        <w:spacing w:line="420" w:lineRule="exact"/>
        <w:ind w:firstLine="480" w:firstLineChars="200"/>
        <w:rPr>
          <w:rFonts w:hint="eastAsia" w:ascii="仿宋" w:hAnsi="仿宋" w:eastAsia="仿宋" w:cs="仿宋"/>
          <w:sz w:val="24"/>
          <w:szCs w:val="24"/>
        </w:rPr>
      </w:pPr>
      <w:bookmarkStart w:id="2" w:name="_Toc510454029"/>
      <w:r>
        <w:rPr>
          <w:rFonts w:hint="eastAsia" w:ascii="仿宋" w:hAnsi="仿宋" w:eastAsia="仿宋" w:cs="仿宋"/>
          <w:sz w:val="24"/>
          <w:szCs w:val="24"/>
        </w:rPr>
        <w:t>3、地籍图比例尺、分幅和编号</w:t>
      </w:r>
      <w:bookmarkEnd w:id="2"/>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农村不动产权籍图采用 1∶500 的比例尺；50cm×50cm 正方形分幅；图幅编号按照西南角坐标公里数编号，保留两位小数，X 坐标在前，Y 坐标在后，中间用短横线连接。  </w:t>
      </w:r>
    </w:p>
    <w:p>
      <w:pPr>
        <w:tabs>
          <w:tab w:val="left" w:pos="5963"/>
        </w:tabs>
        <w:spacing w:line="420" w:lineRule="exact"/>
        <w:ind w:firstLine="480" w:firstLineChars="200"/>
        <w:rPr>
          <w:rFonts w:hint="eastAsia" w:ascii="仿宋" w:hAnsi="仿宋" w:eastAsia="仿宋" w:cs="仿宋"/>
          <w:sz w:val="24"/>
          <w:szCs w:val="24"/>
        </w:rPr>
      </w:pPr>
      <w:bookmarkStart w:id="3" w:name="_Toc510454030"/>
      <w:r>
        <w:rPr>
          <w:rFonts w:hint="eastAsia" w:ascii="仿宋" w:hAnsi="仿宋" w:eastAsia="仿宋" w:cs="仿宋"/>
          <w:sz w:val="24"/>
          <w:szCs w:val="24"/>
        </w:rPr>
        <w:t>4、计量单位</w:t>
      </w:r>
      <w:bookmarkEnd w:id="3"/>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长度单位为米（m），面积单位为平方米（m2），面积汇总单位为平方米（m2）；全部保留两位小数。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（二）法律法规、政策依据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（1）《中华人民共和国物权法》（中华人民共和国主席令第 62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（2）《中华人民共和国土地管理法》（中华人民共和国主席令第 28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（3）《中华人民共和国土地管理法实施条例》（国务院令第 256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（4）《土地调查条例》（国务院令第 518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（5）《不动产登记暂行条例》（国务院令第 656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（6）《国土资源部关于进一步加快宅基地和集体建设用地确权登记发证有关问题的通知》（国土资发〔2016〕191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（7）《中共河南省委、河南省人民政府关于深入推进农业供给侧结构性改革加快培育农业农村发展新动能的实施意见》（豫发〔2017〕1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（8）《河南省不动产统一登记制度建设联席会议办公室关于印发〈河南省农村房屋不动产登记实施方案〉的通知》（豫不动产登记联办发〔2017〕1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（9）《2017 年河南省政府工作报告》 </w:t>
      </w:r>
    </w:p>
    <w:p>
      <w:pPr>
        <w:tabs>
          <w:tab w:val="left" w:pos="5963"/>
        </w:tabs>
        <w:spacing w:line="420" w:lineRule="exact"/>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技术依据</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（1）《地籍调查规程》（TD/T 1001—2012）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（2）《房产测量规范》（GB/T 17986-2000）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（3）《国土资源部关于做好不动产权籍调查工作的通知》（国土资发〔2015〕41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（4）《国土资源部办公厅关于印发〈不动产单元设定与代码编制规则〉的函》（国土资厅函〔2017〕号）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（5）《农村地籍和房屋调查技术方案（试行）》（国土资发〔2014〕101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（6）《不动产登记数据库标准（试行）》（国土资发〔2015〕103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（7）《河南省农村集体土地使用权确权登记发证实施细则》（豫集办发〔2013〕17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（8）《河南省国土资源厅办公室关于印发〈河南省地籍调查县级平面直角坐标系建设若干意见（试行）〉的通知》（豫国土资办发〔2014〕13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（9）《土地利用现状分类》（GB/T 21010—2017）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（10）《中华人民共和国行政区域代码》（GB/T 2260—2007） （11）《国家基本比例尺地形图分幅与编号》（GB/T 13989—2012）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（12）《全球定位系统（GPS）测量规范》（GB/T 18314—2009）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（13）《城市测量规范》（CJJ/T 8-2011）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（14）《全球定位系统实时动态测量（RTK）技术规范》（CH/T 2009―2010）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（15）《国家基本比例尺地图图式第 1 部分：1∶500  1∶1 000 1∶2 000 地形图图式 》（GB/T 20257.1―2007）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（16）《河南省农村房屋不动产登记权籍调查技术细则》（豫不动产登记联办发〔2018〕1号）</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、其他要求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1、投标需提供服务期限承诺、质量承诺和售后服务承诺函。</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2、服务结算：投标人需严格按项目说明的情况进行报价，最终以实际工作量据实结算。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3、因中标人自身原因，导致验收不合格，由中标人承担所有费用，直至验收合格。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四</w:t>
      </w:r>
      <w:r>
        <w:rPr>
          <w:rFonts w:hint="eastAsia" w:ascii="仿宋" w:hAnsi="仿宋" w:eastAsia="仿宋" w:cs="仿宋"/>
          <w:sz w:val="24"/>
          <w:szCs w:val="24"/>
          <w:lang w:eastAsia="zh-CN"/>
        </w:rPr>
        <w:t>）</w:t>
      </w:r>
      <w:r>
        <w:rPr>
          <w:rFonts w:hint="eastAsia" w:ascii="仿宋" w:hAnsi="仿宋" w:eastAsia="仿宋" w:cs="仿宋"/>
          <w:sz w:val="24"/>
          <w:szCs w:val="24"/>
        </w:rPr>
        <w:t>、质量标准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五</w:t>
      </w:r>
      <w:r>
        <w:rPr>
          <w:rFonts w:hint="eastAsia" w:ascii="仿宋" w:hAnsi="仿宋" w:eastAsia="仿宋" w:cs="仿宋"/>
          <w:sz w:val="24"/>
          <w:szCs w:val="24"/>
          <w:lang w:eastAsia="zh-CN"/>
        </w:rPr>
        <w:t>）</w:t>
      </w:r>
      <w:r>
        <w:rPr>
          <w:rFonts w:hint="eastAsia" w:ascii="仿宋" w:hAnsi="仿宋" w:eastAsia="仿宋" w:cs="仿宋"/>
          <w:sz w:val="24"/>
          <w:szCs w:val="24"/>
        </w:rPr>
        <w:t>、提交成果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禹州市</w:t>
      </w:r>
      <w:r>
        <w:rPr>
          <w:rFonts w:hint="eastAsia" w:ascii="仿宋" w:hAnsi="仿宋" w:eastAsia="仿宋" w:cs="仿宋"/>
          <w:sz w:val="24"/>
          <w:szCs w:val="24"/>
        </w:rPr>
        <w:t xml:space="preserve">农村房屋不动产登记权籍调查成果包括文字成果、表格成果、图件成果和数据库成果等。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5.1.1 工作报告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（1）区域概况。概述本地自然、社会、经济、人口的基本状况。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（2）任务来源。简述任务的来源情况以及任务实施对本地经济社会发展的意义。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（3）领导组织。说明本地人民政府为任务实施建立的领导组织以及组成领导组织的各单位的职责分工，并评价实施中各单位的职责落实情况。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（5）任务承担。说明国土资源管理部门承担农村不动产登记发证工作的具体单位和单位的基本情况以及为完成任务投入的人员、设备情况。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（6）经费落实。说明工作经费的编制、审批以及列入预算的情况。说明经费的拨付依据和至工作完成实际的拨付情况。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（8）政府采购。说明政府采购实施的基本情况，中标单位的基本情况。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（10）完成工作情况。说明农村房屋不动产登记权籍调查完成的宗地、房屋的数量和面积情况以及颁发证书的情况等。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（11）成果评价。说明成果的完成情况以及对农村房屋不动产登记成果的自我评价。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（12）经验总结。总结工作的组织实施经验和存在的问题。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（13）其他内容。根据各地实际，需要在工作报告中说明的其他内容。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5.1.2 技术报告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（1）项目概述。概述项目的基础成果、面积数量的基本情况。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（2）项目组织。说明中标单位建立的组织、投入的人员、设备等基本情况。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（3）项目实施技术依据。说明项目实施依据的法律法规和政策文件以及技术标准和技术方案。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（4）基础成果情况。说明基础成果情况以及根据基础成果确定的基础成果应用要求。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（5）质量保障措施。说明建立的各项质量管理制度以及制度的落实实施情况。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（6）权属调查实施。按下列内容分述：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1）工作计划安排。说明根据任务要求安排的具体工作计划以及计划的完成情况。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2）人员设备组织。说明具体实施权籍调查的人员数量、人员组织、设备使用等情况。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3）农村房屋权籍调查。说明农村房屋权属调查的实施方法、工作情况、问题处理。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4）农村房地一体权籍调查。说明农村房地一体权属调查的实施方法、工作情况、问题处理。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5）其他权属调查情况。说明根据国土资源管理部门的要求，进行的其他权属调查的实施方法、工作情况、问题处理。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（7）不动产测量。按下列内容分述：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1）数学基础。说明不动产测量采用的数学基础。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2）技术方法。说明不动产测量采用的技术方法和技术要求。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3）设备状况。说明不动产测量使用的设备检测情况和工作情况。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4）县级平面直角坐标系建立。说明县级平面直角坐标系的建立依据和过程以及结果。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5）界址测量。说明界址检查、界址放样、界址测量的方法和操作步骤以及界址测量的成果数量。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6）其他要素测量。说明地物、地貌和其他要素测量的方法和操作步骤。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7）图件的编制。说明不动产权籍图、宗地图和房产分户图的编制方法和程序以及各类图件的数量。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8）房屋面积计算。说明房屋面积计算的方法和操作步骤。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9）质量评价。说明不动产测量的质量控制结果、对不动产测量成果的质量评价。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10）其他内容。根据各地实际，需要在技术报告中说明的其他不动产测量的内容。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（8）权籍信息叠加整合。按下列内容分述：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1）权籍信息叠加整合的程序、方法、要求。说明叠加整合的流程设计、数据准备、资料处理、数据采集、数据叠加、整合建库等。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2）权籍信息叠加整合的质量控制。说明质量控制制度、方法；叠加整合结果与原始数据、权籍调查结果一致性评价。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3）叠加整合的数据库运行检查。说明检查叠加整合的数据库库体运行情况以及检查与不动产登记信息管理基础平台挂接的运行情况。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4）叠加整合问题的处理。说明叠加整合中相关问题的处理方法以及要求。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（10）评价与建议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1）总结本次工作权属调查、不动产测量、数据叠加整合、以及取得的经验和存在的问题。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2）总结本次调查采用的新技术及技术创新情况。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3）对技术方法和技术指标，提出更新、改进、提高的建议。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5.1.3 其他文字成果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（1）编制的数据库成果和其他材料检查报告。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（2）编制技术方案。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5.2 表格成果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（1）权籍调查中形成的纸质各类表格材料。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（2）权籍调查中形成的其他纸质表格材料。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（3）权籍调查中形成的电子表格材料。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5.3 图件成果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（1）房屋分层分户纸质平面图。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（2）纸质宗地图。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（3）电子不动产权籍图（需提交 10 张纸质图件以备验收）。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（4）其他纸质或者电子成果图件。 </w:t>
      </w:r>
    </w:p>
    <w:p>
      <w:pPr>
        <w:numPr>
          <w:ilvl w:val="0"/>
          <w:numId w:val="0"/>
        </w:numPr>
        <w:tabs>
          <w:tab w:val="left" w:pos="2127"/>
        </w:tabs>
        <w:snapToGrid/>
        <w:spacing w:before="0" w:after="0" w:line="360" w:lineRule="auto"/>
        <w:ind w:right="0" w:firstLine="480"/>
        <w:jc w:val="both"/>
        <w:rPr>
          <w:rFonts w:hint="eastAsia" w:ascii="仿宋" w:hAnsi="仿宋" w:eastAsia="仿宋" w:cs="仿宋"/>
          <w:color w:val="000000"/>
          <w:spacing w:val="0"/>
          <w:position w:val="0"/>
          <w:sz w:val="24"/>
          <w:szCs w:val="24"/>
          <w:shd w:val="clear" w:color="000000" w:fill="FFFFFF"/>
        </w:rPr>
      </w:pPr>
      <w:r>
        <w:rPr>
          <w:rFonts w:hint="eastAsia" w:ascii="仿宋" w:hAnsi="仿宋" w:eastAsia="仿宋" w:cs="仿宋"/>
          <w:color w:val="000000"/>
          <w:position w:val="0"/>
          <w:sz w:val="24"/>
          <w:szCs w:val="24"/>
        </w:rPr>
        <w:t xml:space="preserve"> </w:t>
      </w:r>
      <w:r>
        <w:rPr>
          <w:rFonts w:hint="eastAsia" w:ascii="仿宋" w:hAnsi="仿宋" w:eastAsia="仿宋" w:cs="仿宋"/>
          <w:color w:val="000000"/>
          <w:spacing w:val="0"/>
          <w:position w:val="0"/>
          <w:sz w:val="24"/>
          <w:szCs w:val="24"/>
          <w:shd w:val="clear" w:color="000000" w:fill="FFFFFF"/>
        </w:rPr>
        <w:t xml:space="preserve">5.4 数据库成果 </w:t>
      </w:r>
    </w:p>
    <w:p>
      <w:pPr>
        <w:numPr>
          <w:ilvl w:val="0"/>
          <w:numId w:val="0"/>
        </w:numPr>
        <w:tabs>
          <w:tab w:val="left" w:pos="2127"/>
        </w:tabs>
        <w:snapToGrid/>
        <w:spacing w:before="0" w:after="0" w:line="360" w:lineRule="auto"/>
        <w:ind w:right="0" w:firstLine="480"/>
        <w:jc w:val="both"/>
        <w:rPr>
          <w:rFonts w:hint="eastAsia" w:ascii="仿宋" w:hAnsi="仿宋" w:eastAsia="仿宋" w:cs="仿宋"/>
          <w:color w:val="000000"/>
          <w:spacing w:val="0"/>
          <w:position w:val="0"/>
          <w:sz w:val="24"/>
          <w:szCs w:val="24"/>
          <w:shd w:val="clear" w:color="000000" w:fill="FFFFFF"/>
        </w:rPr>
      </w:pPr>
      <w:r>
        <w:rPr>
          <w:rFonts w:hint="eastAsia" w:ascii="仿宋" w:hAnsi="仿宋" w:eastAsia="仿宋" w:cs="仿宋"/>
          <w:color w:val="000000"/>
          <w:spacing w:val="0"/>
          <w:position w:val="0"/>
          <w:sz w:val="24"/>
          <w:szCs w:val="24"/>
          <w:shd w:val="clear" w:color="000000" w:fill="FFFFFF"/>
        </w:rPr>
        <w:t xml:space="preserve">（1）叠加整合完成的房地一体的权籍信息和登记信息数据库。 </w:t>
      </w:r>
    </w:p>
    <w:p>
      <w:pPr>
        <w:numPr>
          <w:ilvl w:val="0"/>
          <w:numId w:val="0"/>
        </w:numPr>
        <w:tabs>
          <w:tab w:val="left" w:pos="2127"/>
        </w:tabs>
        <w:snapToGrid/>
        <w:spacing w:before="0" w:after="0" w:line="360" w:lineRule="auto"/>
        <w:ind w:right="0" w:firstLine="480"/>
        <w:jc w:val="both"/>
        <w:rPr>
          <w:rFonts w:hint="eastAsia" w:ascii="仿宋" w:hAnsi="仿宋" w:eastAsia="仿宋" w:cs="仿宋"/>
          <w:color w:val="000000"/>
          <w:position w:val="0"/>
          <w:sz w:val="24"/>
          <w:szCs w:val="24"/>
        </w:rPr>
      </w:pPr>
      <w:r>
        <w:rPr>
          <w:rFonts w:hint="eastAsia" w:ascii="仿宋" w:hAnsi="仿宋" w:eastAsia="仿宋" w:cs="仿宋"/>
          <w:color w:val="000000"/>
          <w:spacing w:val="0"/>
          <w:position w:val="0"/>
          <w:sz w:val="24"/>
          <w:szCs w:val="24"/>
          <w:shd w:val="clear" w:color="000000" w:fill="FFFFFF"/>
        </w:rPr>
        <w:t xml:space="preserve">（2）纸质档案数字化的数据库。 </w:t>
      </w:r>
    </w:p>
    <w:p>
      <w:pPr>
        <w:pStyle w:val="2"/>
        <w:rPr>
          <w:rFonts w:hint="eastAsia"/>
        </w:rPr>
      </w:pP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5.</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农村房屋不动产登记的申请材料、审核材料以及不动产登记簿、不动产权证书，不作为本细则的成果材料。</w:t>
      </w:r>
      <w:r>
        <w:rPr>
          <w:rFonts w:hint="eastAsia" w:ascii="仿宋" w:hAnsi="仿宋" w:eastAsia="仿宋" w:cs="仿宋"/>
          <w:sz w:val="24"/>
          <w:szCs w:val="24"/>
        </w:rPr>
        <w:br w:type="page"/>
      </w:r>
    </w:p>
    <w:p>
      <w:pPr>
        <w:spacing w:line="520" w:lineRule="exact"/>
        <w:ind w:firstLine="1767" w:firstLineChars="4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（2）营业执照（三证合一副本）、银行开户许可证、</w:t>
      </w:r>
      <w:bookmarkStart w:id="5" w:name="_GoBack"/>
      <w:bookmarkEnd w:id="5"/>
      <w:r>
        <w:rPr>
          <w:rFonts w:hint="eastAsia" w:ascii="仿宋" w:hAnsi="仿宋" w:eastAsia="仿宋" w:cs="仿宋"/>
          <w:sz w:val="24"/>
          <w:szCs w:val="24"/>
        </w:rPr>
        <w:t>资质证书、</w:t>
      </w:r>
      <w:r>
        <w:rPr>
          <w:rFonts w:hint="eastAsia" w:ascii="仿宋" w:hAnsi="仿宋" w:eastAsia="仿宋" w:cs="仿宋"/>
          <w:sz w:val="24"/>
          <w:szCs w:val="24"/>
          <w:lang w:eastAsia="zh-CN"/>
        </w:rPr>
        <w:t>项目负责人证书、</w:t>
      </w:r>
      <w:r>
        <w:rPr>
          <w:rFonts w:hint="eastAsia" w:ascii="仿宋" w:hAnsi="仿宋" w:eastAsia="仿宋" w:cs="仿宋"/>
          <w:sz w:val="24"/>
          <w:szCs w:val="24"/>
        </w:rPr>
        <w:t>法定代表人授权代表</w:t>
      </w:r>
      <w:r>
        <w:rPr>
          <w:rFonts w:hint="eastAsia" w:ascii="仿宋" w:hAnsi="仿宋" w:eastAsia="仿宋" w:cs="仿宋"/>
          <w:sz w:val="24"/>
          <w:szCs w:val="24"/>
          <w:lang w:eastAsia="zh-CN"/>
        </w:rPr>
        <w:t>及项目负责人</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评分标准</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tbl>
      <w:tblPr>
        <w:tblStyle w:val="36"/>
        <w:tblW w:w="9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jc w:val="center"/>
        </w:trPr>
        <w:tc>
          <w:tcPr>
            <w:tcW w:w="3329" w:type="dxa"/>
            <w:tcBorders>
              <w:bottom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b/>
                <w:bCs/>
                <w:sz w:val="24"/>
                <w:szCs w:val="24"/>
              </w:rPr>
              <w:t>投标报价得分（</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0分）</w:t>
            </w:r>
          </w:p>
        </w:tc>
        <w:tc>
          <w:tcPr>
            <w:tcW w:w="6175" w:type="dxa"/>
            <w:tcBorders>
              <w:bottom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报价得分=评标基准价/有效投标报价×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w:t>
            </w:r>
          </w:p>
          <w:p>
            <w:pPr>
              <w:spacing w:line="360" w:lineRule="auto"/>
              <w:textAlignment w:val="baseline"/>
              <w:rPr>
                <w:rFonts w:hint="eastAsia" w:ascii="仿宋" w:hAnsi="仿宋" w:eastAsia="仿宋" w:cs="仿宋"/>
                <w:color w:val="0000FF"/>
                <w:sz w:val="24"/>
                <w:szCs w:val="24"/>
              </w:rPr>
            </w:pPr>
            <w:r>
              <w:rPr>
                <w:rFonts w:hint="eastAsia" w:ascii="仿宋" w:hAnsi="仿宋" w:eastAsia="仿宋" w:cs="仿宋"/>
                <w:sz w:val="24"/>
                <w:szCs w:val="24"/>
              </w:rPr>
              <w:t>（满足招标文件要求且报价最低的报价为评标基准价，其价格分为满分，其他投标商的价格分按照公式计算）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35" w:hRule="atLeast"/>
          <w:jc w:val="center"/>
        </w:trPr>
        <w:tc>
          <w:tcPr>
            <w:tcW w:w="3329" w:type="dxa"/>
            <w:tcBorders>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color w:val="000000"/>
                <w:sz w:val="24"/>
                <w:szCs w:val="24"/>
                <w:lang w:eastAsia="zh-CN"/>
              </w:rPr>
              <w:t>企业综合实力（</w:t>
            </w:r>
            <w:r>
              <w:rPr>
                <w:rFonts w:hint="eastAsia" w:ascii="仿宋" w:hAnsi="仿宋" w:eastAsia="仿宋" w:cs="仿宋"/>
                <w:b/>
                <w:bCs/>
                <w:color w:val="000000"/>
                <w:sz w:val="24"/>
                <w:szCs w:val="24"/>
                <w:lang w:val="en-US" w:eastAsia="zh-CN"/>
              </w:rPr>
              <w:t>30分</w:t>
            </w:r>
            <w:r>
              <w:rPr>
                <w:rFonts w:hint="eastAsia" w:ascii="仿宋" w:hAnsi="仿宋" w:eastAsia="仿宋" w:cs="仿宋"/>
                <w:b/>
                <w:bCs/>
                <w:color w:val="000000"/>
                <w:sz w:val="24"/>
                <w:szCs w:val="24"/>
                <w:lang w:eastAsia="zh-CN"/>
              </w:rPr>
              <w:t>）</w:t>
            </w:r>
          </w:p>
        </w:tc>
        <w:tc>
          <w:tcPr>
            <w:tcW w:w="617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业绩（</w:t>
            </w:r>
            <w:r>
              <w:rPr>
                <w:rFonts w:hint="eastAsia" w:ascii="仿宋" w:hAnsi="仿宋" w:eastAsia="仿宋" w:cs="仿宋"/>
                <w:b/>
                <w:bCs/>
                <w:sz w:val="24"/>
                <w:szCs w:val="24"/>
                <w:lang w:val="en-US" w:eastAsia="zh-CN"/>
              </w:rPr>
              <w:t>14分</w:t>
            </w:r>
            <w:r>
              <w:rPr>
                <w:rFonts w:hint="eastAsia" w:ascii="仿宋" w:hAnsi="仿宋" w:eastAsia="仿宋" w:cs="仿宋"/>
                <w:b/>
                <w:bCs/>
                <w:sz w:val="24"/>
                <w:szCs w:val="24"/>
                <w:lang w:eastAsia="zh-CN"/>
              </w:rPr>
              <w:t>）</w:t>
            </w:r>
          </w:p>
          <w:p>
            <w:pPr>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投标人201</w:t>
            </w:r>
            <w:r>
              <w:rPr>
                <w:rFonts w:hint="eastAsia" w:ascii="仿宋" w:hAnsi="仿宋" w:eastAsia="仿宋" w:cs="仿宋"/>
                <w:sz w:val="24"/>
                <w:szCs w:val="24"/>
                <w:lang w:val="en-US" w:eastAsia="zh-CN"/>
              </w:rPr>
              <w:t>5</w:t>
            </w:r>
            <w:r>
              <w:rPr>
                <w:rFonts w:hint="eastAsia" w:ascii="仿宋" w:hAnsi="仿宋" w:eastAsia="仿宋" w:cs="仿宋"/>
                <w:sz w:val="24"/>
                <w:szCs w:val="24"/>
              </w:rPr>
              <w:t>年1月1日至今承担过</w:t>
            </w:r>
            <w:r>
              <w:rPr>
                <w:rFonts w:hint="eastAsia" w:ascii="仿宋" w:hAnsi="仿宋" w:eastAsia="仿宋" w:cs="仿宋"/>
                <w:sz w:val="24"/>
                <w:szCs w:val="24"/>
                <w:lang w:eastAsia="zh-CN"/>
              </w:rPr>
              <w:t>类似项目业绩</w:t>
            </w:r>
            <w:r>
              <w:rPr>
                <w:rFonts w:hint="eastAsia" w:ascii="仿宋" w:hAnsi="仿宋" w:eastAsia="仿宋" w:cs="仿宋"/>
                <w:sz w:val="24"/>
                <w:szCs w:val="24"/>
              </w:rPr>
              <w:t>每具有一项业绩加</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sz w:val="24"/>
                <w:szCs w:val="24"/>
                <w:lang w:val="en-US" w:eastAsia="zh-CN"/>
              </w:rPr>
              <w:t>14</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以</w:t>
            </w:r>
            <w:r>
              <w:rPr>
                <w:rFonts w:hint="eastAsia" w:ascii="仿宋" w:hAnsi="仿宋" w:eastAsia="仿宋" w:cs="仿宋"/>
                <w:sz w:val="24"/>
                <w:szCs w:val="24"/>
              </w:rPr>
              <w:t>开标时提供</w:t>
            </w:r>
            <w:r>
              <w:rPr>
                <w:rFonts w:hint="eastAsia" w:ascii="仿宋" w:hAnsi="仿宋" w:eastAsia="仿宋" w:cs="仿宋"/>
                <w:sz w:val="24"/>
                <w:szCs w:val="24"/>
                <w:lang w:eastAsia="zh-CN"/>
              </w:rPr>
              <w:t>的</w:t>
            </w:r>
            <w:r>
              <w:rPr>
                <w:rFonts w:hint="eastAsia" w:ascii="仿宋" w:hAnsi="仿宋" w:eastAsia="仿宋" w:cs="仿宋"/>
                <w:sz w:val="24"/>
                <w:szCs w:val="24"/>
              </w:rPr>
              <w:t>合同原件</w:t>
            </w:r>
            <w:r>
              <w:rPr>
                <w:rFonts w:hint="eastAsia" w:ascii="仿宋" w:hAnsi="仿宋" w:eastAsia="仿宋" w:cs="仿宋"/>
                <w:sz w:val="24"/>
                <w:szCs w:val="24"/>
                <w:lang w:eastAsia="zh-CN"/>
              </w:rPr>
              <w:t>、中标通知书原件为准</w:t>
            </w:r>
            <w:r>
              <w:rPr>
                <w:rFonts w:hint="eastAsia" w:ascii="仿宋" w:hAnsi="仿宋" w:eastAsia="仿宋" w:cs="仿宋"/>
                <w:sz w:val="24"/>
                <w:szCs w:val="24"/>
              </w:rPr>
              <w:t>，并在</w:t>
            </w:r>
            <w:r>
              <w:rPr>
                <w:rFonts w:hint="eastAsia" w:ascii="仿宋" w:hAnsi="仿宋" w:eastAsia="仿宋" w:cs="仿宋"/>
                <w:sz w:val="24"/>
                <w:szCs w:val="24"/>
                <w:lang w:eastAsia="zh-CN"/>
              </w:rPr>
              <w:t>投标文件</w:t>
            </w:r>
            <w:r>
              <w:rPr>
                <w:rFonts w:hint="eastAsia" w:ascii="仿宋" w:hAnsi="仿宋" w:eastAsia="仿宋" w:cs="仿宋"/>
                <w:sz w:val="24"/>
                <w:szCs w:val="24"/>
              </w:rPr>
              <w:t>中附复印件，否则不得分。</w:t>
            </w:r>
          </w:p>
          <w:p>
            <w:pPr>
              <w:numPr>
                <w:ilvl w:val="0"/>
                <w:numId w:val="7"/>
              </w:num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入仪器设备（10分）</w:t>
            </w:r>
            <w:r>
              <w:rPr>
                <w:rFonts w:hint="eastAsia" w:ascii="仿宋" w:hAnsi="仿宋" w:eastAsia="仿宋" w:cs="仿宋"/>
                <w:sz w:val="24"/>
                <w:szCs w:val="24"/>
                <w:lang w:val="en-US" w:eastAsia="zh-CN"/>
              </w:rPr>
              <w:t>具有10台及以上GPS(不含手持GPS)和10台及以上全站仪用于此项目的，得10分。每减少一台扣1分，扣完为止。</w:t>
            </w:r>
            <w:r>
              <w:rPr>
                <w:rFonts w:hint="eastAsia" w:ascii="仿宋" w:hAnsi="仿宋" w:eastAsia="仿宋" w:cs="仿宋"/>
                <w:b/>
                <w:bCs/>
                <w:sz w:val="24"/>
                <w:szCs w:val="24"/>
                <w:lang w:val="en-US" w:eastAsia="zh-CN"/>
              </w:rPr>
              <w:t>注：需提供设备购置发票及年检报告，否则不得分。</w:t>
            </w:r>
          </w:p>
          <w:p>
            <w:p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3.体系认证（6分）</w:t>
            </w:r>
            <w:r>
              <w:rPr>
                <w:rFonts w:hint="eastAsia" w:ascii="仿宋" w:hAnsi="仿宋" w:eastAsia="仿宋" w:cs="仿宋"/>
                <w:sz w:val="24"/>
                <w:szCs w:val="24"/>
                <w:lang w:val="en-US" w:eastAsia="zh-CN"/>
              </w:rPr>
              <w:t>投标人提供有效的质量管理体系认证、职业业健康安全管理认证、环境管理体系认证证书。同时提供得6分，每缺少一项扣2分，扣完为止。开标时提供证书原件，并在投标文件中附复印件，否则不得分。</w:t>
            </w:r>
          </w:p>
          <w:p>
            <w:pPr>
              <w:tabs>
                <w:tab w:val="left" w:pos="885"/>
              </w:tabs>
              <w:spacing w:line="360" w:lineRule="auto"/>
              <w:textAlignment w:val="baseline"/>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16" w:hRule="atLeast"/>
          <w:jc w:val="center"/>
        </w:trPr>
        <w:tc>
          <w:tcPr>
            <w:tcW w:w="3329" w:type="dxa"/>
            <w:tcBorders>
              <w:left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lang w:eastAsia="zh-CN"/>
              </w:rPr>
              <w:t>总体服务方案</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25</w:t>
            </w:r>
            <w:r>
              <w:rPr>
                <w:rFonts w:hint="eastAsia" w:ascii="仿宋" w:hAnsi="仿宋" w:eastAsia="仿宋" w:cs="仿宋"/>
                <w:b/>
                <w:bCs/>
                <w:color w:val="000000"/>
                <w:sz w:val="24"/>
                <w:szCs w:val="24"/>
              </w:rPr>
              <w:t>分）</w:t>
            </w:r>
          </w:p>
        </w:tc>
        <w:tc>
          <w:tcPr>
            <w:tcW w:w="6175" w:type="dxa"/>
            <w:tcBorders>
              <w:left w:val="single" w:color="auto" w:sz="4" w:space="0"/>
              <w:right w:val="single" w:color="auto" w:sz="4" w:space="0"/>
            </w:tcBorders>
            <w:vAlign w:val="center"/>
          </w:tcPr>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color w:val="000000"/>
                <w:spacing w:val="-4"/>
                <w:sz w:val="24"/>
                <w:szCs w:val="24"/>
              </w:rPr>
              <w:t>1</w:t>
            </w:r>
            <w:r>
              <w:rPr>
                <w:rFonts w:hint="eastAsia" w:ascii="仿宋" w:hAnsi="仿宋" w:eastAsia="仿宋" w:cs="仿宋"/>
                <w:b/>
                <w:bCs/>
                <w:color w:val="000000"/>
                <w:spacing w:val="-4"/>
                <w:sz w:val="24"/>
                <w:szCs w:val="24"/>
                <w:lang w:val="en-US" w:eastAsia="zh-CN"/>
              </w:rPr>
              <w:t>.</w:t>
            </w:r>
            <w:r>
              <w:rPr>
                <w:rFonts w:hint="eastAsia" w:ascii="仿宋" w:hAnsi="仿宋" w:eastAsia="仿宋" w:cs="仿宋"/>
                <w:b/>
                <w:bCs/>
                <w:color w:val="000000"/>
                <w:spacing w:val="-4"/>
                <w:sz w:val="24"/>
                <w:szCs w:val="24"/>
              </w:rPr>
              <w:t>服务工作思路及目标</w:t>
            </w:r>
            <w:r>
              <w:rPr>
                <w:rFonts w:hint="eastAsia" w:ascii="仿宋" w:hAnsi="仿宋" w:eastAsia="仿宋" w:cs="仿宋"/>
                <w:b/>
                <w:bCs/>
                <w:color w:val="000000"/>
                <w:spacing w:val="-4"/>
                <w:sz w:val="24"/>
                <w:szCs w:val="24"/>
                <w:lang w:eastAsia="zh-CN"/>
              </w:rPr>
              <w:t>（</w:t>
            </w:r>
            <w:r>
              <w:rPr>
                <w:rFonts w:hint="eastAsia" w:ascii="仿宋" w:hAnsi="仿宋" w:eastAsia="仿宋" w:cs="仿宋"/>
                <w:b/>
                <w:bCs/>
                <w:color w:val="000000"/>
                <w:spacing w:val="-4"/>
                <w:sz w:val="24"/>
                <w:szCs w:val="24"/>
                <w:lang w:val="en-US" w:eastAsia="zh-CN"/>
              </w:rPr>
              <w:t>3分</w:t>
            </w:r>
            <w:r>
              <w:rPr>
                <w:rFonts w:hint="eastAsia" w:ascii="仿宋" w:hAnsi="仿宋" w:eastAsia="仿宋" w:cs="仿宋"/>
                <w:b/>
                <w:bCs/>
                <w:color w:val="000000"/>
                <w:spacing w:val="-4"/>
                <w:sz w:val="24"/>
                <w:szCs w:val="24"/>
                <w:lang w:eastAsia="zh-CN"/>
              </w:rPr>
              <w:t>）</w:t>
            </w:r>
            <w:r>
              <w:rPr>
                <w:rFonts w:hint="eastAsia" w:ascii="仿宋" w:hAnsi="仿宋" w:eastAsia="仿宋" w:cs="仿宋"/>
                <w:spacing w:val="-4"/>
                <w:sz w:val="24"/>
                <w:szCs w:val="24"/>
              </w:rPr>
              <w:t>对招标内容理解的准确性，目标的明确性、工作内容的全面性；方案是否合理可行，是否经济等，充分考虑各种因素。以及对业主提供的有关资料、人员配合、设施和服务等支持的要求。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2</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质量保证体系</w:t>
            </w:r>
            <w:r>
              <w:rPr>
                <w:rFonts w:hint="eastAsia" w:ascii="仿宋" w:hAnsi="仿宋" w:eastAsia="仿宋" w:cs="仿宋"/>
                <w:b/>
                <w:bCs/>
                <w:spacing w:val="-4"/>
                <w:sz w:val="24"/>
                <w:szCs w:val="24"/>
                <w:lang w:eastAsia="zh-CN"/>
              </w:rPr>
              <w:t>与</w:t>
            </w:r>
            <w:r>
              <w:rPr>
                <w:rFonts w:hint="eastAsia" w:ascii="仿宋" w:hAnsi="仿宋" w:eastAsia="仿宋" w:cs="仿宋"/>
                <w:b/>
                <w:bCs/>
                <w:spacing w:val="-4"/>
                <w:sz w:val="24"/>
                <w:szCs w:val="24"/>
              </w:rPr>
              <w:t>保证流程</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体系建立完善、合理，质量服务流程建全</w:t>
            </w:r>
            <w:r>
              <w:rPr>
                <w:rFonts w:hint="eastAsia" w:ascii="仿宋" w:hAnsi="仿宋" w:eastAsia="仿宋" w:cs="仿宋"/>
                <w:spacing w:val="-4"/>
                <w:sz w:val="24"/>
                <w:szCs w:val="24"/>
                <w:lang w:eastAsia="zh-CN"/>
              </w:rPr>
              <w:t>、合理，</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3</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进度控制的方案与措施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根据</w:t>
            </w:r>
            <w:r>
              <w:rPr>
                <w:rFonts w:hint="eastAsia" w:ascii="仿宋" w:hAnsi="仿宋" w:eastAsia="仿宋" w:cs="仿宋"/>
                <w:spacing w:val="-4"/>
                <w:sz w:val="24"/>
                <w:szCs w:val="24"/>
              </w:rPr>
              <w:t>进度控制方案和措施，由评委独立打分，优秀的得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4</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组织机构的方案与措施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val="en-US" w:eastAsia="zh-CN"/>
              </w:rPr>
              <w:t>明确项目的机构设置情况，指明项目负责人、技术负责人、质量负责人、各工序的相应负责人、专职检测人员、作业人员的编队（组）情况</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5</w:t>
            </w:r>
            <w:r>
              <w:rPr>
                <w:rFonts w:hint="eastAsia" w:ascii="仿宋" w:hAnsi="仿宋" w:eastAsia="仿宋" w:cs="仿宋"/>
                <w:b/>
                <w:bCs/>
                <w:spacing w:val="-4"/>
                <w:sz w:val="24"/>
                <w:szCs w:val="24"/>
                <w:lang w:val="en-US" w:eastAsia="zh-CN"/>
              </w:rPr>
              <w:t>.项目实施方案的全面性（3分）</w:t>
            </w:r>
            <w:r>
              <w:rPr>
                <w:rFonts w:hint="eastAsia" w:ascii="仿宋" w:hAnsi="仿宋" w:eastAsia="仿宋" w:cs="仿宋"/>
                <w:spacing w:val="-4"/>
                <w:sz w:val="24"/>
                <w:szCs w:val="24"/>
                <w:lang w:val="en-US" w:eastAsia="zh-CN"/>
              </w:rPr>
              <w:t>方案合理、具有科学性、完整性、可靠性和可执行性（包括：工作程序、工作方法、步骤、工作方案、技术路线等方案），</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lang w:val="en-US" w:eastAsia="zh-CN"/>
              </w:rPr>
            </w:pPr>
            <w:r>
              <w:rPr>
                <w:rFonts w:hint="eastAsia" w:ascii="仿宋" w:hAnsi="仿宋" w:eastAsia="仿宋" w:cs="仿宋"/>
                <w:b/>
                <w:bCs/>
                <w:spacing w:val="-4"/>
                <w:sz w:val="24"/>
                <w:szCs w:val="24"/>
              </w:rPr>
              <w:t>6</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lang w:eastAsia="zh-CN"/>
              </w:rPr>
              <w:t>项目成果</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项目成果管理及数据、成果保密相应保证措施，保密制度健全，保密措施得力等，由评委独立打分，优秀的得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7</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现场服务</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现</w:t>
            </w:r>
            <w:r>
              <w:rPr>
                <w:rFonts w:hint="eastAsia" w:ascii="仿宋" w:hAnsi="仿宋" w:eastAsia="仿宋" w:cs="仿宋"/>
                <w:spacing w:val="-4"/>
                <w:sz w:val="24"/>
                <w:szCs w:val="24"/>
              </w:rPr>
              <w:t>场服务承诺是否到位，保障措施是否可靠，由评委独立打分，优秀的得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8</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合理化建议</w:t>
            </w:r>
            <w:r>
              <w:rPr>
                <w:rFonts w:hint="eastAsia" w:ascii="仿宋" w:hAnsi="仿宋" w:eastAsia="仿宋" w:cs="仿宋"/>
                <w:b/>
                <w:bCs/>
                <w:spacing w:val="-4"/>
                <w:sz w:val="24"/>
                <w:szCs w:val="24"/>
                <w:lang w:eastAsia="zh-CN"/>
              </w:rPr>
              <w:t>（</w:t>
            </w:r>
            <w:r>
              <w:rPr>
                <w:rFonts w:hint="eastAsia" w:ascii="仿宋" w:hAnsi="仿宋" w:eastAsia="仿宋" w:cs="仿宋"/>
                <w:b/>
                <w:bCs/>
                <w:spacing w:val="-4"/>
                <w:sz w:val="24"/>
                <w:szCs w:val="24"/>
                <w:lang w:val="en-US" w:eastAsia="zh-CN"/>
              </w:rPr>
              <w:t>4分</w:t>
            </w:r>
            <w:r>
              <w:rPr>
                <w:rFonts w:hint="eastAsia" w:ascii="仿宋" w:hAnsi="仿宋" w:eastAsia="仿宋" w:cs="仿宋"/>
                <w:b/>
                <w:bCs/>
                <w:spacing w:val="-4"/>
                <w:sz w:val="24"/>
                <w:szCs w:val="24"/>
                <w:lang w:eastAsia="zh-CN"/>
              </w:rPr>
              <w:t>）</w:t>
            </w:r>
            <w:r>
              <w:rPr>
                <w:rFonts w:hint="eastAsia" w:ascii="仿宋" w:hAnsi="仿宋" w:eastAsia="仿宋" w:cs="仿宋"/>
                <w:spacing w:val="-4"/>
                <w:sz w:val="24"/>
                <w:szCs w:val="24"/>
              </w:rPr>
              <w:t>能够提高服务质量、提高工作效率的合理化建议。由评委独立打分，优秀的得</w:t>
            </w: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4" w:firstLineChars="200"/>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rPr>
              <w:t>售后服务及</w:t>
            </w:r>
            <w:r>
              <w:rPr>
                <w:rFonts w:hint="eastAsia" w:ascii="仿宋" w:hAnsi="仿宋" w:eastAsia="仿宋" w:cs="仿宋"/>
                <w:b/>
                <w:bCs/>
                <w:sz w:val="24"/>
                <w:szCs w:val="24"/>
                <w:lang w:eastAsia="zh-CN"/>
              </w:rPr>
              <w:t>培训计划</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分）</w:t>
            </w:r>
          </w:p>
        </w:tc>
        <w:tc>
          <w:tcPr>
            <w:tcW w:w="6175"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针对本项目有详细的售后服务方案，建立完善的技术支持体系，计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培训工作的目标、任务、计划、组织等实施方案安排合理、清晰、可行。根据情况计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lang w:eastAsia="zh-CN"/>
              </w:rPr>
              <w:t>标书制作</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分）</w:t>
            </w:r>
          </w:p>
        </w:tc>
        <w:tc>
          <w:tcPr>
            <w:tcW w:w="6175" w:type="dxa"/>
            <w:tcBorders>
              <w:left w:val="single" w:color="auto" w:sz="4" w:space="0"/>
              <w:right w:val="single" w:color="auto" w:sz="4" w:space="0"/>
            </w:tcBorders>
            <w:vAlign w:val="center"/>
          </w:tcPr>
          <w:p>
            <w:pPr>
              <w:snapToGrid w:val="0"/>
              <w:spacing w:line="440" w:lineRule="exact"/>
              <w:rPr>
                <w:rFonts w:hint="eastAsia" w:ascii="仿宋" w:hAnsi="仿宋" w:eastAsia="仿宋" w:cs="仿宋"/>
                <w:sz w:val="24"/>
                <w:szCs w:val="24"/>
              </w:rPr>
            </w:pPr>
            <w:r>
              <w:rPr>
                <w:rFonts w:hint="eastAsia" w:ascii="仿宋" w:hAnsi="仿宋" w:eastAsia="仿宋" w:cs="仿宋"/>
                <w:sz w:val="24"/>
                <w:szCs w:val="24"/>
                <w:lang w:val="en-US" w:eastAsia="zh-CN"/>
              </w:rPr>
              <w:t>由评标委员会根据标书编制情况等在1-5分之间打分。</w:t>
            </w:r>
          </w:p>
        </w:tc>
      </w:tr>
    </w:tbl>
    <w:p>
      <w:pPr>
        <w:pStyle w:val="77"/>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6"/>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vAlign w:val="top"/>
          </w:tcPr>
          <w:p>
            <w:pPr>
              <w:pStyle w:val="77"/>
              <w:spacing w:before="120" w:after="120"/>
              <w:ind w:firstLine="480"/>
              <w:rPr>
                <w:rFonts w:ascii="仿宋" w:hAnsi="仿宋" w:eastAsia="仿宋"/>
                <w:color w:val="0000FF"/>
              </w:rPr>
            </w:pPr>
            <w:bookmarkStart w:id="4" w:name="_Toc606"/>
          </w:p>
        </w:tc>
      </w:tr>
      <w:bookmarkEnd w:id="4"/>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黑体"/>
          <w:b/>
          <w:bCs/>
          <w:sz w:val="36"/>
          <w:szCs w:val="36"/>
          <w:lang w:val="zh-CN"/>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360" w:lineRule="auto"/>
        <w:jc w:val="center"/>
        <w:outlineLvl w:val="1"/>
        <w:rPr>
          <w:rFonts w:hint="eastAsia" w:ascii="仿宋_GB2312" w:eastAsia="仿宋_GB2312"/>
          <w:sz w:val="24"/>
          <w:szCs w:val="24"/>
        </w:rPr>
      </w:pPr>
    </w:p>
    <w:p>
      <w:pPr>
        <w:pStyle w:val="79"/>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本合同双方当事人：</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79"/>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360" w:lineRule="auto"/>
        <w:jc w:val="center"/>
        <w:rPr>
          <w:rFonts w:ascii="仿宋" w:hAnsi="仿宋" w:eastAsia="仿宋" w:cs="仿宋_GB2312"/>
          <w:sz w:val="24"/>
          <w:szCs w:val="24"/>
          <w:lang w:val="zh-CN"/>
        </w:rPr>
      </w:pPr>
    </w:p>
    <w:p>
      <w:pPr>
        <w:spacing w:line="360" w:lineRule="auto"/>
        <w:jc w:val="center"/>
        <w:rPr>
          <w:rFonts w:ascii="仿宋" w:hAnsi="仿宋" w:eastAsia="仿宋" w:cs="仿宋_GB2312"/>
          <w:sz w:val="24"/>
          <w:szCs w:val="24"/>
          <w:lang w:val="zh-CN"/>
        </w:rPr>
      </w:pPr>
    </w:p>
    <w:p>
      <w:pPr>
        <w:spacing w:line="360" w:lineRule="auto"/>
        <w:jc w:val="center"/>
        <w:rPr>
          <w:rFonts w:hint="eastAsia" w:ascii="仿宋" w:hAnsi="仿宋" w:eastAsia="仿宋" w:cs="黑体"/>
          <w:b/>
          <w:bCs/>
          <w:sz w:val="36"/>
          <w:szCs w:val="36"/>
        </w:rPr>
      </w:pPr>
      <w:r>
        <w:rPr>
          <w:rFonts w:ascii="仿宋" w:hAnsi="仿宋" w:eastAsia="仿宋" w:cs="仿宋_GB2312"/>
          <w:sz w:val="24"/>
          <w:szCs w:val="24"/>
          <w:lang w:val="zh-CN"/>
        </w:rPr>
        <w:t xml:space="preserve">                                                                                     </w:t>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标段 </w:t>
      </w:r>
      <w:r>
        <w:rPr>
          <w:rFonts w:hint="eastAsia" w:ascii="仿宋" w:hAnsi="仿宋" w:eastAsia="仿宋" w:cs="仿宋"/>
          <w:sz w:val="24"/>
          <w:szCs w:val="24"/>
          <w:lang w:eastAsia="zh-CN"/>
        </w:rPr>
        <w:t>）</w:t>
      </w:r>
    </w:p>
    <w:p>
      <w:pPr>
        <w:pStyle w:val="2"/>
        <w:rPr>
          <w:rFonts w:hint="eastAsia" w:ascii="仿宋_GB2312" w:hAnsi="仿宋_GB2312" w:eastAsia="仿宋_GB2312" w:cs="仿宋_GB2312"/>
          <w:sz w:val="16"/>
          <w:szCs w:val="44"/>
        </w:rPr>
      </w:pPr>
    </w:p>
    <w:p>
      <w:pPr>
        <w:pStyle w:val="2"/>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标段 </w:t>
      </w:r>
      <w:r>
        <w:rPr>
          <w:rFonts w:hint="eastAsia" w:ascii="仿宋" w:hAnsi="仿宋" w:eastAsia="仿宋" w:cs="仿宋"/>
          <w:sz w:val="24"/>
          <w:szCs w:val="2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年度经审计的财务报告，包括即资产负债表、利润表、现金流量表、所有者权益表及其附注，或基本开户银行出具的资信证明。（法人投标提供）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（2投标截止时间前三个月内任何一个月投标人及法定代表授权代表及项目负责人缴纳社会保险的凭据复印件。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投标商须对此项做出承诺（格式自拟）并提供类似项目业绩合同（</w:t>
      </w:r>
      <w:r>
        <w:rPr>
          <w:rFonts w:hint="eastAsia" w:ascii="仿宋" w:hAnsi="仿宋" w:eastAsia="仿宋" w:cs="宋体"/>
          <w:bCs/>
          <w:color w:val="FF0000"/>
          <w:sz w:val="24"/>
          <w:szCs w:val="24"/>
          <w:lang w:val="en-US" w:eastAsia="zh-CN"/>
        </w:rPr>
        <w:t>2015年1月1日以来</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hint="eastAsia"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pStyle w:val="2"/>
        <w:rPr>
          <w:rFonts w:hint="eastAsia" w:ascii="仿宋" w:hAnsi="仿宋" w:eastAsia="仿宋" w:cs="宋体"/>
          <w:sz w:val="24"/>
          <w:szCs w:val="24"/>
          <w:lang w:val="zh-CN"/>
        </w:rPr>
      </w:pPr>
    </w:p>
    <w:p>
      <w:pPr>
        <w:pStyle w:val="2"/>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w:t>
      </w:r>
      <w:r>
        <w:rPr>
          <w:rFonts w:hint="eastAsia" w:ascii="仿宋" w:hAnsi="仿宋" w:eastAsia="仿宋" w:cs="宋体"/>
          <w:sz w:val="24"/>
          <w:szCs w:val="24"/>
          <w:lang w:val="zh-CN" w:eastAsia="zh-CN"/>
        </w:rPr>
        <w:t>六</w:t>
      </w:r>
      <w:r>
        <w:rPr>
          <w:rFonts w:hint="eastAsia" w:ascii="仿宋" w:hAnsi="仿宋" w:eastAsia="仿宋" w:cs="宋体"/>
          <w:sz w:val="24"/>
          <w:szCs w:val="24"/>
          <w:lang w:val="zh-CN"/>
        </w:rPr>
        <w:t>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w:t>
      </w:r>
      <w:r>
        <w:rPr>
          <w:rFonts w:hint="eastAsia" w:ascii="仿宋" w:hAnsi="仿宋" w:eastAsia="仿宋" w:cs="宋体"/>
          <w:b/>
          <w:bCs/>
          <w:sz w:val="24"/>
          <w:szCs w:val="24"/>
          <w:lang w:val="en-US" w:eastAsia="zh-CN"/>
        </w:rPr>
        <w:t xml:space="preserve">  标段</w:t>
      </w: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1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0"/>
        <w:gridCol w:w="1589"/>
        <w:gridCol w:w="3076"/>
        <w:gridCol w:w="1423"/>
        <w:gridCol w:w="1423"/>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附件6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评分标准</w:t>
      </w:r>
      <w:r>
        <w:rPr>
          <w:rFonts w:hint="eastAsia" w:ascii="仿宋" w:hAnsi="仿宋" w:eastAsia="仿宋" w:cs="仿宋_GB2312"/>
          <w:b/>
          <w:bCs/>
          <w:sz w:val="24"/>
          <w:szCs w:val="24"/>
        </w:rPr>
        <w:t>要求中相关证明材料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22</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094FEC"/>
    <w:multiLevelType w:val="singleLevel"/>
    <w:tmpl w:val="EB094FEC"/>
    <w:lvl w:ilvl="0" w:tentative="0">
      <w:start w:val="2"/>
      <w:numFmt w:val="chineseCounting"/>
      <w:lvlText w:val="(%1)"/>
      <w:lvlJc w:val="left"/>
      <w:pPr>
        <w:tabs>
          <w:tab w:val="left" w:pos="312"/>
        </w:tabs>
      </w:pPr>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ADDB35"/>
    <w:multiLevelType w:val="singleLevel"/>
    <w:tmpl w:val="4DADDB35"/>
    <w:lvl w:ilvl="0" w:tentative="0">
      <w:start w:val="2"/>
      <w:numFmt w:val="decimal"/>
      <w:lvlText w:val="%1."/>
      <w:lvlJc w:val="left"/>
      <w:pPr>
        <w:tabs>
          <w:tab w:val="left" w:pos="312"/>
        </w:tabs>
      </w:pPr>
    </w:lvl>
  </w:abstractNum>
  <w:abstractNum w:abstractNumId="6">
    <w:nsid w:val="56E374A4"/>
    <w:multiLevelType w:val="singleLevel"/>
    <w:tmpl w:val="56E374A4"/>
    <w:lvl w:ilvl="0" w:tentative="0">
      <w:start w:val="9"/>
      <w:numFmt w:val="decimal"/>
      <w:pStyle w:val="72"/>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8"/>
  </w:num>
  <w:num w:numId="3">
    <w:abstractNumId w:val="0"/>
  </w:num>
  <w:num w:numId="4">
    <w:abstractNumId w:val="4"/>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FD46B05"/>
    <w:rsid w:val="146C027D"/>
    <w:rsid w:val="22593704"/>
    <w:rsid w:val="27EB34E7"/>
    <w:rsid w:val="35935AF1"/>
    <w:rsid w:val="39EE0EFF"/>
    <w:rsid w:val="46753BC9"/>
    <w:rsid w:val="47BD3B3B"/>
    <w:rsid w:val="4B500C6B"/>
    <w:rsid w:val="4F097ADD"/>
    <w:rsid w:val="4F917465"/>
    <w:rsid w:val="62C2055E"/>
    <w:rsid w:val="72B14B38"/>
    <w:rsid w:val="7EF316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8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111"/>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82"/>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83"/>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84"/>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85"/>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86"/>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87"/>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88"/>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1"/>
    <w:qFormat/>
    <w:uiPriority w:val="0"/>
    <w:rPr>
      <w:rFonts w:ascii="仿宋_GB2312" w:hAnsi="Times New Roman" w:eastAsia="仿宋_GB2312" w:cs="Times New Roman"/>
      <w:kern w:val="0"/>
      <w:sz w:val="24"/>
      <w:szCs w:val="20"/>
    </w:rPr>
  </w:style>
  <w:style w:type="paragraph" w:styleId="9">
    <w:name w:val="Normal Indent"/>
    <w:basedOn w:val="1"/>
    <w:link w:val="90"/>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119"/>
    <w:unhideWhenUsed/>
    <w:qFormat/>
    <w:uiPriority w:val="99"/>
    <w:rPr>
      <w:b/>
      <w:bCs/>
    </w:rPr>
  </w:style>
  <w:style w:type="paragraph" w:styleId="14">
    <w:name w:val="annotation text"/>
    <w:basedOn w:val="1"/>
    <w:link w:val="116"/>
    <w:unhideWhenUsed/>
    <w:qFormat/>
    <w:uiPriority w:val="0"/>
    <w:pPr>
      <w:jc w:val="left"/>
    </w:pPr>
    <w:rPr>
      <w:rFonts w:ascii="Times New Roman" w:hAnsi="Times New Roman" w:eastAsia="宋体" w:cs="Times New Roman"/>
      <w:szCs w:val="24"/>
    </w:rPr>
  </w:style>
  <w:style w:type="paragraph" w:styleId="15">
    <w:name w:val="Body Text First Indent"/>
    <w:basedOn w:val="2"/>
    <w:link w:val="122"/>
    <w:qFormat/>
    <w:uiPriority w:val="0"/>
    <w:pPr>
      <w:spacing w:after="120"/>
      <w:ind w:firstLine="420" w:firstLineChars="100"/>
    </w:pPr>
    <w:rPr>
      <w:rFonts w:ascii="Times New Roman" w:eastAsia="宋体"/>
      <w:szCs w:val="24"/>
    </w:rPr>
  </w:style>
  <w:style w:type="paragraph" w:styleId="16">
    <w:name w:val="Document Map"/>
    <w:basedOn w:val="1"/>
    <w:link w:val="120"/>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117"/>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107"/>
    <w:qFormat/>
    <w:uiPriority w:val="0"/>
    <w:pPr>
      <w:spacing w:line="400" w:lineRule="exact"/>
      <w:ind w:left="630"/>
    </w:pPr>
    <w:rPr>
      <w:rFonts w:ascii="楷体_GB2312"/>
    </w:rPr>
  </w:style>
  <w:style w:type="paragraph" w:styleId="19">
    <w:name w:val="Plain Text"/>
    <w:basedOn w:val="1"/>
    <w:link w:val="124"/>
    <w:qFormat/>
    <w:uiPriority w:val="0"/>
    <w:rPr>
      <w:rFonts w:ascii="宋体" w:hAnsi="Courier New" w:eastAsia="宋体" w:cs="Courier New"/>
      <w:kern w:val="0"/>
      <w:sz w:val="20"/>
      <w:szCs w:val="21"/>
    </w:rPr>
  </w:style>
  <w:style w:type="paragraph" w:styleId="20">
    <w:name w:val="Date"/>
    <w:basedOn w:val="1"/>
    <w:next w:val="1"/>
    <w:link w:val="102"/>
    <w:qFormat/>
    <w:uiPriority w:val="0"/>
    <w:rPr>
      <w:rFonts w:eastAsia="楷体_GB2312"/>
      <w:sz w:val="32"/>
    </w:rPr>
  </w:style>
  <w:style w:type="paragraph" w:styleId="21">
    <w:name w:val="Body Text Indent 2"/>
    <w:basedOn w:val="1"/>
    <w:link w:val="118"/>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80"/>
    <w:qFormat/>
    <w:uiPriority w:val="0"/>
    <w:rPr>
      <w:sz w:val="18"/>
      <w:szCs w:val="18"/>
    </w:rPr>
  </w:style>
  <w:style w:type="paragraph" w:styleId="23">
    <w:name w:val="footer"/>
    <w:basedOn w:val="1"/>
    <w:link w:val="97"/>
    <w:qFormat/>
    <w:uiPriority w:val="99"/>
    <w:pPr>
      <w:tabs>
        <w:tab w:val="center" w:pos="4153"/>
        <w:tab w:val="right" w:pos="8306"/>
      </w:tabs>
      <w:snapToGrid w:val="0"/>
      <w:jc w:val="left"/>
    </w:pPr>
    <w:rPr>
      <w:sz w:val="18"/>
    </w:rPr>
  </w:style>
  <w:style w:type="paragraph" w:styleId="24">
    <w:name w:val="header"/>
    <w:basedOn w:val="1"/>
    <w:link w:val="98"/>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123"/>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125"/>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paragraph" w:customStyle="1" w:styleId="37">
    <w:name w:val="p0"/>
    <w:basedOn w:val="1"/>
    <w:qFormat/>
    <w:uiPriority w:val="0"/>
    <w:pPr>
      <w:widowControl/>
    </w:pPr>
    <w:rPr>
      <w:kern w:val="0"/>
    </w:rPr>
  </w:style>
  <w:style w:type="paragraph" w:customStyle="1" w:styleId="38">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3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0">
    <w:name w:val="列出段落1"/>
    <w:basedOn w:val="1"/>
    <w:qFormat/>
    <w:uiPriority w:val="99"/>
    <w:pPr>
      <w:ind w:firstLine="420" w:firstLineChars="200"/>
    </w:pPr>
  </w:style>
  <w:style w:type="paragraph" w:customStyle="1" w:styleId="41">
    <w:name w:val="列出段落2"/>
    <w:basedOn w:val="1"/>
    <w:unhideWhenUsed/>
    <w:qFormat/>
    <w:uiPriority w:val="99"/>
    <w:pPr>
      <w:ind w:firstLine="420" w:firstLineChars="200"/>
    </w:pPr>
  </w:style>
  <w:style w:type="paragraph" w:customStyle="1" w:styleId="42">
    <w:name w:val="样式 ssss + 宋体 五号1"/>
    <w:basedOn w:val="43"/>
    <w:link w:val="89"/>
    <w:qFormat/>
    <w:uiPriority w:val="0"/>
    <w:rPr>
      <w:rFonts w:ascii="宋体" w:hAnsi="宋体"/>
    </w:rPr>
  </w:style>
  <w:style w:type="paragraph" w:customStyle="1" w:styleId="43">
    <w:name w:val="ssss"/>
    <w:basedOn w:val="1"/>
    <w:link w:val="115"/>
    <w:qFormat/>
    <w:uiPriority w:val="0"/>
    <w:pPr>
      <w:spacing w:line="360" w:lineRule="auto"/>
      <w:ind w:firstLine="480" w:firstLineChars="200"/>
    </w:pPr>
    <w:rPr>
      <w:rFonts w:ascii="Times New Roman" w:hAnsi="Times New Roman" w:eastAsia="宋体" w:cs="Times New Roman"/>
      <w:kern w:val="0"/>
      <w:sz w:val="24"/>
      <w:szCs w:val="24"/>
    </w:rPr>
  </w:style>
  <w:style w:type="paragraph" w:customStyle="1" w:styleId="44">
    <w:name w:val="普通正文"/>
    <w:basedOn w:val="1"/>
    <w:link w:val="91"/>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paragraph" w:customStyle="1" w:styleId="45">
    <w:name w:val="正文缩进2格"/>
    <w:basedOn w:val="1"/>
    <w:link w:val="103"/>
    <w:qFormat/>
    <w:uiPriority w:val="0"/>
    <w:pPr>
      <w:spacing w:line="600" w:lineRule="exact"/>
      <w:ind w:firstLine="639" w:firstLineChars="206"/>
    </w:pPr>
    <w:rPr>
      <w:rFonts w:ascii="仿宋_GB2312" w:hAnsi="宋体" w:eastAsia="仿宋_GB2312" w:cs="Times New Roman"/>
      <w:kern w:val="0"/>
      <w:sz w:val="31"/>
      <w:szCs w:val="28"/>
    </w:rPr>
  </w:style>
  <w:style w:type="paragraph" w:customStyle="1" w:styleId="46">
    <w:name w:val="FA正文"/>
    <w:basedOn w:val="1"/>
    <w:link w:val="113"/>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paragraph" w:customStyle="1" w:styleId="4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48">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49">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50">
    <w:name w:val="Char"/>
    <w:basedOn w:val="1"/>
    <w:qFormat/>
    <w:uiPriority w:val="0"/>
    <w:rPr>
      <w:rFonts w:ascii="Tahoma" w:hAnsi="Tahoma" w:eastAsia="宋体" w:cs="Times New Roman"/>
      <w:sz w:val="24"/>
      <w:szCs w:val="20"/>
    </w:rPr>
  </w:style>
  <w:style w:type="paragraph" w:customStyle="1" w:styleId="51">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2">
    <w:name w:val="Char Char Char Char"/>
    <w:basedOn w:val="1"/>
    <w:qFormat/>
    <w:uiPriority w:val="0"/>
    <w:rPr>
      <w:rFonts w:ascii="Tahoma" w:hAnsi="Tahoma" w:eastAsia="宋体" w:cs="Times New Roman"/>
      <w:sz w:val="24"/>
      <w:szCs w:val="20"/>
    </w:rPr>
  </w:style>
  <w:style w:type="paragraph" w:customStyle="1" w:styleId="53">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4">
    <w:name w:val="样式 正文文本缩进 3 + 四号"/>
    <w:basedOn w:val="27"/>
    <w:qFormat/>
    <w:uiPriority w:val="0"/>
    <w:pPr>
      <w:spacing w:after="0" w:line="360" w:lineRule="auto"/>
      <w:ind w:left="0" w:leftChars="0" w:firstLine="437"/>
    </w:pPr>
    <w:rPr>
      <w:sz w:val="24"/>
      <w:szCs w:val="21"/>
    </w:rPr>
  </w:style>
  <w:style w:type="paragraph" w:customStyle="1" w:styleId="55">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56">
    <w:name w:val="样式 ssss + 宋体 五号"/>
    <w:basedOn w:val="43"/>
    <w:qFormat/>
    <w:uiPriority w:val="0"/>
    <w:pPr>
      <w:ind w:firstLine="420"/>
    </w:pPr>
    <w:rPr>
      <w:rFonts w:ascii="宋体" w:hAnsi="宋体" w:cs="宋体"/>
      <w:szCs w:val="20"/>
    </w:rPr>
  </w:style>
  <w:style w:type="paragraph" w:customStyle="1" w:styleId="57">
    <w:name w:val="表格"/>
    <w:basedOn w:val="1"/>
    <w:qFormat/>
    <w:uiPriority w:val="0"/>
    <w:rPr>
      <w:rFonts w:ascii="Arial" w:hAnsi="Arial" w:eastAsia="宋体" w:cs="Times New Roman"/>
      <w:sz w:val="24"/>
      <w:szCs w:val="24"/>
    </w:rPr>
  </w:style>
  <w:style w:type="paragraph" w:customStyle="1" w:styleId="58">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59">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60">
    <w:name w:val="样式 样式 ssss + 宋体 五号 + 首行缩进:  2 字符"/>
    <w:basedOn w:val="56"/>
    <w:qFormat/>
    <w:uiPriority w:val="0"/>
    <w:pPr>
      <w:ind w:firstLine="480"/>
    </w:pPr>
  </w:style>
  <w:style w:type="paragraph" w:customStyle="1" w:styleId="61">
    <w:name w:val="标题-----3"/>
    <w:basedOn w:val="5"/>
    <w:qFormat/>
    <w:uiPriority w:val="0"/>
    <w:pPr>
      <w:spacing w:before="0" w:after="0" w:line="240" w:lineRule="auto"/>
      <w:outlineLvl w:val="0"/>
    </w:pPr>
    <w:rPr>
      <w:rFonts w:ascii="宋体" w:hAnsi="宋体"/>
      <w:b w:val="0"/>
      <w:bCs w:val="0"/>
      <w:sz w:val="28"/>
      <w:szCs w:val="28"/>
    </w:rPr>
  </w:style>
  <w:style w:type="paragraph" w:customStyle="1" w:styleId="62">
    <w:name w:val="Char Char Char Char Char Char Char Char Char Char"/>
    <w:basedOn w:val="1"/>
    <w:qFormat/>
    <w:uiPriority w:val="0"/>
    <w:rPr>
      <w:rFonts w:ascii="Tahoma" w:hAnsi="Tahoma" w:eastAsia="宋体" w:cs="Times New Roman"/>
      <w:sz w:val="24"/>
      <w:szCs w:val="20"/>
    </w:rPr>
  </w:style>
  <w:style w:type="paragraph" w:customStyle="1" w:styleId="63">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64">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5">
    <w:name w:val="Char Char Char Char1"/>
    <w:basedOn w:val="1"/>
    <w:qFormat/>
    <w:uiPriority w:val="0"/>
    <w:rPr>
      <w:rFonts w:ascii="Tahoma" w:hAnsi="Tahoma" w:eastAsia="宋体" w:cs="Times New Roman"/>
      <w:sz w:val="24"/>
      <w:szCs w:val="20"/>
    </w:rPr>
  </w:style>
  <w:style w:type="paragraph" w:customStyle="1" w:styleId="66">
    <w:name w:val="Char Char Char"/>
    <w:basedOn w:val="1"/>
    <w:qFormat/>
    <w:uiPriority w:val="0"/>
    <w:rPr>
      <w:rFonts w:ascii="Tahoma" w:hAnsi="Tahoma" w:eastAsia="宋体" w:cs="Times New Roman"/>
      <w:sz w:val="24"/>
      <w:szCs w:val="20"/>
    </w:rPr>
  </w:style>
  <w:style w:type="paragraph" w:customStyle="1" w:styleId="67">
    <w:name w:val="Char1"/>
    <w:basedOn w:val="1"/>
    <w:qFormat/>
    <w:uiPriority w:val="0"/>
    <w:pPr>
      <w:tabs>
        <w:tab w:val="left" w:pos="360"/>
      </w:tabs>
    </w:pPr>
    <w:rPr>
      <w:rFonts w:ascii="Times New Roman" w:hAnsi="Times New Roman" w:eastAsia="宋体" w:cs="Times New Roman"/>
      <w:sz w:val="24"/>
      <w:szCs w:val="24"/>
    </w:rPr>
  </w:style>
  <w:style w:type="paragraph" w:customStyle="1" w:styleId="68">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9">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70">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71">
    <w:name w:val="样式 ssss + 居中"/>
    <w:basedOn w:val="43"/>
    <w:qFormat/>
    <w:uiPriority w:val="0"/>
    <w:pPr>
      <w:jc w:val="center"/>
    </w:pPr>
    <w:rPr>
      <w:rFonts w:cs="宋体"/>
      <w:szCs w:val="20"/>
    </w:rPr>
  </w:style>
  <w:style w:type="paragraph" w:customStyle="1" w:styleId="72">
    <w:name w:val="Header2"/>
    <w:basedOn w:val="1"/>
    <w:qFormat/>
    <w:uiPriority w:val="0"/>
    <w:pPr>
      <w:numPr>
        <w:ilvl w:val="0"/>
        <w:numId w:val="1"/>
      </w:numPr>
      <w:tabs>
        <w:tab w:val="left" w:pos="480"/>
      </w:tabs>
    </w:pPr>
    <w:rPr>
      <w:rFonts w:ascii="Times New Roman" w:hAnsi="Times New Roman" w:eastAsia="宋体" w:cs="Times New Roman"/>
      <w:szCs w:val="24"/>
    </w:rPr>
  </w:style>
  <w:style w:type="paragraph" w:customStyle="1" w:styleId="73">
    <w:name w:val="列出段落3"/>
    <w:basedOn w:val="1"/>
    <w:unhideWhenUsed/>
    <w:qFormat/>
    <w:uiPriority w:val="99"/>
    <w:pPr>
      <w:ind w:firstLine="420" w:firstLineChars="200"/>
    </w:pPr>
  </w:style>
  <w:style w:type="paragraph" w:customStyle="1" w:styleId="74">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75">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76">
    <w:name w:val="列出段落4"/>
    <w:basedOn w:val="1"/>
    <w:unhideWhenUsed/>
    <w:qFormat/>
    <w:uiPriority w:val="99"/>
    <w:pPr>
      <w:ind w:firstLine="420" w:firstLineChars="200"/>
    </w:pPr>
  </w:style>
  <w:style w:type="paragraph" w:customStyle="1" w:styleId="77">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78">
    <w:name w:val="List Paragraph"/>
    <w:basedOn w:val="1"/>
    <w:unhideWhenUsed/>
    <w:qFormat/>
    <w:uiPriority w:val="99"/>
    <w:pPr>
      <w:ind w:firstLine="420" w:firstLineChars="200"/>
    </w:pPr>
  </w:style>
  <w:style w:type="paragraph" w:customStyle="1" w:styleId="79">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character" w:customStyle="1" w:styleId="80">
    <w:name w:val="批注框文本 Char Char"/>
    <w:basedOn w:val="30"/>
    <w:link w:val="22"/>
    <w:qFormat/>
    <w:uiPriority w:val="0"/>
    <w:rPr>
      <w:rFonts w:ascii="Calibri" w:hAnsi="Calibri" w:eastAsia="宋体" w:cs="黑体"/>
      <w:kern w:val="2"/>
      <w:sz w:val="18"/>
      <w:szCs w:val="18"/>
    </w:rPr>
  </w:style>
  <w:style w:type="character" w:customStyle="1" w:styleId="81">
    <w:name w:val="标题 1 Char Char"/>
    <w:basedOn w:val="30"/>
    <w:link w:val="3"/>
    <w:qFormat/>
    <w:uiPriority w:val="0"/>
    <w:rPr>
      <w:b/>
      <w:bCs/>
      <w:kern w:val="44"/>
      <w:sz w:val="44"/>
      <w:szCs w:val="44"/>
    </w:rPr>
  </w:style>
  <w:style w:type="character" w:customStyle="1" w:styleId="82">
    <w:name w:val="标题 3 Char Char"/>
    <w:basedOn w:val="30"/>
    <w:link w:val="5"/>
    <w:qFormat/>
    <w:uiPriority w:val="0"/>
    <w:rPr>
      <w:b/>
      <w:bCs/>
      <w:sz w:val="32"/>
      <w:szCs w:val="32"/>
    </w:rPr>
  </w:style>
  <w:style w:type="character" w:customStyle="1" w:styleId="83">
    <w:name w:val="标题 4 Char Char"/>
    <w:basedOn w:val="30"/>
    <w:link w:val="6"/>
    <w:qFormat/>
    <w:uiPriority w:val="0"/>
    <w:rPr>
      <w:rFonts w:eastAsia="新宋体"/>
      <w:sz w:val="30"/>
      <w:szCs w:val="21"/>
    </w:rPr>
  </w:style>
  <w:style w:type="character" w:customStyle="1" w:styleId="84">
    <w:name w:val="标题 5 Char Char"/>
    <w:basedOn w:val="30"/>
    <w:link w:val="7"/>
    <w:qFormat/>
    <w:uiPriority w:val="0"/>
    <w:rPr>
      <w:b/>
      <w:bCs/>
      <w:sz w:val="28"/>
      <w:szCs w:val="28"/>
    </w:rPr>
  </w:style>
  <w:style w:type="character" w:customStyle="1" w:styleId="85">
    <w:name w:val="标题 6 Char Char"/>
    <w:basedOn w:val="30"/>
    <w:link w:val="8"/>
    <w:qFormat/>
    <w:uiPriority w:val="0"/>
    <w:rPr>
      <w:b/>
      <w:sz w:val="44"/>
    </w:rPr>
  </w:style>
  <w:style w:type="character" w:customStyle="1" w:styleId="86">
    <w:name w:val="标题 7 Char Char"/>
    <w:basedOn w:val="30"/>
    <w:link w:val="10"/>
    <w:qFormat/>
    <w:uiPriority w:val="0"/>
    <w:rPr>
      <w:b/>
      <w:bCs/>
      <w:sz w:val="24"/>
      <w:szCs w:val="24"/>
    </w:rPr>
  </w:style>
  <w:style w:type="character" w:customStyle="1" w:styleId="87">
    <w:name w:val="标题 8 Char Char"/>
    <w:basedOn w:val="30"/>
    <w:link w:val="11"/>
    <w:qFormat/>
    <w:uiPriority w:val="0"/>
    <w:rPr>
      <w:rFonts w:ascii="Arial" w:hAnsi="Arial" w:eastAsia="黑体"/>
      <w:sz w:val="24"/>
      <w:szCs w:val="24"/>
    </w:rPr>
  </w:style>
  <w:style w:type="character" w:customStyle="1" w:styleId="88">
    <w:name w:val="标题 9 Char Char"/>
    <w:basedOn w:val="30"/>
    <w:link w:val="12"/>
    <w:qFormat/>
    <w:uiPriority w:val="0"/>
    <w:rPr>
      <w:rFonts w:ascii="Arial" w:hAnsi="Arial" w:eastAsia="黑体"/>
      <w:sz w:val="24"/>
      <w:szCs w:val="21"/>
    </w:rPr>
  </w:style>
  <w:style w:type="character" w:customStyle="1" w:styleId="89">
    <w:name w:val="样式 ssss + 宋体 五号1 Char Char"/>
    <w:link w:val="42"/>
    <w:qFormat/>
    <w:uiPriority w:val="0"/>
    <w:rPr>
      <w:rFonts w:ascii="宋体" w:hAnsi="宋体"/>
      <w:sz w:val="24"/>
      <w:szCs w:val="24"/>
    </w:rPr>
  </w:style>
  <w:style w:type="character" w:customStyle="1" w:styleId="90">
    <w:name w:val="正文缩进 Char Char"/>
    <w:link w:val="9"/>
    <w:qFormat/>
    <w:uiPriority w:val="0"/>
  </w:style>
  <w:style w:type="character" w:customStyle="1" w:styleId="91">
    <w:name w:val="普通正文 Char Char"/>
    <w:link w:val="44"/>
    <w:qFormat/>
    <w:uiPriority w:val="0"/>
    <w:rPr>
      <w:rFonts w:ascii="Arial" w:hAnsi="Arial"/>
      <w:sz w:val="24"/>
      <w:szCs w:val="24"/>
    </w:rPr>
  </w:style>
  <w:style w:type="character" w:customStyle="1" w:styleId="92">
    <w:name w:val="批注主题 Char Char"/>
    <w:link w:val="13"/>
    <w:qFormat/>
    <w:uiPriority w:val="99"/>
    <w:rPr>
      <w:b/>
      <w:bCs/>
      <w:kern w:val="2"/>
      <w:sz w:val="21"/>
      <w:szCs w:val="24"/>
    </w:rPr>
  </w:style>
  <w:style w:type="character" w:customStyle="1" w:styleId="93">
    <w:name w:val="正文文本 Char Char"/>
    <w:link w:val="2"/>
    <w:qFormat/>
    <w:uiPriority w:val="0"/>
    <w:rPr>
      <w:rFonts w:ascii="仿宋_GB2312" w:eastAsia="仿宋_GB2312"/>
      <w:sz w:val="24"/>
    </w:rPr>
  </w:style>
  <w:style w:type="character" w:customStyle="1" w:styleId="94">
    <w:name w:val="文档结构图 Char1"/>
    <w:semiHidden/>
    <w:qFormat/>
    <w:uiPriority w:val="99"/>
    <w:rPr>
      <w:rFonts w:ascii="宋体" w:hAnsi="Times New Roman" w:eastAsia="宋体" w:cs="Times New Roman"/>
      <w:sz w:val="18"/>
      <w:szCs w:val="18"/>
    </w:rPr>
  </w:style>
  <w:style w:type="character" w:customStyle="1" w:styleId="95">
    <w:name w:val="正文首行缩进 Char Char"/>
    <w:link w:val="15"/>
    <w:qFormat/>
    <w:uiPriority w:val="0"/>
    <w:rPr>
      <w:sz w:val="24"/>
      <w:szCs w:val="24"/>
    </w:rPr>
  </w:style>
  <w:style w:type="character" w:customStyle="1" w:styleId="96">
    <w:name w:val="正文文本 2 Char Char"/>
    <w:link w:val="28"/>
    <w:qFormat/>
    <w:uiPriority w:val="0"/>
    <w:rPr>
      <w:b/>
      <w:bCs/>
      <w:sz w:val="18"/>
      <w:szCs w:val="24"/>
    </w:rPr>
  </w:style>
  <w:style w:type="character" w:customStyle="1" w:styleId="97">
    <w:name w:val="页脚 Char Char"/>
    <w:link w:val="23"/>
    <w:qFormat/>
    <w:uiPriority w:val="99"/>
    <w:rPr>
      <w:rFonts w:ascii="Calibri" w:hAnsi="Calibri" w:eastAsia="宋体" w:cs="黑体"/>
      <w:kern w:val="2"/>
      <w:sz w:val="18"/>
      <w:szCs w:val="22"/>
    </w:rPr>
  </w:style>
  <w:style w:type="character" w:customStyle="1" w:styleId="98">
    <w:name w:val="页眉 Char Char"/>
    <w:link w:val="24"/>
    <w:qFormat/>
    <w:uiPriority w:val="0"/>
    <w:rPr>
      <w:rFonts w:ascii="Calibri" w:hAnsi="Calibri" w:eastAsia="宋体" w:cs="黑体"/>
      <w:kern w:val="2"/>
      <w:sz w:val="18"/>
      <w:szCs w:val="22"/>
    </w:rPr>
  </w:style>
  <w:style w:type="character" w:customStyle="1" w:styleId="99">
    <w:name w:val="批注文字 Char Char"/>
    <w:link w:val="14"/>
    <w:qFormat/>
    <w:uiPriority w:val="0"/>
    <w:rPr>
      <w:kern w:val="2"/>
      <w:sz w:val="21"/>
      <w:szCs w:val="24"/>
    </w:rPr>
  </w:style>
  <w:style w:type="character" w:customStyle="1" w:styleId="100">
    <w:name w:val="正文文本缩进 2 Char Char"/>
    <w:link w:val="21"/>
    <w:qFormat/>
    <w:uiPriority w:val="0"/>
    <w:rPr>
      <w:rFonts w:eastAsia="仿宋_GB2312"/>
      <w:sz w:val="28"/>
    </w:rPr>
  </w:style>
  <w:style w:type="character" w:customStyle="1" w:styleId="101">
    <w:name w:val="标题 4 Char1"/>
    <w:qFormat/>
    <w:uiPriority w:val="0"/>
    <w:rPr>
      <w:rFonts w:ascii="Arial" w:hAnsi="Arial" w:eastAsia="黑体"/>
      <w:b/>
      <w:bCs/>
      <w:kern w:val="2"/>
      <w:sz w:val="28"/>
      <w:szCs w:val="28"/>
      <w:lang w:val="en-US" w:eastAsia="zh-CN" w:bidi="ar-SA"/>
    </w:rPr>
  </w:style>
  <w:style w:type="character" w:customStyle="1" w:styleId="102">
    <w:name w:val="日期 Char Char"/>
    <w:link w:val="20"/>
    <w:qFormat/>
    <w:uiPriority w:val="0"/>
    <w:rPr>
      <w:rFonts w:ascii="Calibri" w:hAnsi="Calibri" w:eastAsia="楷体_GB2312" w:cs="黑体"/>
      <w:kern w:val="2"/>
      <w:sz w:val="32"/>
      <w:szCs w:val="22"/>
    </w:rPr>
  </w:style>
  <w:style w:type="character" w:customStyle="1" w:styleId="103">
    <w:name w:val="正文缩进2格 Char Char"/>
    <w:link w:val="45"/>
    <w:qFormat/>
    <w:uiPriority w:val="0"/>
    <w:rPr>
      <w:rFonts w:ascii="仿宋_GB2312" w:hAnsi="宋体" w:eastAsia="仿宋_GB2312"/>
      <w:sz w:val="31"/>
      <w:szCs w:val="28"/>
    </w:rPr>
  </w:style>
  <w:style w:type="character" w:customStyle="1" w:styleId="104">
    <w:name w:val="文档结构图 Char Char"/>
    <w:link w:val="16"/>
    <w:qFormat/>
    <w:uiPriority w:val="0"/>
    <w:rPr>
      <w:szCs w:val="24"/>
      <w:shd w:val="clear" w:color="auto" w:fill="000080"/>
    </w:rPr>
  </w:style>
  <w:style w:type="character" w:customStyle="1" w:styleId="105">
    <w:name w:val="point_normal1"/>
    <w:qFormat/>
    <w:uiPriority w:val="0"/>
    <w:rPr>
      <w:rFonts w:hint="default" w:ascii="Arial" w:hAnsi="Arial" w:cs="Arial"/>
      <w:sz w:val="16"/>
      <w:szCs w:val="16"/>
    </w:rPr>
  </w:style>
  <w:style w:type="character" w:customStyle="1" w:styleId="106">
    <w:name w:val="批注框文本 Char1"/>
    <w:semiHidden/>
    <w:qFormat/>
    <w:uiPriority w:val="99"/>
    <w:rPr>
      <w:rFonts w:ascii="Times New Roman" w:hAnsi="Times New Roman" w:eastAsia="宋体" w:cs="Times New Roman"/>
      <w:sz w:val="18"/>
      <w:szCs w:val="18"/>
    </w:rPr>
  </w:style>
  <w:style w:type="character" w:customStyle="1" w:styleId="107">
    <w:name w:val="正文文本缩进 Char Char"/>
    <w:link w:val="18"/>
    <w:qFormat/>
    <w:uiPriority w:val="0"/>
    <w:rPr>
      <w:rFonts w:ascii="楷体_GB2312" w:hAnsi="Calibri" w:eastAsia="宋体" w:cs="黑体"/>
      <w:kern w:val="2"/>
      <w:sz w:val="21"/>
      <w:szCs w:val="22"/>
    </w:rPr>
  </w:style>
  <w:style w:type="character" w:customStyle="1" w:styleId="108">
    <w:name w:val="cn_text1"/>
    <w:qFormat/>
    <w:uiPriority w:val="0"/>
    <w:rPr>
      <w:rFonts w:hint="default" w:ascii="ˎ̥" w:hAnsi="ˎ̥"/>
      <w:color w:val="003399"/>
      <w:spacing w:val="15"/>
      <w:sz w:val="18"/>
      <w:szCs w:val="18"/>
    </w:rPr>
  </w:style>
  <w:style w:type="character" w:customStyle="1" w:styleId="109">
    <w:name w:val="纯文本 Char Char"/>
    <w:link w:val="19"/>
    <w:qFormat/>
    <w:uiPriority w:val="0"/>
    <w:rPr>
      <w:rFonts w:ascii="宋体" w:hAnsi="Courier New" w:cs="Courier New"/>
      <w:szCs w:val="21"/>
    </w:rPr>
  </w:style>
  <w:style w:type="character" w:customStyle="1" w:styleId="110">
    <w:name w:val="正文文本缩进 3 Char Char"/>
    <w:link w:val="27"/>
    <w:qFormat/>
    <w:uiPriority w:val="0"/>
    <w:rPr>
      <w:sz w:val="16"/>
      <w:szCs w:val="16"/>
    </w:rPr>
  </w:style>
  <w:style w:type="character" w:customStyle="1" w:styleId="111">
    <w:name w:val="标题 2 Char Char"/>
    <w:link w:val="4"/>
    <w:qFormat/>
    <w:uiPriority w:val="0"/>
    <w:rPr>
      <w:rFonts w:ascii="Arial" w:hAnsi="Arial" w:eastAsia="黑体" w:cs="黑体"/>
      <w:b/>
      <w:bCs/>
      <w:kern w:val="2"/>
      <w:sz w:val="32"/>
      <w:szCs w:val="32"/>
    </w:rPr>
  </w:style>
  <w:style w:type="character" w:customStyle="1" w:styleId="112">
    <w:name w:val="ssss Char Char"/>
    <w:qFormat/>
    <w:uiPriority w:val="0"/>
    <w:rPr>
      <w:rFonts w:eastAsia="宋体"/>
      <w:kern w:val="2"/>
      <w:sz w:val="24"/>
      <w:szCs w:val="24"/>
      <w:lang w:val="en-US" w:eastAsia="zh-CN" w:bidi="ar-SA"/>
    </w:rPr>
  </w:style>
  <w:style w:type="character" w:customStyle="1" w:styleId="113">
    <w:name w:val="FA正文 Char Char"/>
    <w:link w:val="46"/>
    <w:qFormat/>
    <w:uiPriority w:val="0"/>
    <w:rPr>
      <w:rFonts w:ascii="宋体" w:hAnsi="宋体"/>
      <w:sz w:val="28"/>
      <w:szCs w:val="28"/>
    </w:rPr>
  </w:style>
  <w:style w:type="character" w:customStyle="1" w:styleId="114">
    <w:name w:val="正文文本 3 Char Char"/>
    <w:link w:val="17"/>
    <w:qFormat/>
    <w:uiPriority w:val="0"/>
    <w:rPr>
      <w:sz w:val="16"/>
      <w:szCs w:val="16"/>
    </w:rPr>
  </w:style>
  <w:style w:type="character" w:customStyle="1" w:styleId="115">
    <w:name w:val="ssss Char1"/>
    <w:link w:val="43"/>
    <w:qFormat/>
    <w:uiPriority w:val="0"/>
    <w:rPr>
      <w:sz w:val="24"/>
      <w:szCs w:val="24"/>
    </w:rPr>
  </w:style>
  <w:style w:type="character" w:customStyle="1" w:styleId="116">
    <w:name w:val="批注文字 Char1"/>
    <w:basedOn w:val="30"/>
    <w:link w:val="14"/>
    <w:qFormat/>
    <w:uiPriority w:val="0"/>
    <w:rPr>
      <w:rFonts w:ascii="Calibri" w:hAnsi="Calibri" w:eastAsia="宋体" w:cs="黑体"/>
      <w:kern w:val="2"/>
      <w:sz w:val="21"/>
      <w:szCs w:val="22"/>
    </w:rPr>
  </w:style>
  <w:style w:type="character" w:customStyle="1" w:styleId="117">
    <w:name w:val="正文文本 3 Char1"/>
    <w:basedOn w:val="30"/>
    <w:link w:val="17"/>
    <w:qFormat/>
    <w:uiPriority w:val="0"/>
    <w:rPr>
      <w:rFonts w:ascii="Calibri" w:hAnsi="Calibri" w:eastAsia="宋体" w:cs="黑体"/>
      <w:kern w:val="2"/>
      <w:sz w:val="16"/>
      <w:szCs w:val="16"/>
    </w:rPr>
  </w:style>
  <w:style w:type="character" w:customStyle="1" w:styleId="118">
    <w:name w:val="正文文本缩进 2 Char1"/>
    <w:basedOn w:val="30"/>
    <w:link w:val="21"/>
    <w:qFormat/>
    <w:uiPriority w:val="0"/>
    <w:rPr>
      <w:rFonts w:ascii="Calibri" w:hAnsi="Calibri" w:eastAsia="宋体" w:cs="黑体"/>
      <w:kern w:val="2"/>
      <w:sz w:val="21"/>
      <w:szCs w:val="22"/>
    </w:rPr>
  </w:style>
  <w:style w:type="character" w:customStyle="1" w:styleId="119">
    <w:name w:val="批注主题 Char1"/>
    <w:basedOn w:val="116"/>
    <w:link w:val="13"/>
    <w:qFormat/>
    <w:uiPriority w:val="0"/>
    <w:rPr>
      <w:b/>
      <w:bCs/>
    </w:rPr>
  </w:style>
  <w:style w:type="character" w:customStyle="1" w:styleId="120">
    <w:name w:val="文档结构图 Char2"/>
    <w:basedOn w:val="30"/>
    <w:link w:val="16"/>
    <w:qFormat/>
    <w:uiPriority w:val="0"/>
    <w:rPr>
      <w:rFonts w:ascii="宋体" w:hAnsi="Calibri" w:cs="黑体"/>
      <w:kern w:val="2"/>
      <w:sz w:val="18"/>
      <w:szCs w:val="18"/>
    </w:rPr>
  </w:style>
  <w:style w:type="character" w:customStyle="1" w:styleId="121">
    <w:name w:val="正文文本 Char1"/>
    <w:basedOn w:val="30"/>
    <w:link w:val="2"/>
    <w:qFormat/>
    <w:uiPriority w:val="0"/>
    <w:rPr>
      <w:rFonts w:ascii="Calibri" w:hAnsi="Calibri" w:eastAsia="宋体" w:cs="黑体"/>
      <w:kern w:val="2"/>
      <w:sz w:val="21"/>
      <w:szCs w:val="22"/>
    </w:rPr>
  </w:style>
  <w:style w:type="character" w:customStyle="1" w:styleId="122">
    <w:name w:val="正文首行缩进 Char1"/>
    <w:basedOn w:val="121"/>
    <w:link w:val="15"/>
    <w:qFormat/>
    <w:uiPriority w:val="0"/>
  </w:style>
  <w:style w:type="character" w:customStyle="1" w:styleId="123">
    <w:name w:val="正文文本缩进 3 Char1"/>
    <w:basedOn w:val="30"/>
    <w:link w:val="27"/>
    <w:qFormat/>
    <w:uiPriority w:val="0"/>
    <w:rPr>
      <w:rFonts w:ascii="Calibri" w:hAnsi="Calibri" w:eastAsia="宋体" w:cs="黑体"/>
      <w:kern w:val="2"/>
      <w:sz w:val="16"/>
      <w:szCs w:val="16"/>
    </w:rPr>
  </w:style>
  <w:style w:type="character" w:customStyle="1" w:styleId="124">
    <w:name w:val="纯文本 Char1"/>
    <w:basedOn w:val="30"/>
    <w:link w:val="19"/>
    <w:qFormat/>
    <w:uiPriority w:val="0"/>
    <w:rPr>
      <w:rFonts w:ascii="宋体" w:hAnsi="Courier New" w:cs="Courier New"/>
      <w:kern w:val="2"/>
      <w:sz w:val="21"/>
      <w:szCs w:val="21"/>
    </w:rPr>
  </w:style>
  <w:style w:type="character" w:customStyle="1" w:styleId="125">
    <w:name w:val="正文文本 2 Char1"/>
    <w:basedOn w:val="30"/>
    <w:link w:val="28"/>
    <w:qFormat/>
    <w:uiPriority w:val="0"/>
    <w:rPr>
      <w:rFonts w:ascii="Calibri" w:hAnsi="Calibri" w:eastAsia="宋体" w:cs="黑体"/>
      <w:kern w:val="2"/>
      <w:sz w:val="21"/>
      <w:szCs w:val="22"/>
    </w:rPr>
  </w:style>
  <w:style w:type="character" w:customStyle="1" w:styleId="126">
    <w:name w:val="Heading 2 Char"/>
    <w:basedOn w:val="30"/>
    <w:qFormat/>
    <w:locked/>
    <w:uiPriority w:val="99"/>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3287</Words>
  <Characters>18738</Characters>
  <Lines>156</Lines>
  <Paragraphs>43</Paragraphs>
  <TotalTime>22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2018-07-11T09:43:00Z</cp:lastPrinted>
  <dcterms:modified xsi:type="dcterms:W3CDTF">2018-08-09T08:53:34Z</dcterms:modified>
  <dc:title>禹州市房屋不动产登记采购项目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