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auto"/>
          <w:sz w:val="28"/>
          <w:szCs w:val="28"/>
        </w:rPr>
      </w:pPr>
      <w:bookmarkStart w:id="19" w:name="_GoBack"/>
      <w:bookmarkEnd w:id="19"/>
      <w:r>
        <w:rPr>
          <w:rFonts w:hint="eastAsia"/>
          <w:color w:val="auto"/>
          <w:sz w:val="28"/>
          <w:szCs w:val="28"/>
        </w:rPr>
        <w:t>（一）投标货物分项报价明细表</w:t>
      </w:r>
    </w:p>
    <w:p>
      <w:pPr>
        <w:spacing w:line="400" w:lineRule="exact"/>
      </w:pPr>
      <w:r>
        <w:rPr>
          <w:rFonts w:hint="eastAsia"/>
        </w:rPr>
        <w:t>投标人：浙江汉信光电股份有限公司</w:t>
      </w:r>
    </w:p>
    <w:p>
      <w:pPr>
        <w:spacing w:line="400" w:lineRule="exact"/>
      </w:pPr>
      <w:r>
        <w:rPr>
          <w:rFonts w:hint="eastAsia"/>
        </w:rPr>
        <w:t>项目：</w:t>
      </w:r>
      <w:r>
        <w:rPr>
          <w:rStyle w:val="11"/>
          <w:rFonts w:hint="eastAsia" w:ascii="宋体" w:hAnsi="宋体"/>
          <w:b w:val="0"/>
          <w:bCs w:val="0"/>
          <w:shd w:val="clear" w:color="auto" w:fill="FFFFFF"/>
        </w:rPr>
        <w:t>鄢陵县有线网络设备材料采购项目</w:t>
      </w:r>
      <w:r>
        <w:rPr>
          <w:rFonts w:hint="eastAsia"/>
        </w:rPr>
        <w:t xml:space="preserve">                            金额单位：元</w:t>
      </w:r>
    </w:p>
    <w:tbl>
      <w:tblPr>
        <w:tblStyle w:val="10"/>
        <w:tblW w:w="9177" w:type="dxa"/>
        <w:jc w:val="center"/>
        <w:tblInd w:w="1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739"/>
        <w:gridCol w:w="709"/>
        <w:gridCol w:w="869"/>
        <w:gridCol w:w="993"/>
        <w:gridCol w:w="1417"/>
        <w:gridCol w:w="1418"/>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521" w:type="dxa"/>
            <w:vAlign w:val="center"/>
          </w:tcPr>
          <w:p>
            <w:pPr>
              <w:jc w:val="center"/>
              <w:rPr>
                <w:rFonts w:asciiTheme="minorEastAsia" w:hAnsiTheme="minorEastAsia" w:eastAsiaTheme="minorEastAsia"/>
              </w:rPr>
            </w:pPr>
            <w:r>
              <w:rPr>
                <w:rFonts w:hint="eastAsia" w:asciiTheme="minorEastAsia" w:hAnsiTheme="minorEastAsia" w:eastAsiaTheme="minorEastAsia"/>
              </w:rPr>
              <w:t>序号</w:t>
            </w:r>
          </w:p>
        </w:tc>
        <w:tc>
          <w:tcPr>
            <w:tcW w:w="1739" w:type="dxa"/>
            <w:vAlign w:val="center"/>
          </w:tcPr>
          <w:p>
            <w:pPr>
              <w:jc w:val="center"/>
              <w:rPr>
                <w:rFonts w:asciiTheme="minorEastAsia" w:hAnsiTheme="minorEastAsia" w:eastAsiaTheme="minorEastAsia"/>
              </w:rPr>
            </w:pPr>
            <w:r>
              <w:rPr>
                <w:rFonts w:hint="eastAsia" w:asciiTheme="minorEastAsia" w:hAnsiTheme="minorEastAsia" w:eastAsiaTheme="minorEastAsia"/>
              </w:rPr>
              <w:t>名称</w:t>
            </w:r>
          </w:p>
        </w:tc>
        <w:tc>
          <w:tcPr>
            <w:tcW w:w="709" w:type="dxa"/>
            <w:vAlign w:val="center"/>
          </w:tcPr>
          <w:p>
            <w:pPr>
              <w:jc w:val="center"/>
              <w:rPr>
                <w:rFonts w:asciiTheme="minorEastAsia" w:hAnsiTheme="minorEastAsia" w:eastAsiaTheme="minorEastAsia"/>
              </w:rPr>
            </w:pPr>
            <w:r>
              <w:rPr>
                <w:rFonts w:hint="eastAsia" w:asciiTheme="minorEastAsia" w:hAnsiTheme="minorEastAsia" w:eastAsiaTheme="minorEastAsia"/>
              </w:rPr>
              <w:t>单位</w:t>
            </w:r>
          </w:p>
        </w:tc>
        <w:tc>
          <w:tcPr>
            <w:tcW w:w="869" w:type="dxa"/>
            <w:vAlign w:val="center"/>
          </w:tcPr>
          <w:p>
            <w:pPr>
              <w:jc w:val="center"/>
              <w:rPr>
                <w:rFonts w:asciiTheme="minorEastAsia" w:hAnsiTheme="minorEastAsia" w:eastAsiaTheme="minorEastAsia"/>
              </w:rPr>
            </w:pPr>
            <w:r>
              <w:rPr>
                <w:rFonts w:hint="eastAsia" w:asciiTheme="minorEastAsia" w:hAnsiTheme="minorEastAsia" w:eastAsiaTheme="minorEastAsia"/>
              </w:rPr>
              <w:t>数量</w:t>
            </w:r>
          </w:p>
        </w:tc>
        <w:tc>
          <w:tcPr>
            <w:tcW w:w="993" w:type="dxa"/>
            <w:vAlign w:val="center"/>
          </w:tcPr>
          <w:p>
            <w:pPr>
              <w:jc w:val="center"/>
              <w:rPr>
                <w:rFonts w:asciiTheme="minorEastAsia" w:hAnsiTheme="minorEastAsia" w:eastAsiaTheme="minorEastAsia"/>
              </w:rPr>
            </w:pPr>
            <w:r>
              <w:rPr>
                <w:rFonts w:hint="eastAsia" w:asciiTheme="minorEastAsia" w:hAnsiTheme="minorEastAsia" w:eastAsiaTheme="minorEastAsia"/>
              </w:rPr>
              <w:t>单价</w:t>
            </w:r>
          </w:p>
        </w:tc>
        <w:tc>
          <w:tcPr>
            <w:tcW w:w="1417" w:type="dxa"/>
            <w:vAlign w:val="center"/>
          </w:tcPr>
          <w:p>
            <w:pPr>
              <w:jc w:val="center"/>
              <w:rPr>
                <w:rFonts w:asciiTheme="minorEastAsia" w:hAnsiTheme="minorEastAsia" w:eastAsiaTheme="minorEastAsia"/>
              </w:rPr>
            </w:pPr>
            <w:r>
              <w:rPr>
                <w:rFonts w:hint="eastAsia" w:asciiTheme="minorEastAsia" w:hAnsiTheme="minorEastAsia" w:eastAsiaTheme="minorEastAsia"/>
              </w:rPr>
              <w:t>合计</w:t>
            </w:r>
          </w:p>
        </w:tc>
        <w:tc>
          <w:tcPr>
            <w:tcW w:w="1418" w:type="dxa"/>
            <w:vAlign w:val="center"/>
          </w:tcPr>
          <w:p>
            <w:pPr>
              <w:jc w:val="center"/>
              <w:rPr>
                <w:rFonts w:asciiTheme="minorEastAsia" w:hAnsiTheme="minorEastAsia" w:eastAsiaTheme="minorEastAsia"/>
              </w:rPr>
            </w:pPr>
            <w:r>
              <w:rPr>
                <w:rFonts w:hint="eastAsia" w:asciiTheme="minorEastAsia" w:hAnsiTheme="minorEastAsia" w:eastAsiaTheme="minorEastAsia"/>
              </w:rPr>
              <w:t>交货期</w:t>
            </w:r>
          </w:p>
        </w:tc>
        <w:tc>
          <w:tcPr>
            <w:tcW w:w="1511" w:type="dxa"/>
            <w:vAlign w:val="center"/>
          </w:tcPr>
          <w:p>
            <w:pPr>
              <w:jc w:val="center"/>
              <w:rPr>
                <w:rFonts w:asciiTheme="minorEastAsia" w:hAnsiTheme="minorEastAsia" w:eastAsiaTheme="minorEastAsia"/>
              </w:rPr>
            </w:pPr>
            <w:r>
              <w:rPr>
                <w:rFonts w:hint="eastAsia" w:asciiTheme="minorEastAsia" w:hAnsiTheme="minorEastAsia" w:eastAsiaTheme="minorEastAsia"/>
              </w:rPr>
              <w:t>品牌</w:t>
            </w:r>
          </w:p>
          <w:p>
            <w:pPr>
              <w:jc w:val="center"/>
              <w:rPr>
                <w:rFonts w:asciiTheme="minorEastAsia" w:hAnsiTheme="minorEastAsia" w:eastAsiaTheme="minorEastAsia"/>
              </w:rPr>
            </w:pPr>
            <w:r>
              <w:rPr>
                <w:rFonts w:hint="eastAsia" w:asciiTheme="minorEastAsia" w:hAnsiTheme="minorEastAsia" w:eastAsiaTheme="minorEastAsia"/>
              </w:rPr>
              <w:t>及生产厂家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521" w:type="dxa"/>
            <w:vAlign w:val="center"/>
          </w:tcPr>
          <w:p>
            <w:pPr>
              <w:jc w:val="center"/>
              <w:rPr>
                <w:rFonts w:asciiTheme="minorEastAsia" w:hAnsiTheme="minorEastAsia" w:eastAsiaTheme="minorEastAsia"/>
              </w:rPr>
            </w:pPr>
            <w:r>
              <w:rPr>
                <w:rFonts w:hint="eastAsia" w:asciiTheme="minorEastAsia" w:hAnsiTheme="minorEastAsia" w:eastAsiaTheme="minorEastAsia"/>
              </w:rPr>
              <w:t>1</w:t>
            </w:r>
          </w:p>
        </w:tc>
        <w:tc>
          <w:tcPr>
            <w:tcW w:w="1739" w:type="dxa"/>
            <w:vAlign w:val="center"/>
          </w:tcPr>
          <w:p>
            <w:pPr>
              <w:jc w:val="center"/>
              <w:rPr>
                <w:rFonts w:asciiTheme="minorEastAsia" w:hAnsiTheme="minorEastAsia" w:eastAsiaTheme="minorEastAsia"/>
                <w:bCs/>
              </w:rPr>
            </w:pPr>
            <w:r>
              <w:rPr>
                <w:rFonts w:hint="eastAsia" w:asciiTheme="minorEastAsia" w:hAnsiTheme="minorEastAsia" w:eastAsiaTheme="minorEastAsia"/>
                <w:bCs/>
              </w:rPr>
              <w:t>蝶型光纤</w:t>
            </w:r>
          </w:p>
          <w:p>
            <w:pPr>
              <w:jc w:val="center"/>
              <w:rPr>
                <w:rFonts w:asciiTheme="minorEastAsia" w:hAnsiTheme="minorEastAsia" w:eastAsiaTheme="minorEastAsia"/>
                <w:bCs/>
              </w:rPr>
            </w:pPr>
            <w:r>
              <w:rPr>
                <w:rFonts w:hint="eastAsia" w:asciiTheme="minorEastAsia" w:hAnsiTheme="minorEastAsia" w:eastAsiaTheme="minorEastAsia"/>
                <w:bCs/>
              </w:rPr>
              <w:t>（GJYXCH）</w:t>
            </w:r>
          </w:p>
        </w:tc>
        <w:tc>
          <w:tcPr>
            <w:tcW w:w="709" w:type="dxa"/>
            <w:vAlign w:val="center"/>
          </w:tcPr>
          <w:p>
            <w:pPr>
              <w:jc w:val="center"/>
              <w:rPr>
                <w:rFonts w:asciiTheme="minorEastAsia" w:hAnsiTheme="minorEastAsia" w:eastAsiaTheme="minorEastAsia"/>
              </w:rPr>
            </w:pPr>
            <w:r>
              <w:rPr>
                <w:rFonts w:hint="eastAsia" w:asciiTheme="minorEastAsia" w:hAnsiTheme="minorEastAsia" w:eastAsiaTheme="minorEastAsia"/>
                <w:bCs/>
              </w:rPr>
              <w:t>KM</w:t>
            </w:r>
          </w:p>
        </w:tc>
        <w:tc>
          <w:tcPr>
            <w:tcW w:w="869" w:type="dxa"/>
            <w:vAlign w:val="center"/>
          </w:tcPr>
          <w:p>
            <w:pPr>
              <w:jc w:val="center"/>
              <w:rPr>
                <w:rFonts w:asciiTheme="minorEastAsia" w:hAnsiTheme="minorEastAsia" w:eastAsiaTheme="minorEastAsia"/>
              </w:rPr>
            </w:pPr>
            <w:r>
              <w:rPr>
                <w:rFonts w:hint="eastAsia" w:asciiTheme="minorEastAsia" w:hAnsiTheme="minorEastAsia" w:eastAsiaTheme="minorEastAsia"/>
              </w:rPr>
              <w:t>500</w:t>
            </w:r>
          </w:p>
        </w:tc>
        <w:tc>
          <w:tcPr>
            <w:tcW w:w="993"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460元</w:t>
            </w:r>
          </w:p>
        </w:tc>
        <w:tc>
          <w:tcPr>
            <w:tcW w:w="1417"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230000.00元</w:t>
            </w:r>
          </w:p>
        </w:tc>
        <w:tc>
          <w:tcPr>
            <w:tcW w:w="1418" w:type="dxa"/>
            <w:vAlign w:val="center"/>
          </w:tcPr>
          <w:p>
            <w:pPr>
              <w:jc w:val="center"/>
              <w:rPr>
                <w:rFonts w:asciiTheme="minorEastAsia" w:hAnsiTheme="minorEastAsia" w:eastAsiaTheme="minorEastAsia"/>
              </w:rPr>
            </w:pPr>
            <w:r>
              <w:rPr>
                <w:rFonts w:hint="eastAsia" w:asciiTheme="minorEastAsia" w:hAnsiTheme="minorEastAsia" w:eastAsiaTheme="minorEastAsia"/>
              </w:rPr>
              <w:t>合同签订后20日内交付</w:t>
            </w:r>
          </w:p>
        </w:tc>
        <w:tc>
          <w:tcPr>
            <w:tcW w:w="1511" w:type="dxa"/>
            <w:vAlign w:val="center"/>
          </w:tcPr>
          <w:p>
            <w:pPr>
              <w:jc w:val="center"/>
              <w:rPr>
                <w:rFonts w:asciiTheme="minorEastAsia" w:hAnsiTheme="minorEastAsia" w:eastAsiaTheme="minorEastAsia"/>
              </w:rPr>
            </w:pPr>
            <w:r>
              <w:rPr>
                <w:rFonts w:hint="eastAsia" w:asciiTheme="minorEastAsia" w:hAnsiTheme="minorEastAsia" w:eastAsiaTheme="minorEastAsia"/>
              </w:rPr>
              <w:t>汉芯牌</w:t>
            </w:r>
          </w:p>
          <w:p>
            <w:pPr>
              <w:jc w:val="center"/>
              <w:rPr>
                <w:rFonts w:asciiTheme="minorEastAsia" w:hAnsiTheme="minorEastAsia" w:eastAsiaTheme="minorEastAsia"/>
              </w:rPr>
            </w:pPr>
            <w:r>
              <w:rPr>
                <w:rFonts w:hint="eastAsia" w:asciiTheme="minorEastAsia" w:hAnsiTheme="minorEastAsia" w:eastAsiaTheme="minorEastAsia"/>
              </w:rPr>
              <w:t>浙江汉信光电股份有限公司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521" w:type="dxa"/>
            <w:vAlign w:val="center"/>
          </w:tcPr>
          <w:p>
            <w:pPr>
              <w:jc w:val="center"/>
              <w:rPr>
                <w:rFonts w:asciiTheme="minorEastAsia" w:hAnsiTheme="minorEastAsia" w:eastAsiaTheme="minorEastAsia"/>
              </w:rPr>
            </w:pPr>
            <w:r>
              <w:rPr>
                <w:rFonts w:hint="eastAsia" w:asciiTheme="minorEastAsia" w:hAnsiTheme="minorEastAsia" w:eastAsiaTheme="minorEastAsia"/>
              </w:rPr>
              <w:t>2</w:t>
            </w:r>
          </w:p>
        </w:tc>
        <w:tc>
          <w:tcPr>
            <w:tcW w:w="1739" w:type="dxa"/>
            <w:vAlign w:val="center"/>
          </w:tcPr>
          <w:p>
            <w:pPr>
              <w:jc w:val="center"/>
              <w:rPr>
                <w:rFonts w:asciiTheme="minorEastAsia" w:hAnsiTheme="minorEastAsia" w:eastAsiaTheme="minorEastAsia"/>
              </w:rPr>
            </w:pPr>
            <w:r>
              <w:rPr>
                <w:rFonts w:hint="eastAsia" w:asciiTheme="minorEastAsia" w:hAnsiTheme="minorEastAsia" w:eastAsiaTheme="minorEastAsia"/>
                <w:bCs/>
              </w:rPr>
              <w:t>48芯光缆（GYTS/GYTA）</w:t>
            </w:r>
          </w:p>
        </w:tc>
        <w:tc>
          <w:tcPr>
            <w:tcW w:w="709" w:type="dxa"/>
            <w:vAlign w:val="center"/>
          </w:tcPr>
          <w:p>
            <w:pPr>
              <w:jc w:val="center"/>
              <w:rPr>
                <w:rFonts w:asciiTheme="minorEastAsia" w:hAnsiTheme="minorEastAsia" w:eastAsiaTheme="minorEastAsia"/>
              </w:rPr>
            </w:pPr>
            <w:r>
              <w:rPr>
                <w:rFonts w:hint="eastAsia" w:asciiTheme="minorEastAsia" w:hAnsiTheme="minorEastAsia" w:eastAsiaTheme="minorEastAsia"/>
                <w:bCs/>
              </w:rPr>
              <w:t>KM</w:t>
            </w:r>
          </w:p>
        </w:tc>
        <w:tc>
          <w:tcPr>
            <w:tcW w:w="869" w:type="dxa"/>
            <w:vAlign w:val="center"/>
          </w:tcPr>
          <w:p>
            <w:pPr>
              <w:jc w:val="center"/>
              <w:rPr>
                <w:rFonts w:asciiTheme="minorEastAsia" w:hAnsiTheme="minorEastAsia" w:eastAsiaTheme="minorEastAsia"/>
              </w:rPr>
            </w:pPr>
            <w:r>
              <w:rPr>
                <w:rFonts w:hint="eastAsia" w:asciiTheme="minorEastAsia" w:hAnsiTheme="minorEastAsia" w:eastAsiaTheme="minorEastAsia"/>
              </w:rPr>
              <w:t>20</w:t>
            </w:r>
          </w:p>
        </w:tc>
        <w:tc>
          <w:tcPr>
            <w:tcW w:w="993"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5820元</w:t>
            </w:r>
          </w:p>
        </w:tc>
        <w:tc>
          <w:tcPr>
            <w:tcW w:w="1417"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116400.00元</w:t>
            </w:r>
          </w:p>
        </w:tc>
        <w:tc>
          <w:tcPr>
            <w:tcW w:w="1418" w:type="dxa"/>
            <w:vAlign w:val="center"/>
          </w:tcPr>
          <w:p>
            <w:pPr>
              <w:jc w:val="center"/>
              <w:rPr>
                <w:rFonts w:asciiTheme="minorEastAsia" w:hAnsiTheme="minorEastAsia" w:eastAsiaTheme="minorEastAsia"/>
              </w:rPr>
            </w:pPr>
            <w:r>
              <w:rPr>
                <w:rFonts w:hint="eastAsia" w:asciiTheme="minorEastAsia" w:hAnsiTheme="minorEastAsia" w:eastAsiaTheme="minorEastAsia"/>
              </w:rPr>
              <w:t>合同签订后20日内交付</w:t>
            </w:r>
          </w:p>
        </w:tc>
        <w:tc>
          <w:tcPr>
            <w:tcW w:w="1511" w:type="dxa"/>
            <w:vAlign w:val="center"/>
          </w:tcPr>
          <w:p>
            <w:pPr>
              <w:jc w:val="center"/>
              <w:rPr>
                <w:rFonts w:asciiTheme="minorEastAsia" w:hAnsiTheme="minorEastAsia" w:eastAsiaTheme="minorEastAsia"/>
              </w:rPr>
            </w:pPr>
            <w:r>
              <w:rPr>
                <w:rFonts w:hint="eastAsia" w:asciiTheme="minorEastAsia" w:hAnsiTheme="minorEastAsia" w:eastAsiaTheme="minorEastAsia"/>
              </w:rPr>
              <w:t>汉芯牌</w:t>
            </w:r>
          </w:p>
          <w:p>
            <w:pPr>
              <w:jc w:val="center"/>
              <w:rPr>
                <w:rFonts w:asciiTheme="minorEastAsia" w:hAnsiTheme="minorEastAsia" w:eastAsiaTheme="minorEastAsia"/>
              </w:rPr>
            </w:pPr>
            <w:r>
              <w:rPr>
                <w:rFonts w:hint="eastAsia" w:asciiTheme="minorEastAsia" w:hAnsiTheme="minorEastAsia" w:eastAsiaTheme="minorEastAsia"/>
              </w:rPr>
              <w:t>浙江汉信光电股份有限公司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521" w:type="dxa"/>
            <w:vAlign w:val="center"/>
          </w:tcPr>
          <w:p>
            <w:pPr>
              <w:jc w:val="center"/>
              <w:rPr>
                <w:rFonts w:asciiTheme="minorEastAsia" w:hAnsiTheme="minorEastAsia" w:eastAsiaTheme="minorEastAsia"/>
              </w:rPr>
            </w:pPr>
            <w:r>
              <w:rPr>
                <w:rFonts w:hint="eastAsia" w:asciiTheme="minorEastAsia" w:hAnsiTheme="minorEastAsia" w:eastAsiaTheme="minorEastAsia"/>
              </w:rPr>
              <w:t>3</w:t>
            </w:r>
          </w:p>
        </w:tc>
        <w:tc>
          <w:tcPr>
            <w:tcW w:w="1739" w:type="dxa"/>
            <w:vAlign w:val="center"/>
          </w:tcPr>
          <w:p>
            <w:pPr>
              <w:jc w:val="center"/>
              <w:rPr>
                <w:rFonts w:asciiTheme="minorEastAsia" w:hAnsiTheme="minorEastAsia" w:eastAsiaTheme="minorEastAsia"/>
              </w:rPr>
            </w:pPr>
            <w:r>
              <w:rPr>
                <w:rFonts w:hint="eastAsia" w:asciiTheme="minorEastAsia" w:hAnsiTheme="minorEastAsia" w:eastAsiaTheme="minorEastAsia"/>
                <w:bCs/>
              </w:rPr>
              <w:t>24芯光缆（GYTS/GYTA）</w:t>
            </w:r>
          </w:p>
        </w:tc>
        <w:tc>
          <w:tcPr>
            <w:tcW w:w="709" w:type="dxa"/>
            <w:vAlign w:val="center"/>
          </w:tcPr>
          <w:p>
            <w:pPr>
              <w:jc w:val="center"/>
              <w:rPr>
                <w:rFonts w:asciiTheme="minorEastAsia" w:hAnsiTheme="minorEastAsia" w:eastAsiaTheme="minorEastAsia"/>
              </w:rPr>
            </w:pPr>
            <w:r>
              <w:rPr>
                <w:rFonts w:hint="eastAsia" w:asciiTheme="minorEastAsia" w:hAnsiTheme="minorEastAsia" w:eastAsiaTheme="minorEastAsia"/>
                <w:bCs/>
              </w:rPr>
              <w:t>KM</w:t>
            </w:r>
          </w:p>
        </w:tc>
        <w:tc>
          <w:tcPr>
            <w:tcW w:w="869" w:type="dxa"/>
            <w:vAlign w:val="center"/>
          </w:tcPr>
          <w:p>
            <w:pPr>
              <w:jc w:val="center"/>
              <w:rPr>
                <w:rFonts w:asciiTheme="minorEastAsia" w:hAnsiTheme="minorEastAsia" w:eastAsiaTheme="minorEastAsia"/>
              </w:rPr>
            </w:pPr>
            <w:r>
              <w:rPr>
                <w:rFonts w:hint="eastAsia" w:asciiTheme="minorEastAsia" w:hAnsiTheme="minorEastAsia" w:eastAsiaTheme="minorEastAsia"/>
              </w:rPr>
              <w:t>80</w:t>
            </w:r>
          </w:p>
        </w:tc>
        <w:tc>
          <w:tcPr>
            <w:tcW w:w="993"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3700元</w:t>
            </w:r>
          </w:p>
        </w:tc>
        <w:tc>
          <w:tcPr>
            <w:tcW w:w="1417"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296000.00元</w:t>
            </w:r>
          </w:p>
        </w:tc>
        <w:tc>
          <w:tcPr>
            <w:tcW w:w="1418" w:type="dxa"/>
            <w:vAlign w:val="center"/>
          </w:tcPr>
          <w:p>
            <w:pPr>
              <w:jc w:val="center"/>
              <w:rPr>
                <w:rFonts w:asciiTheme="minorEastAsia" w:hAnsiTheme="minorEastAsia" w:eastAsiaTheme="minorEastAsia"/>
              </w:rPr>
            </w:pPr>
            <w:r>
              <w:rPr>
                <w:rFonts w:hint="eastAsia" w:asciiTheme="minorEastAsia" w:hAnsiTheme="minorEastAsia" w:eastAsiaTheme="minorEastAsia"/>
              </w:rPr>
              <w:t>合同签订后20日内交付</w:t>
            </w:r>
          </w:p>
        </w:tc>
        <w:tc>
          <w:tcPr>
            <w:tcW w:w="1511" w:type="dxa"/>
            <w:vAlign w:val="center"/>
          </w:tcPr>
          <w:p>
            <w:pPr>
              <w:jc w:val="center"/>
              <w:rPr>
                <w:rFonts w:asciiTheme="minorEastAsia" w:hAnsiTheme="minorEastAsia" w:eastAsiaTheme="minorEastAsia"/>
              </w:rPr>
            </w:pPr>
            <w:r>
              <w:rPr>
                <w:rFonts w:hint="eastAsia" w:asciiTheme="minorEastAsia" w:hAnsiTheme="minorEastAsia" w:eastAsiaTheme="minorEastAsia"/>
              </w:rPr>
              <w:t>汉芯牌</w:t>
            </w:r>
          </w:p>
          <w:p>
            <w:pPr>
              <w:jc w:val="center"/>
              <w:rPr>
                <w:rFonts w:asciiTheme="minorEastAsia" w:hAnsiTheme="minorEastAsia" w:eastAsiaTheme="minorEastAsia"/>
              </w:rPr>
            </w:pPr>
            <w:r>
              <w:rPr>
                <w:rFonts w:hint="eastAsia" w:asciiTheme="minorEastAsia" w:hAnsiTheme="minorEastAsia" w:eastAsiaTheme="minorEastAsia"/>
              </w:rPr>
              <w:t>浙江汉信光电股份有限公司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521" w:type="dxa"/>
            <w:vAlign w:val="center"/>
          </w:tcPr>
          <w:p>
            <w:pPr>
              <w:jc w:val="center"/>
              <w:rPr>
                <w:rFonts w:asciiTheme="minorEastAsia" w:hAnsiTheme="minorEastAsia" w:eastAsiaTheme="minorEastAsia"/>
              </w:rPr>
            </w:pPr>
            <w:r>
              <w:rPr>
                <w:rFonts w:hint="eastAsia" w:asciiTheme="minorEastAsia" w:hAnsiTheme="minorEastAsia" w:eastAsiaTheme="minorEastAsia"/>
              </w:rPr>
              <w:t>4</w:t>
            </w:r>
          </w:p>
        </w:tc>
        <w:tc>
          <w:tcPr>
            <w:tcW w:w="1739" w:type="dxa"/>
            <w:vAlign w:val="center"/>
          </w:tcPr>
          <w:p>
            <w:pPr>
              <w:jc w:val="center"/>
              <w:rPr>
                <w:rFonts w:asciiTheme="minorEastAsia" w:hAnsiTheme="minorEastAsia" w:eastAsiaTheme="minorEastAsia"/>
              </w:rPr>
            </w:pPr>
            <w:r>
              <w:rPr>
                <w:rFonts w:hint="eastAsia" w:asciiTheme="minorEastAsia" w:hAnsiTheme="minorEastAsia" w:eastAsiaTheme="minorEastAsia"/>
                <w:bCs/>
              </w:rPr>
              <w:t>12芯光缆（GYTS/GYTA）</w:t>
            </w:r>
          </w:p>
        </w:tc>
        <w:tc>
          <w:tcPr>
            <w:tcW w:w="709" w:type="dxa"/>
            <w:vAlign w:val="center"/>
          </w:tcPr>
          <w:p>
            <w:pPr>
              <w:jc w:val="center"/>
              <w:rPr>
                <w:rFonts w:asciiTheme="minorEastAsia" w:hAnsiTheme="minorEastAsia" w:eastAsiaTheme="minorEastAsia"/>
              </w:rPr>
            </w:pPr>
            <w:r>
              <w:rPr>
                <w:rFonts w:hint="eastAsia" w:asciiTheme="minorEastAsia" w:hAnsiTheme="minorEastAsia" w:eastAsiaTheme="minorEastAsia"/>
                <w:bCs/>
              </w:rPr>
              <w:t>KM</w:t>
            </w:r>
          </w:p>
        </w:tc>
        <w:tc>
          <w:tcPr>
            <w:tcW w:w="869" w:type="dxa"/>
            <w:vAlign w:val="center"/>
          </w:tcPr>
          <w:p>
            <w:pPr>
              <w:jc w:val="center"/>
              <w:rPr>
                <w:rFonts w:asciiTheme="minorEastAsia" w:hAnsiTheme="minorEastAsia" w:eastAsiaTheme="minorEastAsia"/>
              </w:rPr>
            </w:pPr>
            <w:r>
              <w:rPr>
                <w:rFonts w:hint="eastAsia" w:asciiTheme="minorEastAsia" w:hAnsiTheme="minorEastAsia" w:eastAsiaTheme="minorEastAsia"/>
              </w:rPr>
              <w:t>110</w:t>
            </w:r>
          </w:p>
        </w:tc>
        <w:tc>
          <w:tcPr>
            <w:tcW w:w="993"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2550元</w:t>
            </w:r>
          </w:p>
        </w:tc>
        <w:tc>
          <w:tcPr>
            <w:tcW w:w="1417"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280500.00元</w:t>
            </w:r>
          </w:p>
        </w:tc>
        <w:tc>
          <w:tcPr>
            <w:tcW w:w="1418" w:type="dxa"/>
            <w:vAlign w:val="center"/>
          </w:tcPr>
          <w:p>
            <w:pPr>
              <w:jc w:val="center"/>
              <w:rPr>
                <w:rFonts w:asciiTheme="minorEastAsia" w:hAnsiTheme="minorEastAsia" w:eastAsiaTheme="minorEastAsia"/>
              </w:rPr>
            </w:pPr>
            <w:r>
              <w:rPr>
                <w:rFonts w:hint="eastAsia" w:asciiTheme="minorEastAsia" w:hAnsiTheme="minorEastAsia" w:eastAsiaTheme="minorEastAsia"/>
              </w:rPr>
              <w:t>合同签订后20日内交付</w:t>
            </w:r>
          </w:p>
        </w:tc>
        <w:tc>
          <w:tcPr>
            <w:tcW w:w="1511" w:type="dxa"/>
            <w:vAlign w:val="center"/>
          </w:tcPr>
          <w:p>
            <w:pPr>
              <w:jc w:val="center"/>
              <w:rPr>
                <w:rFonts w:asciiTheme="minorEastAsia" w:hAnsiTheme="minorEastAsia" w:eastAsiaTheme="minorEastAsia"/>
              </w:rPr>
            </w:pPr>
            <w:r>
              <w:rPr>
                <w:rFonts w:hint="eastAsia" w:asciiTheme="minorEastAsia" w:hAnsiTheme="minorEastAsia" w:eastAsiaTheme="minorEastAsia"/>
              </w:rPr>
              <w:t>汉芯牌</w:t>
            </w:r>
          </w:p>
          <w:p>
            <w:pPr>
              <w:jc w:val="center"/>
              <w:rPr>
                <w:rFonts w:asciiTheme="minorEastAsia" w:hAnsiTheme="minorEastAsia" w:eastAsiaTheme="minorEastAsia"/>
              </w:rPr>
            </w:pPr>
            <w:r>
              <w:rPr>
                <w:rFonts w:hint="eastAsia" w:asciiTheme="minorEastAsia" w:hAnsiTheme="minorEastAsia" w:eastAsiaTheme="minorEastAsia"/>
              </w:rPr>
              <w:t>浙江汉信光电股份有限公司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521" w:type="dxa"/>
            <w:vAlign w:val="center"/>
          </w:tcPr>
          <w:p>
            <w:pPr>
              <w:jc w:val="center"/>
              <w:rPr>
                <w:rFonts w:asciiTheme="minorEastAsia" w:hAnsiTheme="minorEastAsia" w:eastAsiaTheme="minorEastAsia"/>
              </w:rPr>
            </w:pPr>
            <w:r>
              <w:rPr>
                <w:rFonts w:hint="eastAsia" w:asciiTheme="minorEastAsia" w:hAnsiTheme="minorEastAsia" w:eastAsiaTheme="minorEastAsia"/>
              </w:rPr>
              <w:t>5</w:t>
            </w:r>
          </w:p>
        </w:tc>
        <w:tc>
          <w:tcPr>
            <w:tcW w:w="1739" w:type="dxa"/>
            <w:vAlign w:val="center"/>
          </w:tcPr>
          <w:p>
            <w:pPr>
              <w:jc w:val="center"/>
              <w:rPr>
                <w:rFonts w:asciiTheme="minorEastAsia" w:hAnsiTheme="minorEastAsia" w:eastAsiaTheme="minorEastAsia"/>
                <w:bCs/>
              </w:rPr>
            </w:pPr>
            <w:r>
              <w:rPr>
                <w:rFonts w:hint="eastAsia" w:asciiTheme="minorEastAsia" w:hAnsiTheme="minorEastAsia" w:eastAsiaTheme="minorEastAsia"/>
                <w:bCs/>
              </w:rPr>
              <w:t>8芯光缆</w:t>
            </w:r>
          </w:p>
          <w:p>
            <w:pPr>
              <w:jc w:val="center"/>
              <w:rPr>
                <w:rFonts w:asciiTheme="minorEastAsia" w:hAnsiTheme="minorEastAsia" w:eastAsiaTheme="minorEastAsia"/>
              </w:rPr>
            </w:pPr>
            <w:r>
              <w:rPr>
                <w:rFonts w:hint="eastAsia" w:asciiTheme="minorEastAsia" w:hAnsiTheme="minorEastAsia" w:eastAsiaTheme="minorEastAsia"/>
                <w:bCs/>
              </w:rPr>
              <w:t>（GYXTW）</w:t>
            </w:r>
          </w:p>
        </w:tc>
        <w:tc>
          <w:tcPr>
            <w:tcW w:w="709" w:type="dxa"/>
            <w:vAlign w:val="center"/>
          </w:tcPr>
          <w:p>
            <w:pPr>
              <w:jc w:val="center"/>
              <w:rPr>
                <w:rFonts w:asciiTheme="minorEastAsia" w:hAnsiTheme="minorEastAsia" w:eastAsiaTheme="minorEastAsia"/>
              </w:rPr>
            </w:pPr>
            <w:r>
              <w:rPr>
                <w:rFonts w:hint="eastAsia" w:asciiTheme="minorEastAsia" w:hAnsiTheme="minorEastAsia" w:eastAsiaTheme="minorEastAsia"/>
                <w:bCs/>
              </w:rPr>
              <w:t>KM</w:t>
            </w:r>
          </w:p>
        </w:tc>
        <w:tc>
          <w:tcPr>
            <w:tcW w:w="869" w:type="dxa"/>
            <w:vAlign w:val="center"/>
          </w:tcPr>
          <w:p>
            <w:pPr>
              <w:jc w:val="center"/>
              <w:rPr>
                <w:rFonts w:asciiTheme="minorEastAsia" w:hAnsiTheme="minorEastAsia" w:eastAsiaTheme="minorEastAsia"/>
              </w:rPr>
            </w:pPr>
            <w:r>
              <w:rPr>
                <w:rFonts w:hint="eastAsia" w:asciiTheme="minorEastAsia" w:hAnsiTheme="minorEastAsia" w:eastAsiaTheme="minorEastAsia"/>
              </w:rPr>
              <w:t>120</w:t>
            </w:r>
          </w:p>
        </w:tc>
        <w:tc>
          <w:tcPr>
            <w:tcW w:w="993"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1950元</w:t>
            </w:r>
          </w:p>
        </w:tc>
        <w:tc>
          <w:tcPr>
            <w:tcW w:w="1417"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234000.00元</w:t>
            </w:r>
          </w:p>
        </w:tc>
        <w:tc>
          <w:tcPr>
            <w:tcW w:w="1418" w:type="dxa"/>
            <w:vAlign w:val="center"/>
          </w:tcPr>
          <w:p>
            <w:pPr>
              <w:jc w:val="center"/>
              <w:rPr>
                <w:rFonts w:asciiTheme="minorEastAsia" w:hAnsiTheme="minorEastAsia" w:eastAsiaTheme="minorEastAsia"/>
              </w:rPr>
            </w:pPr>
            <w:r>
              <w:rPr>
                <w:rFonts w:hint="eastAsia" w:asciiTheme="minorEastAsia" w:hAnsiTheme="minorEastAsia" w:eastAsiaTheme="minorEastAsia"/>
              </w:rPr>
              <w:t>合同签订后20日内交付</w:t>
            </w:r>
          </w:p>
        </w:tc>
        <w:tc>
          <w:tcPr>
            <w:tcW w:w="1511" w:type="dxa"/>
            <w:vAlign w:val="center"/>
          </w:tcPr>
          <w:p>
            <w:pPr>
              <w:jc w:val="center"/>
              <w:rPr>
                <w:rFonts w:asciiTheme="minorEastAsia" w:hAnsiTheme="minorEastAsia" w:eastAsiaTheme="minorEastAsia"/>
              </w:rPr>
            </w:pPr>
            <w:r>
              <w:rPr>
                <w:rFonts w:hint="eastAsia" w:asciiTheme="minorEastAsia" w:hAnsiTheme="minorEastAsia" w:eastAsiaTheme="minorEastAsia"/>
              </w:rPr>
              <w:t>汉芯牌</w:t>
            </w:r>
          </w:p>
          <w:p>
            <w:pPr>
              <w:jc w:val="center"/>
              <w:rPr>
                <w:rFonts w:asciiTheme="minorEastAsia" w:hAnsiTheme="minorEastAsia" w:eastAsiaTheme="minorEastAsia"/>
              </w:rPr>
            </w:pPr>
            <w:r>
              <w:rPr>
                <w:rFonts w:hint="eastAsia" w:asciiTheme="minorEastAsia" w:hAnsiTheme="minorEastAsia" w:eastAsiaTheme="minorEastAsia"/>
              </w:rPr>
              <w:t>浙江汉信光电股份有限公司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521" w:type="dxa"/>
            <w:vAlign w:val="center"/>
          </w:tcPr>
          <w:p>
            <w:pPr>
              <w:jc w:val="center"/>
              <w:rPr>
                <w:rFonts w:asciiTheme="minorEastAsia" w:hAnsiTheme="minorEastAsia" w:eastAsiaTheme="minorEastAsia"/>
              </w:rPr>
            </w:pPr>
            <w:r>
              <w:rPr>
                <w:rFonts w:hint="eastAsia" w:asciiTheme="minorEastAsia" w:hAnsiTheme="minorEastAsia" w:eastAsiaTheme="minorEastAsia"/>
              </w:rPr>
              <w:t>6</w:t>
            </w:r>
          </w:p>
        </w:tc>
        <w:tc>
          <w:tcPr>
            <w:tcW w:w="1739" w:type="dxa"/>
            <w:vAlign w:val="center"/>
          </w:tcPr>
          <w:p>
            <w:pPr>
              <w:jc w:val="center"/>
              <w:rPr>
                <w:rFonts w:asciiTheme="minorEastAsia" w:hAnsiTheme="minorEastAsia" w:eastAsiaTheme="minorEastAsia"/>
                <w:bCs/>
              </w:rPr>
            </w:pPr>
            <w:r>
              <w:rPr>
                <w:rFonts w:hint="eastAsia" w:asciiTheme="minorEastAsia" w:hAnsiTheme="minorEastAsia" w:eastAsiaTheme="minorEastAsia"/>
                <w:bCs/>
              </w:rPr>
              <w:t>4芯光缆</w:t>
            </w:r>
          </w:p>
          <w:p>
            <w:pPr>
              <w:jc w:val="center"/>
              <w:rPr>
                <w:rFonts w:asciiTheme="minorEastAsia" w:hAnsiTheme="minorEastAsia" w:eastAsiaTheme="minorEastAsia"/>
              </w:rPr>
            </w:pPr>
            <w:r>
              <w:rPr>
                <w:rFonts w:hint="eastAsia" w:asciiTheme="minorEastAsia" w:hAnsiTheme="minorEastAsia" w:eastAsiaTheme="minorEastAsia"/>
                <w:bCs/>
              </w:rPr>
              <w:t>(GYXTW)</w:t>
            </w:r>
          </w:p>
        </w:tc>
        <w:tc>
          <w:tcPr>
            <w:tcW w:w="709" w:type="dxa"/>
            <w:vAlign w:val="center"/>
          </w:tcPr>
          <w:p>
            <w:pPr>
              <w:jc w:val="center"/>
              <w:rPr>
                <w:rFonts w:asciiTheme="minorEastAsia" w:hAnsiTheme="minorEastAsia" w:eastAsiaTheme="minorEastAsia"/>
              </w:rPr>
            </w:pPr>
            <w:r>
              <w:rPr>
                <w:rFonts w:hint="eastAsia" w:asciiTheme="minorEastAsia" w:hAnsiTheme="minorEastAsia" w:eastAsiaTheme="minorEastAsia"/>
                <w:bCs/>
              </w:rPr>
              <w:t>KM</w:t>
            </w:r>
          </w:p>
        </w:tc>
        <w:tc>
          <w:tcPr>
            <w:tcW w:w="869" w:type="dxa"/>
            <w:vAlign w:val="center"/>
          </w:tcPr>
          <w:p>
            <w:pPr>
              <w:jc w:val="center"/>
              <w:rPr>
                <w:rFonts w:asciiTheme="minorEastAsia" w:hAnsiTheme="minorEastAsia" w:eastAsiaTheme="minorEastAsia"/>
              </w:rPr>
            </w:pPr>
            <w:r>
              <w:rPr>
                <w:rFonts w:hint="eastAsia" w:asciiTheme="minorEastAsia" w:hAnsiTheme="minorEastAsia" w:eastAsiaTheme="minorEastAsia"/>
              </w:rPr>
              <w:t>170</w:t>
            </w:r>
          </w:p>
        </w:tc>
        <w:tc>
          <w:tcPr>
            <w:tcW w:w="993"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1660元</w:t>
            </w:r>
          </w:p>
        </w:tc>
        <w:tc>
          <w:tcPr>
            <w:tcW w:w="1417"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282200.00元</w:t>
            </w:r>
          </w:p>
        </w:tc>
        <w:tc>
          <w:tcPr>
            <w:tcW w:w="1418" w:type="dxa"/>
            <w:vAlign w:val="center"/>
          </w:tcPr>
          <w:p>
            <w:pPr>
              <w:jc w:val="center"/>
              <w:rPr>
                <w:rFonts w:asciiTheme="minorEastAsia" w:hAnsiTheme="minorEastAsia" w:eastAsiaTheme="minorEastAsia"/>
              </w:rPr>
            </w:pPr>
            <w:r>
              <w:rPr>
                <w:rFonts w:hint="eastAsia" w:asciiTheme="minorEastAsia" w:hAnsiTheme="minorEastAsia" w:eastAsiaTheme="minorEastAsia"/>
              </w:rPr>
              <w:t>合同签订后20日内交付</w:t>
            </w:r>
          </w:p>
        </w:tc>
        <w:tc>
          <w:tcPr>
            <w:tcW w:w="1511" w:type="dxa"/>
            <w:vAlign w:val="center"/>
          </w:tcPr>
          <w:p>
            <w:pPr>
              <w:jc w:val="center"/>
              <w:rPr>
                <w:rFonts w:asciiTheme="minorEastAsia" w:hAnsiTheme="minorEastAsia" w:eastAsiaTheme="minorEastAsia"/>
              </w:rPr>
            </w:pPr>
            <w:r>
              <w:rPr>
                <w:rFonts w:hint="eastAsia" w:asciiTheme="minorEastAsia" w:hAnsiTheme="minorEastAsia" w:eastAsiaTheme="minorEastAsia"/>
              </w:rPr>
              <w:t>汉芯牌</w:t>
            </w:r>
          </w:p>
          <w:p>
            <w:pPr>
              <w:jc w:val="center"/>
              <w:rPr>
                <w:rFonts w:asciiTheme="minorEastAsia" w:hAnsiTheme="minorEastAsia" w:eastAsiaTheme="minorEastAsia"/>
              </w:rPr>
            </w:pPr>
            <w:r>
              <w:rPr>
                <w:rFonts w:hint="eastAsia" w:asciiTheme="minorEastAsia" w:hAnsiTheme="minorEastAsia" w:eastAsiaTheme="minorEastAsia"/>
              </w:rPr>
              <w:t>浙江汉信光电股份有限公司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521" w:type="dxa"/>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7</w:t>
            </w:r>
          </w:p>
        </w:tc>
        <w:tc>
          <w:tcPr>
            <w:tcW w:w="8656" w:type="dxa"/>
            <w:gridSpan w:val="7"/>
            <w:vAlign w:val="center"/>
          </w:tcPr>
          <w:p>
            <w:pPr>
              <w:jc w:val="center"/>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合计：大写：壹佰肆拾叁万玖仟壹佰元整  小写：</w:t>
            </w:r>
            <w:r>
              <w:rPr>
                <w:rFonts w:hint="eastAsia"/>
                <w:lang w:val="en-US" w:eastAsia="zh-CN"/>
              </w:rPr>
              <w:t>1439100.00元</w:t>
            </w:r>
          </w:p>
        </w:tc>
      </w:tr>
    </w:tbl>
    <w:p/>
    <w:p/>
    <w:p>
      <w:pPr>
        <w:spacing w:line="400" w:lineRule="exact"/>
        <w:rPr>
          <w:rFonts w:hint="eastAsia" w:asciiTheme="minorEastAsia" w:hAnsiTheme="minorEastAsia" w:eastAsiaTheme="minorEastAsia"/>
          <w:u w:val="single"/>
        </w:rPr>
      </w:pPr>
      <w:r>
        <w:rPr>
          <w:rFonts w:hint="eastAsia" w:asciiTheme="minorEastAsia" w:hAnsiTheme="minorEastAsia" w:eastAsiaTheme="minorEastAsia"/>
        </w:rPr>
        <w:t>投标人（盖单位公章）：浙江汉信光电股份有限公司</w:t>
      </w:r>
    </w:p>
    <w:p>
      <w:pPr>
        <w:spacing w:line="400" w:lineRule="exact"/>
        <w:rPr>
          <w:rFonts w:asciiTheme="minorEastAsia" w:hAnsiTheme="minorEastAsia" w:eastAsiaTheme="minorEastAsia"/>
        </w:rPr>
      </w:pPr>
      <w:r>
        <w:rPr>
          <w:rFonts w:hint="eastAsia" w:asciiTheme="minorEastAsia" w:hAnsiTheme="minorEastAsia" w:eastAsiaTheme="minorEastAsia"/>
        </w:rPr>
        <w:t>法定代表人或其委托代理人：                 （签字）</w:t>
      </w:r>
    </w:p>
    <w:p>
      <w:pPr>
        <w:spacing w:line="400" w:lineRule="exact"/>
        <w:rPr>
          <w:rFonts w:asciiTheme="minorEastAsia" w:hAnsiTheme="minorEastAsia" w:eastAsiaTheme="minorEastAsia"/>
        </w:rPr>
      </w:pPr>
      <w:r>
        <w:rPr>
          <w:rFonts w:hint="eastAsia" w:asciiTheme="minorEastAsia" w:hAnsiTheme="minorEastAsia" w:eastAsiaTheme="minorEastAsia"/>
        </w:rPr>
        <w:t>时间：2018年08月06日</w:t>
      </w:r>
    </w:p>
    <w:p>
      <w:pPr>
        <w:spacing w:line="400" w:lineRule="exact"/>
        <w:rPr>
          <w:rFonts w:asciiTheme="minorEastAsia" w:hAnsiTheme="minorEastAsia" w:eastAsiaTheme="minorEastAsia"/>
        </w:rPr>
      </w:pPr>
    </w:p>
    <w:p>
      <w:pPr>
        <w:widowControl/>
        <w:tabs>
          <w:tab w:val="left" w:pos="2300"/>
          <w:tab w:val="center" w:pos="4365"/>
        </w:tabs>
        <w:jc w:val="center"/>
        <w:rPr>
          <w:rFonts w:hint="eastAsia" w:ascii="宋体" w:hAnsi="宋体"/>
          <w:b/>
          <w:bCs/>
          <w:sz w:val="24"/>
          <w:szCs w:val="24"/>
        </w:rPr>
      </w:pPr>
    </w:p>
    <w:p>
      <w:pPr>
        <w:widowControl/>
        <w:tabs>
          <w:tab w:val="left" w:pos="2300"/>
          <w:tab w:val="center" w:pos="4365"/>
        </w:tabs>
        <w:jc w:val="center"/>
        <w:rPr>
          <w:rFonts w:hint="eastAsia" w:ascii="宋体" w:hAnsi="宋体"/>
          <w:b/>
          <w:bCs/>
          <w:sz w:val="24"/>
          <w:szCs w:val="24"/>
        </w:rPr>
      </w:pPr>
    </w:p>
    <w:p>
      <w:pPr>
        <w:widowControl/>
        <w:tabs>
          <w:tab w:val="left" w:pos="2300"/>
          <w:tab w:val="center" w:pos="4365"/>
        </w:tabs>
        <w:jc w:val="center"/>
        <w:rPr>
          <w:rFonts w:hint="eastAsia" w:ascii="宋体" w:hAnsi="宋体"/>
          <w:b/>
          <w:bCs/>
          <w:sz w:val="24"/>
          <w:szCs w:val="24"/>
        </w:rPr>
      </w:pPr>
    </w:p>
    <w:p>
      <w:pPr>
        <w:widowControl/>
        <w:tabs>
          <w:tab w:val="left" w:pos="2300"/>
          <w:tab w:val="center" w:pos="4365"/>
        </w:tabs>
        <w:jc w:val="center"/>
        <w:rPr>
          <w:rFonts w:hint="eastAsia" w:ascii="宋体" w:hAnsi="宋体"/>
          <w:b/>
          <w:bCs/>
          <w:sz w:val="24"/>
          <w:szCs w:val="24"/>
        </w:rPr>
      </w:pPr>
    </w:p>
    <w:p>
      <w:pPr>
        <w:widowControl/>
        <w:tabs>
          <w:tab w:val="left" w:pos="2300"/>
          <w:tab w:val="center" w:pos="4365"/>
        </w:tabs>
        <w:jc w:val="center"/>
        <w:rPr>
          <w:rFonts w:hint="eastAsia" w:ascii="宋体" w:hAnsi="宋体"/>
          <w:b/>
          <w:bCs/>
          <w:sz w:val="24"/>
          <w:szCs w:val="24"/>
        </w:rPr>
      </w:pPr>
    </w:p>
    <w:p>
      <w:pPr>
        <w:widowControl/>
        <w:tabs>
          <w:tab w:val="left" w:pos="2300"/>
          <w:tab w:val="center" w:pos="4365"/>
        </w:tabs>
        <w:jc w:val="center"/>
        <w:rPr>
          <w:rFonts w:hint="eastAsia" w:ascii="宋体" w:hAnsi="宋体"/>
          <w:b/>
          <w:bCs/>
          <w:sz w:val="24"/>
          <w:szCs w:val="24"/>
        </w:rPr>
      </w:pPr>
    </w:p>
    <w:p>
      <w:pPr>
        <w:widowControl/>
        <w:tabs>
          <w:tab w:val="left" w:pos="2300"/>
          <w:tab w:val="center" w:pos="4365"/>
        </w:tabs>
        <w:jc w:val="center"/>
        <w:rPr>
          <w:rFonts w:hint="eastAsia" w:ascii="宋体" w:hAnsi="宋体"/>
          <w:b/>
          <w:bCs/>
          <w:sz w:val="24"/>
          <w:szCs w:val="24"/>
        </w:rPr>
      </w:pPr>
    </w:p>
    <w:p>
      <w:pPr>
        <w:widowControl/>
        <w:tabs>
          <w:tab w:val="left" w:pos="2300"/>
          <w:tab w:val="center" w:pos="4365"/>
        </w:tabs>
        <w:jc w:val="center"/>
        <w:rPr>
          <w:rFonts w:ascii="宋体" w:hAnsi="宋体"/>
          <w:b/>
          <w:bCs/>
          <w:sz w:val="24"/>
          <w:szCs w:val="24"/>
        </w:rPr>
      </w:pPr>
      <w:r>
        <w:rPr>
          <w:rFonts w:hint="eastAsia" w:ascii="宋体" w:hAnsi="宋体"/>
          <w:b/>
          <w:bCs/>
          <w:sz w:val="24"/>
          <w:szCs w:val="24"/>
        </w:rPr>
        <w:t>（六）服务承诺</w:t>
      </w:r>
    </w:p>
    <w:p>
      <w:pPr>
        <w:spacing w:line="400" w:lineRule="exact"/>
        <w:rPr>
          <w:rFonts w:hint="eastAsia" w:asciiTheme="minorEastAsia" w:hAnsiTheme="minorEastAsia" w:eastAsiaTheme="minorEastAsia"/>
          <w:sz w:val="22"/>
          <w:szCs w:val="20"/>
        </w:rPr>
      </w:pPr>
    </w:p>
    <w:p>
      <w:pPr>
        <w:spacing w:line="400" w:lineRule="exact"/>
        <w:rPr>
          <w:rFonts w:asciiTheme="minorEastAsia" w:hAnsiTheme="minorEastAsia" w:eastAsiaTheme="minorEastAsia"/>
          <w:sz w:val="22"/>
          <w:szCs w:val="20"/>
        </w:rPr>
      </w:pPr>
      <w:r>
        <w:rPr>
          <w:rFonts w:hint="eastAsia" w:asciiTheme="minorEastAsia" w:hAnsiTheme="minorEastAsia" w:eastAsiaTheme="minorEastAsia"/>
          <w:sz w:val="22"/>
          <w:szCs w:val="20"/>
        </w:rPr>
        <w:t>1、保修年限、范围、保修条件</w:t>
      </w:r>
    </w:p>
    <w:p>
      <w:pPr>
        <w:spacing w:line="400" w:lineRule="exact"/>
        <w:ind w:firstLine="660" w:firstLineChars="300"/>
        <w:rPr>
          <w:rFonts w:asciiTheme="minorEastAsia" w:hAnsiTheme="minorEastAsia" w:eastAsiaTheme="minorEastAsia"/>
          <w:sz w:val="22"/>
          <w:szCs w:val="20"/>
        </w:rPr>
      </w:pPr>
      <w:r>
        <w:rPr>
          <w:rFonts w:hint="eastAsia" w:asciiTheme="minorEastAsia" w:hAnsiTheme="minorEastAsia" w:eastAsiaTheme="minorEastAsia"/>
          <w:sz w:val="22"/>
          <w:szCs w:val="20"/>
        </w:rPr>
        <w:t>①我方承诺：在材料、设备到货后，如贵方需要，我们将安排合格工程技术人员到施工现场指导安装，并提供产品安装的一切技术支持，配合贵单位进行产品的检验（或使用试验），并对产品质量全面负责，所发生的费用已包含在合同总价中。我方接受贵方委派的监理工程师的监督和管理。</w:t>
      </w:r>
    </w:p>
    <w:p>
      <w:pPr>
        <w:spacing w:line="400" w:lineRule="exact"/>
        <w:ind w:firstLine="660" w:firstLineChars="300"/>
        <w:rPr>
          <w:rFonts w:asciiTheme="minorEastAsia" w:hAnsiTheme="minorEastAsia" w:eastAsiaTheme="minorEastAsia"/>
          <w:sz w:val="22"/>
          <w:szCs w:val="20"/>
        </w:rPr>
      </w:pPr>
      <w:r>
        <w:rPr>
          <w:rFonts w:hint="eastAsia" w:asciiTheme="minorEastAsia" w:hAnsiTheme="minorEastAsia" w:eastAsiaTheme="minorEastAsia"/>
          <w:sz w:val="22"/>
          <w:szCs w:val="20"/>
        </w:rPr>
        <w:t>②因产品的质量问题发生争议，由法定质量检验机构进行质量鉴定，产品符合质量标准的，鉴定费由贵方承担；不符合质量标准的，鉴定费由我方承担；</w:t>
      </w:r>
    </w:p>
    <w:p>
      <w:pPr>
        <w:spacing w:line="400" w:lineRule="exact"/>
        <w:ind w:firstLine="660" w:firstLineChars="300"/>
        <w:rPr>
          <w:rFonts w:asciiTheme="minorEastAsia" w:hAnsiTheme="minorEastAsia" w:eastAsiaTheme="minorEastAsia"/>
          <w:sz w:val="22"/>
          <w:szCs w:val="20"/>
        </w:rPr>
      </w:pPr>
      <w:r>
        <w:rPr>
          <w:rFonts w:hint="eastAsia" w:asciiTheme="minorEastAsia" w:hAnsiTheme="minorEastAsia" w:eastAsiaTheme="minorEastAsia"/>
          <w:sz w:val="22"/>
          <w:szCs w:val="20"/>
        </w:rPr>
        <w:t>③我方承诺对我公司对所提供的</w:t>
      </w:r>
      <w:r>
        <w:rPr>
          <w:rFonts w:hint="eastAsia" w:asciiTheme="minorEastAsia" w:hAnsiTheme="minorEastAsia" w:eastAsiaTheme="minorEastAsia"/>
          <w:b/>
          <w:sz w:val="22"/>
          <w:szCs w:val="20"/>
        </w:rPr>
        <w:t>光缆使用寿命30年</w:t>
      </w:r>
      <w:r>
        <w:rPr>
          <w:rFonts w:hint="eastAsia" w:asciiTheme="minorEastAsia" w:hAnsiTheme="minorEastAsia" w:eastAsiaTheme="minorEastAsia"/>
          <w:sz w:val="22"/>
          <w:szCs w:val="20"/>
        </w:rPr>
        <w:t>。</w:t>
      </w:r>
      <w:r>
        <w:rPr>
          <w:rFonts w:hint="eastAsia" w:asciiTheme="minorEastAsia" w:hAnsiTheme="minorEastAsia" w:eastAsiaTheme="minorEastAsia"/>
          <w:b/>
          <w:sz w:val="22"/>
          <w:szCs w:val="20"/>
        </w:rPr>
        <w:t>产品实行质量三包（包退、包换、包修）</w:t>
      </w:r>
      <w:r>
        <w:rPr>
          <w:rFonts w:hint="eastAsia" w:asciiTheme="minorEastAsia" w:hAnsiTheme="minorEastAsia" w:eastAsiaTheme="minorEastAsia"/>
          <w:sz w:val="22"/>
          <w:szCs w:val="20"/>
        </w:rPr>
        <w:t>，</w:t>
      </w:r>
      <w:r>
        <w:rPr>
          <w:rFonts w:hint="eastAsia" w:asciiTheme="minorEastAsia" w:hAnsiTheme="minorEastAsia" w:eastAsiaTheme="minorEastAsia"/>
          <w:b/>
          <w:sz w:val="22"/>
          <w:szCs w:val="20"/>
        </w:rPr>
        <w:t>质保期为5年</w:t>
      </w:r>
      <w:r>
        <w:rPr>
          <w:rFonts w:hint="eastAsia" w:asciiTheme="minorEastAsia" w:hAnsiTheme="minorEastAsia" w:eastAsiaTheme="minorEastAsia"/>
          <w:sz w:val="22"/>
          <w:szCs w:val="20"/>
        </w:rPr>
        <w:t>。若在质保期内因货物本身的质量问题发生故障，我公司负责免费更换或负责修理。</w:t>
      </w:r>
    </w:p>
    <w:p>
      <w:pPr>
        <w:spacing w:line="400" w:lineRule="exact"/>
        <w:ind w:firstLine="660" w:firstLineChars="300"/>
        <w:rPr>
          <w:rFonts w:asciiTheme="minorEastAsia" w:hAnsiTheme="minorEastAsia" w:eastAsiaTheme="minorEastAsia"/>
          <w:sz w:val="22"/>
          <w:szCs w:val="20"/>
        </w:rPr>
      </w:pPr>
      <w:r>
        <w:rPr>
          <w:rFonts w:hint="eastAsia" w:asciiTheme="minorEastAsia" w:hAnsiTheme="minorEastAsia" w:eastAsiaTheme="minorEastAsia"/>
          <w:sz w:val="22"/>
          <w:szCs w:val="20"/>
        </w:rPr>
        <w:t>④其它售后服务承诺：设备到货验收合格后，我方的技术人员将对贵公司和最终买方的技术人员进行现场免费培训，向贵公司和最终买方讲授说明各种设备的安装、保养和应该注意的事项，使贵公司和最终买方能够尽快地熟悉设备的性能和使用。</w:t>
      </w:r>
    </w:p>
    <w:p>
      <w:pPr>
        <w:spacing w:line="400" w:lineRule="exact"/>
        <w:rPr>
          <w:rFonts w:asciiTheme="minorEastAsia" w:hAnsiTheme="minorEastAsia" w:eastAsiaTheme="minorEastAsia"/>
          <w:sz w:val="22"/>
          <w:szCs w:val="20"/>
        </w:rPr>
      </w:pPr>
    </w:p>
    <w:p>
      <w:pPr>
        <w:spacing w:line="400" w:lineRule="exact"/>
        <w:rPr>
          <w:rFonts w:asciiTheme="minorEastAsia" w:hAnsiTheme="minorEastAsia" w:eastAsiaTheme="minorEastAsia"/>
          <w:sz w:val="22"/>
          <w:szCs w:val="20"/>
        </w:rPr>
      </w:pPr>
      <w:r>
        <w:rPr>
          <w:rFonts w:hint="eastAsia" w:asciiTheme="minorEastAsia" w:hAnsiTheme="minorEastAsia" w:eastAsiaTheme="minorEastAsia"/>
          <w:sz w:val="22"/>
          <w:szCs w:val="20"/>
        </w:rPr>
        <w:t>2、解决问题、排除故障的速度</w:t>
      </w:r>
    </w:p>
    <w:p>
      <w:pPr>
        <w:spacing w:line="400" w:lineRule="exact"/>
        <w:ind w:firstLine="660" w:firstLineChars="300"/>
        <w:jc w:val="left"/>
        <w:rPr>
          <w:rFonts w:asciiTheme="minorEastAsia" w:hAnsiTheme="minorEastAsia" w:eastAsiaTheme="minorEastAsia"/>
          <w:sz w:val="22"/>
          <w:szCs w:val="20"/>
        </w:rPr>
      </w:pPr>
      <w:r>
        <w:rPr>
          <w:rFonts w:hint="eastAsia" w:asciiTheme="minorEastAsia" w:hAnsiTheme="minorEastAsia" w:eastAsiaTheme="minorEastAsia"/>
          <w:sz w:val="22"/>
          <w:szCs w:val="20"/>
        </w:rPr>
        <w:t>①本公司在河南设有售后服务网点，有专职人员接待，为贵单位提供优质、周到的服务：</w:t>
      </w:r>
    </w:p>
    <w:p>
      <w:pPr>
        <w:spacing w:line="400" w:lineRule="exact"/>
        <w:ind w:left="-2" w:leftChars="-1" w:firstLine="330" w:firstLineChars="150"/>
        <w:jc w:val="left"/>
        <w:rPr>
          <w:rFonts w:hint="eastAsia" w:asciiTheme="minorEastAsia" w:hAnsiTheme="minorEastAsia" w:eastAsiaTheme="minorEastAsia"/>
          <w:sz w:val="22"/>
          <w:szCs w:val="20"/>
          <w:u w:val="single"/>
        </w:rPr>
      </w:pPr>
      <w:r>
        <w:rPr>
          <w:rFonts w:hint="eastAsia" w:asciiTheme="minorEastAsia" w:hAnsiTheme="minorEastAsia" w:eastAsiaTheme="minorEastAsia"/>
          <w:sz w:val="22"/>
          <w:szCs w:val="20"/>
        </w:rPr>
        <w:t>联系人：</w:t>
      </w:r>
      <w:r>
        <w:rPr>
          <w:rFonts w:hint="eastAsia" w:asciiTheme="minorEastAsia" w:hAnsiTheme="minorEastAsia" w:eastAsiaTheme="minorEastAsia"/>
          <w:sz w:val="22"/>
          <w:szCs w:val="20"/>
          <w:u w:val="single"/>
        </w:rPr>
        <w:t xml:space="preserve">   马成龙   </w:t>
      </w:r>
      <w:r>
        <w:rPr>
          <w:rFonts w:hint="eastAsia" w:asciiTheme="minorEastAsia" w:hAnsiTheme="minorEastAsia" w:eastAsiaTheme="minorEastAsia"/>
          <w:sz w:val="22"/>
          <w:szCs w:val="20"/>
        </w:rPr>
        <w:t xml:space="preserve">    联系电话：</w:t>
      </w:r>
      <w:r>
        <w:rPr>
          <w:rFonts w:hint="eastAsia" w:asciiTheme="minorEastAsia" w:hAnsiTheme="minorEastAsia" w:eastAsiaTheme="minorEastAsia"/>
          <w:sz w:val="22"/>
          <w:szCs w:val="20"/>
          <w:u w:val="single"/>
        </w:rPr>
        <w:t xml:space="preserve">   135139890180   </w:t>
      </w:r>
    </w:p>
    <w:p>
      <w:pPr>
        <w:spacing w:line="400" w:lineRule="exact"/>
        <w:ind w:firstLine="660" w:firstLineChars="300"/>
        <w:jc w:val="left"/>
        <w:rPr>
          <w:rFonts w:asciiTheme="minorEastAsia" w:hAnsiTheme="minorEastAsia" w:eastAsiaTheme="minorEastAsia"/>
          <w:sz w:val="22"/>
          <w:szCs w:val="20"/>
        </w:rPr>
      </w:pPr>
      <w:r>
        <w:rPr>
          <w:rFonts w:hint="eastAsia" w:asciiTheme="minorEastAsia" w:hAnsiTheme="minorEastAsia" w:eastAsiaTheme="minorEastAsia"/>
          <w:sz w:val="22"/>
          <w:szCs w:val="20"/>
        </w:rPr>
        <w:t>②本公司客户电话7*24小时技术支持，贵公司在产品使用中不论何种原因造成的故障，不论责任原因，本公司在接到贵公司要求修复的通知后，会在最短时间内派专人维修，如不能及时解决则免费提供设备供贵公司使用。</w:t>
      </w:r>
    </w:p>
    <w:p>
      <w:pPr>
        <w:spacing w:line="400" w:lineRule="exact"/>
        <w:ind w:firstLine="660" w:firstLineChars="300"/>
        <w:jc w:val="left"/>
        <w:rPr>
          <w:rFonts w:asciiTheme="minorEastAsia" w:hAnsiTheme="minorEastAsia" w:eastAsiaTheme="minorEastAsia"/>
          <w:sz w:val="22"/>
          <w:szCs w:val="20"/>
        </w:rPr>
      </w:pPr>
      <w:r>
        <w:rPr>
          <w:rFonts w:hint="eastAsia" w:asciiTheme="minorEastAsia" w:hAnsiTheme="minorEastAsia" w:eastAsiaTheme="minorEastAsia"/>
          <w:sz w:val="22"/>
          <w:szCs w:val="20"/>
        </w:rPr>
        <w:t>③接收到用户任何信息，即时响应，在3小时内赶至现场提供维修服务，一般问题在12小时内解决，严重故障在24小时内解决，若无法解决我方将提供光缆更换服务。否则买方有权要求我方给予赔偿，其计算方法是：从接到买方故障通知36小时</w:t>
      </w:r>
      <w:r>
        <w:rPr>
          <w:rFonts w:hint="eastAsia" w:asciiTheme="minorEastAsia" w:hAnsiTheme="minorEastAsia" w:eastAsiaTheme="minorEastAsia"/>
          <w:color w:val="000000"/>
          <w:sz w:val="22"/>
          <w:szCs w:val="20"/>
        </w:rPr>
        <w:t>起</w:t>
      </w:r>
      <w:r>
        <w:rPr>
          <w:rFonts w:hint="eastAsia" w:asciiTheme="minorEastAsia" w:hAnsiTheme="minorEastAsia" w:eastAsiaTheme="minorEastAsia"/>
          <w:sz w:val="22"/>
          <w:szCs w:val="20"/>
        </w:rPr>
        <w:t>，每延迟18小时（不足18小时按18小时计），我公司赔偿给买方质保金2%-5%的金额。</w:t>
      </w:r>
    </w:p>
    <w:p>
      <w:pPr>
        <w:spacing w:line="400" w:lineRule="exact"/>
        <w:ind w:left="323" w:leftChars="154" w:firstLine="440" w:firstLineChars="200"/>
        <w:jc w:val="left"/>
        <w:rPr>
          <w:rFonts w:asciiTheme="minorEastAsia" w:hAnsiTheme="minorEastAsia" w:eastAsiaTheme="minorEastAsia"/>
          <w:sz w:val="22"/>
          <w:szCs w:val="20"/>
        </w:rPr>
      </w:pPr>
      <w:r>
        <w:rPr>
          <w:rFonts w:hint="eastAsia" w:asciiTheme="minorEastAsia" w:hAnsiTheme="minorEastAsia" w:eastAsiaTheme="minorEastAsia"/>
          <w:sz w:val="22"/>
          <w:szCs w:val="20"/>
        </w:rPr>
        <w:t>④我公司以“制造一流产品、提供一流服务”为企业的核心精神，大力加强全员服务意识，以全心全意满足客户需求为企业发展的唯一宗旨，使自身的服务质量不断迈向新的台阶。我公司客户服务中心将为客户提供各种优质的服务，不断改进服务质量从而提高用户满意度，为实现贵公司提供优质的服务。</w:t>
      </w:r>
    </w:p>
    <w:p>
      <w:pPr>
        <w:spacing w:line="400" w:lineRule="exact"/>
        <w:rPr>
          <w:rFonts w:asciiTheme="minorEastAsia" w:hAnsiTheme="minorEastAsia" w:eastAsiaTheme="minorEastAsia"/>
          <w:sz w:val="22"/>
          <w:szCs w:val="20"/>
        </w:rPr>
      </w:pPr>
    </w:p>
    <w:p>
      <w:pPr>
        <w:spacing w:line="400" w:lineRule="exact"/>
        <w:rPr>
          <w:rFonts w:asciiTheme="minorEastAsia" w:hAnsiTheme="minorEastAsia" w:eastAsiaTheme="minorEastAsia"/>
          <w:sz w:val="22"/>
          <w:szCs w:val="20"/>
        </w:rPr>
      </w:pPr>
      <w:r>
        <w:rPr>
          <w:rFonts w:hint="eastAsia" w:asciiTheme="minorEastAsia" w:hAnsiTheme="minorEastAsia" w:eastAsiaTheme="minorEastAsia"/>
          <w:sz w:val="22"/>
          <w:szCs w:val="20"/>
        </w:rPr>
        <w:t>3、设备使用的培训、指导</w:t>
      </w:r>
    </w:p>
    <w:p>
      <w:pPr>
        <w:spacing w:line="400" w:lineRule="exact"/>
        <w:ind w:firstLine="721" w:firstLineChars="328"/>
        <w:rPr>
          <w:rFonts w:asciiTheme="minorEastAsia" w:hAnsiTheme="minorEastAsia" w:eastAsiaTheme="minorEastAsia"/>
          <w:sz w:val="22"/>
          <w:szCs w:val="20"/>
        </w:rPr>
      </w:pPr>
      <w:r>
        <w:rPr>
          <w:rFonts w:hint="eastAsia" w:asciiTheme="minorEastAsia" w:hAnsiTheme="minorEastAsia" w:eastAsiaTheme="minorEastAsia"/>
          <w:sz w:val="22"/>
          <w:szCs w:val="20"/>
        </w:rPr>
        <w:t>设备到货验收合格后，我方的技术人员将对贵公司和最终买方的技术人员进行现场免费培训，向贵公司和最终买方讲授说明各种设备的安装、保养和应该注意的事项，使贵公司和最终买方能够尽快地熟悉设备的性能和使用。</w:t>
      </w:r>
    </w:p>
    <w:p>
      <w:pPr>
        <w:spacing w:line="400" w:lineRule="exact"/>
        <w:ind w:firstLine="480"/>
        <w:rPr>
          <w:rFonts w:asciiTheme="minorEastAsia" w:hAnsiTheme="minorEastAsia" w:eastAsiaTheme="minorEastAsia"/>
          <w:sz w:val="22"/>
          <w:szCs w:val="20"/>
        </w:rPr>
      </w:pPr>
    </w:p>
    <w:p>
      <w:pPr>
        <w:spacing w:line="400" w:lineRule="exact"/>
        <w:rPr>
          <w:rFonts w:asciiTheme="minorEastAsia" w:hAnsiTheme="minorEastAsia" w:eastAsiaTheme="minorEastAsia"/>
          <w:sz w:val="22"/>
          <w:szCs w:val="20"/>
        </w:rPr>
      </w:pPr>
      <w:r>
        <w:rPr>
          <w:rFonts w:hint="eastAsia" w:asciiTheme="minorEastAsia" w:hAnsiTheme="minorEastAsia" w:eastAsiaTheme="minorEastAsia"/>
          <w:sz w:val="22"/>
          <w:szCs w:val="20"/>
        </w:rPr>
        <w:t>4、售后服务方面的其他承诺（安装、定期巡检等）</w:t>
      </w:r>
    </w:p>
    <w:p>
      <w:pPr>
        <w:spacing w:line="400" w:lineRule="exact"/>
        <w:ind w:firstLine="550" w:firstLineChars="250"/>
        <w:jc w:val="left"/>
        <w:rPr>
          <w:rFonts w:asciiTheme="minorEastAsia" w:hAnsiTheme="minorEastAsia" w:eastAsiaTheme="minorEastAsia"/>
          <w:sz w:val="22"/>
          <w:szCs w:val="20"/>
        </w:rPr>
      </w:pPr>
      <w:r>
        <w:rPr>
          <w:rFonts w:hint="eastAsia" w:asciiTheme="minorEastAsia" w:hAnsiTheme="minorEastAsia" w:eastAsiaTheme="minorEastAsia"/>
          <w:sz w:val="22"/>
          <w:szCs w:val="20"/>
        </w:rPr>
        <w:t>本公司提供7年的7*24小时现场上门维修和技术支持服务。对于设备出现运行故障时，本公司将派出资深服务工程师12小时内立即赶到现场解决贵公司的故障问题。</w:t>
      </w:r>
    </w:p>
    <w:p>
      <w:pPr>
        <w:spacing w:line="400" w:lineRule="exact"/>
        <w:rPr>
          <w:rFonts w:asciiTheme="minorEastAsia" w:hAnsiTheme="minorEastAsia" w:eastAsiaTheme="minorEastAsia"/>
          <w:sz w:val="22"/>
          <w:szCs w:val="20"/>
        </w:rPr>
      </w:pPr>
    </w:p>
    <w:p>
      <w:pPr>
        <w:spacing w:line="400" w:lineRule="exact"/>
        <w:rPr>
          <w:rFonts w:asciiTheme="minorEastAsia" w:hAnsiTheme="minorEastAsia" w:eastAsiaTheme="minorEastAsia"/>
          <w:sz w:val="22"/>
          <w:szCs w:val="20"/>
        </w:rPr>
      </w:pPr>
      <w:r>
        <w:rPr>
          <w:rFonts w:hint="eastAsia" w:asciiTheme="minorEastAsia" w:hAnsiTheme="minorEastAsia" w:eastAsiaTheme="minorEastAsia"/>
          <w:sz w:val="22"/>
          <w:szCs w:val="20"/>
        </w:rPr>
        <w:t>5、售后服务联系方式（联系人、联系电话、维修点等）</w:t>
      </w:r>
    </w:p>
    <w:p>
      <w:pPr>
        <w:spacing w:line="400" w:lineRule="exact"/>
        <w:ind w:firstLine="550" w:firstLineChars="250"/>
        <w:jc w:val="left"/>
        <w:rPr>
          <w:rFonts w:asciiTheme="minorEastAsia" w:hAnsiTheme="minorEastAsia" w:eastAsiaTheme="minorEastAsia"/>
          <w:sz w:val="22"/>
          <w:szCs w:val="20"/>
        </w:rPr>
      </w:pPr>
      <w:r>
        <w:rPr>
          <w:rFonts w:hint="eastAsia" w:asciiTheme="minorEastAsia" w:hAnsiTheme="minorEastAsia" w:eastAsiaTheme="minorEastAsia"/>
          <w:sz w:val="22"/>
          <w:szCs w:val="20"/>
        </w:rPr>
        <w:t>本公司在河北设有售后服务网点，有专职人员接待，为贵单位提供优质、周到的服务：</w:t>
      </w:r>
    </w:p>
    <w:p>
      <w:pPr>
        <w:spacing w:line="400" w:lineRule="exact"/>
        <w:jc w:val="left"/>
        <w:rPr>
          <w:rFonts w:asciiTheme="minorEastAsia" w:hAnsiTheme="minorEastAsia" w:eastAsiaTheme="minorEastAsia"/>
          <w:b/>
          <w:sz w:val="22"/>
          <w:szCs w:val="20"/>
        </w:rPr>
      </w:pPr>
      <w:r>
        <w:rPr>
          <w:rFonts w:hint="eastAsia" w:asciiTheme="minorEastAsia" w:hAnsiTheme="minorEastAsia" w:eastAsiaTheme="minorEastAsia"/>
          <w:b/>
          <w:sz w:val="22"/>
          <w:szCs w:val="20"/>
        </w:rPr>
        <w:t>联系人：</w:t>
      </w:r>
      <w:r>
        <w:rPr>
          <w:rFonts w:hint="eastAsia" w:asciiTheme="minorEastAsia" w:hAnsiTheme="minorEastAsia" w:eastAsiaTheme="minorEastAsia"/>
          <w:b/>
          <w:sz w:val="22"/>
          <w:szCs w:val="20"/>
          <w:u w:val="single"/>
        </w:rPr>
        <w:t xml:space="preserve">   马成龙   </w:t>
      </w:r>
      <w:r>
        <w:rPr>
          <w:rFonts w:hint="eastAsia" w:asciiTheme="minorEastAsia" w:hAnsiTheme="minorEastAsia" w:eastAsiaTheme="minorEastAsia"/>
          <w:b/>
          <w:sz w:val="22"/>
          <w:szCs w:val="20"/>
        </w:rPr>
        <w:t xml:space="preserve">    联系电话：</w:t>
      </w:r>
      <w:r>
        <w:rPr>
          <w:rFonts w:hint="eastAsia" w:asciiTheme="minorEastAsia" w:hAnsiTheme="minorEastAsia" w:eastAsiaTheme="minorEastAsia"/>
          <w:b/>
          <w:sz w:val="22"/>
          <w:szCs w:val="20"/>
          <w:u w:val="single"/>
        </w:rPr>
        <w:t xml:space="preserve">   135139890180   </w:t>
      </w:r>
    </w:p>
    <w:p>
      <w:pPr>
        <w:spacing w:line="400" w:lineRule="exact"/>
        <w:rPr>
          <w:rFonts w:asciiTheme="minorEastAsia" w:hAnsiTheme="minorEastAsia" w:eastAsiaTheme="minorEastAsia"/>
          <w:b/>
          <w:sz w:val="22"/>
          <w:szCs w:val="20"/>
        </w:rPr>
      </w:pPr>
      <w:r>
        <w:rPr>
          <w:rFonts w:hint="eastAsia" w:asciiTheme="minorEastAsia" w:hAnsiTheme="minorEastAsia" w:eastAsiaTheme="minorEastAsia"/>
          <w:b/>
          <w:sz w:val="22"/>
          <w:szCs w:val="20"/>
        </w:rPr>
        <w:t>地  址：河南郑州市金水区农科路与文博东路英地天骄华庭6号楼1单元2203</w:t>
      </w:r>
    </w:p>
    <w:p>
      <w:pPr>
        <w:spacing w:line="400" w:lineRule="exact"/>
        <w:ind w:leftChars="-1" w:hanging="2"/>
        <w:jc w:val="left"/>
        <w:rPr>
          <w:rFonts w:asciiTheme="minorEastAsia" w:hAnsiTheme="minorEastAsia" w:eastAsiaTheme="minorEastAsia"/>
          <w:sz w:val="22"/>
          <w:szCs w:val="20"/>
          <w:u w:val="single"/>
        </w:rPr>
      </w:pPr>
    </w:p>
    <w:p>
      <w:pPr>
        <w:spacing w:line="400" w:lineRule="exact"/>
        <w:rPr>
          <w:rFonts w:asciiTheme="minorEastAsia" w:hAnsiTheme="minorEastAsia" w:eastAsiaTheme="minorEastAsia"/>
          <w:sz w:val="22"/>
          <w:szCs w:val="20"/>
        </w:rPr>
      </w:pPr>
      <w:r>
        <w:rPr>
          <w:rFonts w:hint="eastAsia" w:asciiTheme="minorEastAsia" w:hAnsiTheme="minorEastAsia" w:eastAsiaTheme="minorEastAsia"/>
          <w:sz w:val="22"/>
          <w:szCs w:val="20"/>
        </w:rPr>
        <w:t>6、其他优惠条件</w:t>
      </w:r>
    </w:p>
    <w:p>
      <w:pPr>
        <w:spacing w:line="400" w:lineRule="exact"/>
        <w:ind w:firstLine="770" w:firstLineChars="350"/>
        <w:jc w:val="left"/>
        <w:rPr>
          <w:rFonts w:asciiTheme="minorEastAsia" w:hAnsiTheme="minorEastAsia" w:eastAsiaTheme="minorEastAsia"/>
          <w:sz w:val="22"/>
          <w:szCs w:val="20"/>
        </w:rPr>
      </w:pPr>
      <w:r>
        <w:rPr>
          <w:rFonts w:hint="eastAsia" w:asciiTheme="minorEastAsia" w:hAnsiTheme="minorEastAsia" w:eastAsiaTheme="minorEastAsia"/>
          <w:sz w:val="22"/>
          <w:szCs w:val="20"/>
        </w:rPr>
        <w:t>①本公司具有长期提供质保服务能力，并能为贵公司提供及时周到的技术支持。</w:t>
      </w:r>
    </w:p>
    <w:p>
      <w:pPr>
        <w:spacing w:line="400" w:lineRule="exact"/>
        <w:ind w:left="313" w:leftChars="149"/>
        <w:jc w:val="left"/>
        <w:rPr>
          <w:rFonts w:asciiTheme="minorEastAsia" w:hAnsiTheme="minorEastAsia" w:eastAsiaTheme="minorEastAsia"/>
          <w:spacing w:val="-2"/>
          <w:sz w:val="22"/>
          <w:szCs w:val="20"/>
        </w:rPr>
      </w:pPr>
      <w:r>
        <w:rPr>
          <w:rFonts w:hint="eastAsia" w:asciiTheme="minorEastAsia" w:hAnsiTheme="minorEastAsia" w:eastAsiaTheme="minorEastAsia"/>
          <w:spacing w:val="-2"/>
          <w:sz w:val="22"/>
          <w:szCs w:val="20"/>
        </w:rPr>
        <w:t>本公司保证，在质保期满之日起10年内，以不高于当时市场价格和采购合同价格两者中之较低者的价格向贵公司提供投标系统设备。在上述期限内，如果设备停止生产，本公司在停产前十二个月书面通知招标方，使其能够提前购买设备。本公司保证以当时市场价格但不高于采购合同价格的优惠价格向招标方提供具有同样功能的替代产品。</w:t>
      </w:r>
    </w:p>
    <w:p>
      <w:pPr>
        <w:spacing w:line="400" w:lineRule="exact"/>
        <w:ind w:left="323" w:leftChars="154" w:firstLine="440" w:firstLineChars="200"/>
        <w:jc w:val="left"/>
        <w:rPr>
          <w:rFonts w:asciiTheme="minorEastAsia" w:hAnsiTheme="minorEastAsia" w:eastAsiaTheme="minorEastAsia"/>
          <w:sz w:val="22"/>
          <w:szCs w:val="20"/>
        </w:rPr>
      </w:pPr>
      <w:r>
        <w:rPr>
          <w:rFonts w:hint="eastAsia" w:asciiTheme="minorEastAsia" w:hAnsiTheme="minorEastAsia" w:eastAsiaTheme="minorEastAsia"/>
          <w:sz w:val="22"/>
          <w:szCs w:val="20"/>
        </w:rPr>
        <w:t>②在保修期满之日起10年之内，本公司保证其维修中心对发生故障的投标系统设备进行修理。返修产品的价格将在实际人工和生产成本的基础上进行计算，但不得高于本协议技术服务框架协议规定的范围或采购合同的价格。</w:t>
      </w:r>
    </w:p>
    <w:p>
      <w:pPr>
        <w:spacing w:line="400" w:lineRule="exact"/>
        <w:ind w:left="313" w:leftChars="149"/>
        <w:jc w:val="left"/>
        <w:rPr>
          <w:rFonts w:asciiTheme="minorEastAsia" w:hAnsiTheme="minorEastAsia" w:eastAsiaTheme="minorEastAsia"/>
          <w:sz w:val="22"/>
          <w:szCs w:val="20"/>
        </w:rPr>
      </w:pPr>
      <w:r>
        <w:rPr>
          <w:rFonts w:hint="eastAsia" w:asciiTheme="minorEastAsia" w:hAnsiTheme="minorEastAsia" w:eastAsiaTheme="minorEastAsia"/>
          <w:sz w:val="22"/>
          <w:szCs w:val="20"/>
        </w:rPr>
        <w:t>保修期满后，如果出现不可预料的重大通信故障，本公司将尽全力帮助贵公司在最短时间内进行修理或更换故障部件，贵公司承担所引起的相关费用。</w:t>
      </w:r>
    </w:p>
    <w:p>
      <w:pPr>
        <w:spacing w:line="400" w:lineRule="exact"/>
        <w:ind w:left="313" w:leftChars="149"/>
        <w:jc w:val="left"/>
        <w:rPr>
          <w:rFonts w:asciiTheme="minorEastAsia" w:hAnsiTheme="minorEastAsia" w:eastAsiaTheme="minorEastAsia"/>
          <w:sz w:val="22"/>
          <w:szCs w:val="20"/>
        </w:rPr>
      </w:pPr>
      <w:r>
        <w:rPr>
          <w:rFonts w:hint="eastAsia" w:asciiTheme="minorEastAsia" w:hAnsiTheme="minorEastAsia" w:eastAsiaTheme="minorEastAsia"/>
          <w:sz w:val="22"/>
          <w:szCs w:val="20"/>
        </w:rPr>
        <w:t>保修期满后，如果出现特殊和紧急情况，在贵公司要求下，本公司承诺将派遣其工程技术人员以优惠价格到现场进行对投标系统设备检查和维修。</w:t>
      </w:r>
    </w:p>
    <w:p>
      <w:pPr>
        <w:spacing w:line="400" w:lineRule="exact"/>
        <w:jc w:val="right"/>
        <w:rPr>
          <w:rFonts w:asciiTheme="minorEastAsia" w:hAnsiTheme="minorEastAsia" w:eastAsiaTheme="minorEastAsia"/>
          <w:sz w:val="22"/>
          <w:szCs w:val="20"/>
        </w:rPr>
      </w:pPr>
    </w:p>
    <w:p>
      <w:pPr>
        <w:spacing w:line="400" w:lineRule="exact"/>
        <w:jc w:val="right"/>
        <w:rPr>
          <w:rFonts w:asciiTheme="minorEastAsia" w:hAnsiTheme="minorEastAsia" w:eastAsiaTheme="minorEastAsia"/>
          <w:sz w:val="22"/>
          <w:szCs w:val="20"/>
        </w:rPr>
      </w:pPr>
    </w:p>
    <w:p>
      <w:pPr>
        <w:spacing w:line="400" w:lineRule="exact"/>
        <w:jc w:val="right"/>
        <w:rPr>
          <w:rFonts w:asciiTheme="minorEastAsia" w:hAnsiTheme="minorEastAsia" w:eastAsiaTheme="minorEastAsia"/>
          <w:sz w:val="22"/>
          <w:szCs w:val="20"/>
        </w:rPr>
      </w:pPr>
      <w:r>
        <w:rPr>
          <w:rFonts w:hint="eastAsia" w:asciiTheme="minorEastAsia" w:hAnsiTheme="minorEastAsia" w:eastAsiaTheme="minorEastAsia"/>
          <w:sz w:val="22"/>
          <w:szCs w:val="20"/>
        </w:rPr>
        <w:t>浙江汉信光电股份有限公司</w:t>
      </w:r>
    </w:p>
    <w:p>
      <w:pPr>
        <w:spacing w:line="400" w:lineRule="exact"/>
        <w:jc w:val="right"/>
        <w:rPr>
          <w:rFonts w:asciiTheme="minorEastAsia" w:hAnsiTheme="minorEastAsia" w:eastAsiaTheme="minorEastAsia"/>
          <w:sz w:val="22"/>
          <w:szCs w:val="20"/>
        </w:rPr>
      </w:pPr>
      <w:r>
        <w:rPr>
          <w:rFonts w:hint="eastAsia" w:asciiTheme="minorEastAsia" w:hAnsiTheme="minorEastAsia" w:eastAsiaTheme="minorEastAsia"/>
          <w:sz w:val="22"/>
          <w:szCs w:val="20"/>
        </w:rPr>
        <w:t>2018年08月06日</w:t>
      </w:r>
    </w:p>
    <w:p>
      <w:pPr>
        <w:widowControl/>
        <w:rPr>
          <w:rFonts w:ascii="宋体" w:hAnsi="宋体"/>
          <w:b/>
          <w:bCs/>
          <w:sz w:val="36"/>
          <w:szCs w:val="36"/>
        </w:rPr>
      </w:pPr>
    </w:p>
    <w:p>
      <w:pPr>
        <w:widowControl/>
        <w:jc w:val="center"/>
        <w:rPr>
          <w:rFonts w:ascii="宋体" w:hAnsi="宋体"/>
          <w:b/>
          <w:bCs/>
          <w:sz w:val="28"/>
          <w:szCs w:val="28"/>
        </w:rPr>
      </w:pPr>
      <w:r>
        <w:rPr>
          <w:rFonts w:hint="eastAsia" w:ascii="宋体" w:hAnsi="宋体"/>
          <w:b/>
          <w:bCs/>
          <w:sz w:val="28"/>
          <w:szCs w:val="28"/>
        </w:rPr>
        <w:t>（七）其他符合性证明文件或材料</w:t>
      </w:r>
    </w:p>
    <w:p>
      <w:r>
        <w:t xml:space="preserve"> </w:t>
      </w:r>
    </w:p>
    <w:p>
      <w:pPr>
        <w:widowControl/>
        <w:spacing w:line="480" w:lineRule="auto"/>
        <w:ind w:firstLine="482" w:firstLineChars="200"/>
        <w:jc w:val="left"/>
        <w:rPr>
          <w:rFonts w:ascii="宋体" w:hAnsi="宋体"/>
          <w:b/>
          <w:bCs/>
          <w:sz w:val="24"/>
          <w:szCs w:val="24"/>
        </w:rPr>
      </w:pPr>
      <w:r>
        <w:rPr>
          <w:rFonts w:hint="eastAsia" w:ascii="宋体" w:hAnsi="宋体"/>
          <w:b/>
          <w:bCs/>
          <w:sz w:val="24"/>
          <w:szCs w:val="24"/>
        </w:rPr>
        <w:t>投标人认为需要提交的其他证明文件或材料，加盖投标人的单位公章后应在此项下提交。</w:t>
      </w:r>
    </w:p>
    <w:p>
      <w:pPr>
        <w:widowControl/>
        <w:spacing w:line="480" w:lineRule="auto"/>
        <w:ind w:firstLine="480" w:firstLineChars="200"/>
        <w:jc w:val="center"/>
        <w:rPr>
          <w:rFonts w:ascii="宋体" w:hAnsi="宋体"/>
          <w:color w:val="000000"/>
          <w:sz w:val="24"/>
          <w:szCs w:val="24"/>
        </w:rPr>
      </w:pPr>
      <w:r>
        <w:rPr>
          <w:rFonts w:hint="eastAsia" w:ascii="宋体" w:hAnsi="宋体"/>
          <w:sz w:val="24"/>
          <w:szCs w:val="24"/>
        </w:rPr>
        <w:t>一、</w:t>
      </w:r>
      <w:r>
        <w:rPr>
          <w:rFonts w:hint="eastAsia" w:ascii="宋体" w:hAnsi="宋体"/>
          <w:kern w:val="0"/>
          <w:sz w:val="32"/>
          <w:szCs w:val="32"/>
        </w:rPr>
        <w:t>技术参数与性能指标</w:t>
      </w:r>
    </w:p>
    <w:p>
      <w:pPr>
        <w:autoSpaceDE w:val="0"/>
        <w:autoSpaceDN w:val="0"/>
        <w:adjustRightInd w:val="0"/>
        <w:spacing w:line="520" w:lineRule="atLeast"/>
        <w:rPr>
          <w:rFonts w:ascii="宋体" w:hAnsi="宋体"/>
          <w:b/>
          <w:bCs/>
          <w:sz w:val="24"/>
          <w:szCs w:val="24"/>
        </w:rPr>
      </w:pPr>
    </w:p>
    <w:p>
      <w:pPr>
        <w:pStyle w:val="3"/>
        <w:rPr>
          <w:rFonts w:asciiTheme="minorEastAsia" w:hAnsiTheme="minorEastAsia" w:eastAsiaTheme="minorEastAsia"/>
          <w:b w:val="0"/>
          <w:bCs/>
          <w:sz w:val="24"/>
          <w:szCs w:val="18"/>
        </w:rPr>
      </w:pPr>
      <w:r>
        <w:rPr>
          <w:rFonts w:hint="eastAsia" w:asciiTheme="minorEastAsia" w:hAnsiTheme="minorEastAsia" w:eastAsiaTheme="minorEastAsia"/>
          <w:b w:val="0"/>
          <w:bCs/>
          <w:sz w:val="24"/>
          <w:szCs w:val="18"/>
        </w:rPr>
        <w:t>（1）光缆制造厂家的名称和地点</w:t>
      </w:r>
    </w:p>
    <w:p>
      <w:pPr>
        <w:rPr>
          <w:rFonts w:asciiTheme="minorEastAsia" w:hAnsiTheme="minorEastAsia" w:eastAsiaTheme="minorEastAsia"/>
          <w:sz w:val="44"/>
          <w:szCs w:val="44"/>
        </w:rPr>
      </w:pPr>
    </w:p>
    <w:p>
      <w:pPr>
        <w:spacing w:line="600" w:lineRule="exact"/>
        <w:ind w:leftChars="-1" w:hanging="2"/>
        <w:rPr>
          <w:rFonts w:asciiTheme="minorEastAsia" w:hAnsiTheme="minorEastAsia" w:eastAsiaTheme="minorEastAsia"/>
          <w:b/>
          <w:sz w:val="24"/>
        </w:rPr>
      </w:pPr>
      <w:r>
        <w:rPr>
          <w:rFonts w:hint="eastAsia" w:asciiTheme="minorEastAsia" w:hAnsiTheme="minorEastAsia" w:eastAsiaTheme="minorEastAsia"/>
          <w:b/>
          <w:sz w:val="24"/>
        </w:rPr>
        <w:t>光缆的生产厂家</w:t>
      </w:r>
    </w:p>
    <w:p>
      <w:pPr>
        <w:spacing w:line="700" w:lineRule="exact"/>
        <w:ind w:leftChars="-1" w:hanging="2"/>
        <w:rPr>
          <w:rFonts w:asciiTheme="minorEastAsia" w:hAnsiTheme="minorEastAsia" w:eastAsiaTheme="minorEastAsia"/>
          <w:sz w:val="24"/>
        </w:rPr>
      </w:pPr>
      <w:r>
        <w:rPr>
          <w:rFonts w:hint="eastAsia" w:asciiTheme="minorEastAsia" w:hAnsiTheme="minorEastAsia" w:eastAsiaTheme="minorEastAsia"/>
          <w:sz w:val="24"/>
        </w:rPr>
        <w:t>★ 光缆厂家：浙江汉信光电股份有限公司</w:t>
      </w:r>
    </w:p>
    <w:p>
      <w:pPr>
        <w:spacing w:line="700" w:lineRule="exact"/>
        <w:ind w:left="-1"/>
        <w:rPr>
          <w:rFonts w:asciiTheme="minorEastAsia" w:hAnsiTheme="minorEastAsia" w:eastAsiaTheme="minorEastAsia"/>
          <w:sz w:val="24"/>
        </w:rPr>
      </w:pPr>
      <w:r>
        <w:rPr>
          <w:rFonts w:hint="eastAsia" w:asciiTheme="minorEastAsia" w:hAnsiTheme="minorEastAsia" w:eastAsiaTheme="minorEastAsia"/>
          <w:sz w:val="24"/>
        </w:rPr>
        <w:t>★ 地    址：浙江省杭州市临安区玲珑街道东山村（玲珑工业区）</w:t>
      </w:r>
    </w:p>
    <w:p>
      <w:pPr>
        <w:pStyle w:val="3"/>
        <w:jc w:val="both"/>
        <w:rPr>
          <w:rFonts w:hint="eastAsia" w:asciiTheme="minorEastAsia" w:hAnsiTheme="minorEastAsia" w:eastAsiaTheme="minorEastAsia"/>
          <w:b w:val="0"/>
          <w:bCs/>
          <w:sz w:val="24"/>
          <w:szCs w:val="18"/>
        </w:rPr>
      </w:pPr>
      <w:bookmarkStart w:id="0" w:name="_Toc518980375"/>
    </w:p>
    <w:p>
      <w:pPr>
        <w:pStyle w:val="3"/>
        <w:jc w:val="center"/>
        <w:rPr>
          <w:rFonts w:asciiTheme="minorEastAsia" w:hAnsiTheme="minorEastAsia" w:eastAsiaTheme="minorEastAsia"/>
          <w:b w:val="0"/>
          <w:bCs/>
          <w:sz w:val="24"/>
          <w:szCs w:val="18"/>
        </w:rPr>
      </w:pPr>
      <w:r>
        <w:rPr>
          <w:rFonts w:hint="eastAsia" w:asciiTheme="minorEastAsia" w:hAnsiTheme="minorEastAsia" w:eastAsiaTheme="minorEastAsia"/>
          <w:b w:val="0"/>
          <w:bCs/>
          <w:sz w:val="24"/>
          <w:szCs w:val="18"/>
        </w:rPr>
        <w:t>（2）光缆的技术标准和制造方法及质量保证措施</w:t>
      </w:r>
      <w:bookmarkEnd w:id="0"/>
    </w:p>
    <w:p>
      <w:pPr>
        <w:spacing w:line="480" w:lineRule="exact"/>
        <w:ind w:leftChars="-1" w:hanging="2"/>
        <w:rPr>
          <w:rFonts w:asciiTheme="minorEastAsia" w:hAnsiTheme="minorEastAsia" w:eastAsiaTheme="minorEastAsia"/>
          <w:b/>
          <w:sz w:val="24"/>
        </w:rPr>
      </w:pPr>
      <w:r>
        <w:rPr>
          <w:rFonts w:hint="eastAsia" w:asciiTheme="minorEastAsia" w:hAnsiTheme="minorEastAsia" w:eastAsiaTheme="minorEastAsia"/>
          <w:b/>
          <w:sz w:val="24"/>
        </w:rPr>
        <w:t>1、汉信光缆的设计和技术标准</w:t>
      </w:r>
    </w:p>
    <w:p>
      <w:pPr>
        <w:spacing w:line="480" w:lineRule="exact"/>
        <w:ind w:left="-1" w:firstLine="360" w:firstLineChars="150"/>
        <w:rPr>
          <w:rFonts w:asciiTheme="minorEastAsia" w:hAnsiTheme="minorEastAsia" w:eastAsiaTheme="minorEastAsia"/>
          <w:sz w:val="24"/>
        </w:rPr>
      </w:pPr>
      <w:r>
        <w:rPr>
          <w:rFonts w:hint="eastAsia" w:asciiTheme="minorEastAsia" w:hAnsiTheme="minorEastAsia" w:eastAsiaTheme="minorEastAsia"/>
          <w:sz w:val="24"/>
        </w:rPr>
        <w:t>中心束管式光缆的执行标准：YD/T769-1995</w:t>
      </w:r>
    </w:p>
    <w:p>
      <w:pPr>
        <w:spacing w:line="480" w:lineRule="exact"/>
        <w:ind w:left="-1" w:firstLine="360" w:firstLineChars="150"/>
        <w:rPr>
          <w:rFonts w:asciiTheme="minorEastAsia" w:hAnsiTheme="minorEastAsia" w:eastAsiaTheme="minorEastAsia"/>
          <w:sz w:val="24"/>
        </w:rPr>
      </w:pPr>
      <w:r>
        <w:rPr>
          <w:rFonts w:hint="eastAsia" w:asciiTheme="minorEastAsia" w:hAnsiTheme="minorEastAsia" w:eastAsiaTheme="minorEastAsia"/>
          <w:sz w:val="24"/>
        </w:rPr>
        <w:t>层绞式光缆的执行标准：YD/T901-2001</w:t>
      </w:r>
    </w:p>
    <w:p>
      <w:pPr>
        <w:spacing w:line="480" w:lineRule="exact"/>
        <w:ind w:leftChars="-1" w:hanging="2"/>
        <w:rPr>
          <w:rFonts w:asciiTheme="minorEastAsia" w:hAnsiTheme="minorEastAsia" w:eastAsiaTheme="minorEastAsia"/>
          <w:b/>
          <w:sz w:val="24"/>
        </w:rPr>
      </w:pPr>
      <w:r>
        <w:rPr>
          <w:rFonts w:hint="eastAsia" w:asciiTheme="minorEastAsia" w:hAnsiTheme="minorEastAsia" w:eastAsiaTheme="minorEastAsia"/>
          <w:b/>
          <w:sz w:val="24"/>
        </w:rPr>
        <w:t>2、汉信光缆制造工艺流程图</w:t>
      </w:r>
    </w:p>
    <w:p>
      <w:pPr>
        <w:spacing w:line="480" w:lineRule="exact"/>
        <w:ind w:leftChars="-1" w:hanging="2"/>
        <w:rPr>
          <w:rFonts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r>
        <w:rPr>
          <w:rFonts w:asciiTheme="minorEastAsia" w:hAnsiTheme="minorEastAsia" w:eastAsiaTheme="minorEastAsia"/>
          <w:b/>
          <w:sz w:val="24"/>
        </w:rPr>
        <mc:AlternateContent>
          <mc:Choice Requires="wpg">
            <w:drawing>
              <wp:anchor distT="0" distB="0" distL="114300" distR="114300" simplePos="0" relativeHeight="251662336" behindDoc="0" locked="0" layoutInCell="1" allowOverlap="1">
                <wp:simplePos x="0" y="0"/>
                <wp:positionH relativeFrom="column">
                  <wp:posOffset>164465</wp:posOffset>
                </wp:positionH>
                <wp:positionV relativeFrom="paragraph">
                  <wp:posOffset>224790</wp:posOffset>
                </wp:positionV>
                <wp:extent cx="5486400" cy="3595370"/>
                <wp:effectExtent l="7620" t="7620" r="30480" b="16510"/>
                <wp:wrapNone/>
                <wp:docPr id="162" name="组合 162"/>
                <wp:cNvGraphicFramePr/>
                <a:graphic xmlns:a="http://schemas.openxmlformats.org/drawingml/2006/main">
                  <a:graphicData uri="http://schemas.microsoft.com/office/word/2010/wordprocessingGroup">
                    <wpg:wgp>
                      <wpg:cNvGrpSpPr/>
                      <wpg:grpSpPr>
                        <a:xfrm>
                          <a:off x="0" y="0"/>
                          <a:ext cx="5486400" cy="3595370"/>
                          <a:chOff x="1620" y="4560"/>
                          <a:chExt cx="9180" cy="5928"/>
                        </a:xfrm>
                        <a:effectLst/>
                      </wpg:grpSpPr>
                      <wps:wsp>
                        <wps:cNvPr id="133" name="矩形 133"/>
                        <wps:cNvSpPr/>
                        <wps:spPr>
                          <a:xfrm>
                            <a:off x="1620" y="5816"/>
                            <a:ext cx="1080" cy="46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着色</w:t>
                              </w:r>
                            </w:p>
                          </w:txbxContent>
                        </wps:txbx>
                        <wps:bodyPr upright="1"/>
                      </wps:wsp>
                      <wps:wsp>
                        <wps:cNvPr id="134" name="直接连接符 134"/>
                        <wps:cNvCnPr/>
                        <wps:spPr>
                          <a:xfrm>
                            <a:off x="1980" y="5440"/>
                            <a:ext cx="1080" cy="0"/>
                          </a:xfrm>
                          <a:prstGeom prst="line">
                            <a:avLst/>
                          </a:prstGeom>
                          <a:ln w="22225" cap="flat" cmpd="sng">
                            <a:solidFill>
                              <a:srgbClr val="000000"/>
                            </a:solidFill>
                            <a:prstDash val="solid"/>
                            <a:headEnd type="none" w="med" len="med"/>
                            <a:tailEnd type="triangle" w="med" len="med"/>
                          </a:ln>
                          <a:effectLst/>
                        </wps:spPr>
                        <wps:bodyPr upright="1"/>
                      </wps:wsp>
                      <wps:wsp>
                        <wps:cNvPr id="135" name="矩形 135"/>
                        <wps:cNvSpPr/>
                        <wps:spPr>
                          <a:xfrm>
                            <a:off x="6120" y="5652"/>
                            <a:ext cx="1620" cy="540"/>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二次套塑</w:t>
                              </w:r>
                            </w:p>
                          </w:txbxContent>
                        </wps:txbx>
                        <wps:bodyPr upright="1"/>
                      </wps:wsp>
                      <wps:wsp>
                        <wps:cNvPr id="136" name="直接连接符 136"/>
                        <wps:cNvCnPr/>
                        <wps:spPr>
                          <a:xfrm>
                            <a:off x="2700" y="6067"/>
                            <a:ext cx="3420" cy="0"/>
                          </a:xfrm>
                          <a:prstGeom prst="line">
                            <a:avLst/>
                          </a:prstGeom>
                          <a:ln w="22225" cap="flat" cmpd="sng">
                            <a:solidFill>
                              <a:srgbClr val="000000"/>
                            </a:solidFill>
                            <a:prstDash val="solid"/>
                            <a:headEnd type="none" w="med" len="med"/>
                            <a:tailEnd type="triangle" w="med" len="med"/>
                          </a:ln>
                          <a:effectLst/>
                        </wps:spPr>
                        <wps:bodyPr upright="1"/>
                      </wps:wsp>
                      <wps:wsp>
                        <wps:cNvPr id="137" name="矩形 137"/>
                        <wps:cNvSpPr/>
                        <wps:spPr>
                          <a:xfrm>
                            <a:off x="7200" y="7694"/>
                            <a:ext cx="2160" cy="501"/>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钢丝绞合成缆</w:t>
                              </w:r>
                            </w:p>
                          </w:txbxContent>
                        </wps:txbx>
                        <wps:bodyPr upright="1"/>
                      </wps:wsp>
                      <wps:wsp>
                        <wps:cNvPr id="138" name="直接连接符 138"/>
                        <wps:cNvCnPr/>
                        <wps:spPr>
                          <a:xfrm>
                            <a:off x="3420" y="6067"/>
                            <a:ext cx="0" cy="375"/>
                          </a:xfrm>
                          <a:prstGeom prst="line">
                            <a:avLst/>
                          </a:prstGeom>
                          <a:ln w="22225" cap="flat" cmpd="sng">
                            <a:solidFill>
                              <a:srgbClr val="000000"/>
                            </a:solidFill>
                            <a:prstDash val="solid"/>
                            <a:headEnd type="none" w="med" len="med"/>
                            <a:tailEnd type="triangle" w="med" len="med"/>
                          </a:ln>
                          <a:effectLst/>
                        </wps:spPr>
                        <wps:bodyPr upright="1"/>
                      </wps:wsp>
                      <wps:wsp>
                        <wps:cNvPr id="139" name="直接连接符 139"/>
                        <wps:cNvCnPr/>
                        <wps:spPr>
                          <a:xfrm>
                            <a:off x="8460" y="7194"/>
                            <a:ext cx="720" cy="0"/>
                          </a:xfrm>
                          <a:prstGeom prst="line">
                            <a:avLst/>
                          </a:prstGeom>
                          <a:ln w="22225" cap="flat" cmpd="sng">
                            <a:solidFill>
                              <a:srgbClr val="000000"/>
                            </a:solidFill>
                            <a:prstDash val="solid"/>
                            <a:headEnd type="none" w="med" len="med"/>
                            <a:tailEnd type="triangle" w="med" len="med"/>
                          </a:ln>
                          <a:effectLst/>
                        </wps:spPr>
                        <wps:bodyPr upright="1"/>
                      </wps:wsp>
                      <wps:wsp>
                        <wps:cNvPr id="140" name="直接连接符 140"/>
                        <wps:cNvCnPr/>
                        <wps:spPr>
                          <a:xfrm flipH="1">
                            <a:off x="3420" y="7444"/>
                            <a:ext cx="1440" cy="0"/>
                          </a:xfrm>
                          <a:prstGeom prst="line">
                            <a:avLst/>
                          </a:prstGeom>
                          <a:ln w="22225" cap="flat" cmpd="sng">
                            <a:solidFill>
                              <a:srgbClr val="000000"/>
                            </a:solidFill>
                            <a:prstDash val="solid"/>
                            <a:headEnd type="none" w="med" len="med"/>
                            <a:tailEnd type="triangle" w="med" len="med"/>
                          </a:ln>
                          <a:effectLst/>
                        </wps:spPr>
                        <wps:bodyPr upright="1"/>
                      </wps:wsp>
                      <wps:wsp>
                        <wps:cNvPr id="141" name="直接连接符 141"/>
                        <wps:cNvCnPr/>
                        <wps:spPr>
                          <a:xfrm>
                            <a:off x="6840" y="6192"/>
                            <a:ext cx="0" cy="375"/>
                          </a:xfrm>
                          <a:prstGeom prst="line">
                            <a:avLst/>
                          </a:prstGeom>
                          <a:ln w="22225" cap="flat" cmpd="sng">
                            <a:solidFill>
                              <a:srgbClr val="000000"/>
                            </a:solidFill>
                            <a:prstDash val="solid"/>
                            <a:headEnd type="none" w="med" len="med"/>
                            <a:tailEnd type="triangle" w="med" len="med"/>
                          </a:ln>
                          <a:effectLst/>
                        </wps:spPr>
                        <wps:bodyPr upright="1"/>
                      </wps:wsp>
                      <wps:wsp>
                        <wps:cNvPr id="142" name="直接连接符 142"/>
                        <wps:cNvCnPr/>
                        <wps:spPr>
                          <a:xfrm>
                            <a:off x="8460" y="6567"/>
                            <a:ext cx="0" cy="1127"/>
                          </a:xfrm>
                          <a:prstGeom prst="line">
                            <a:avLst/>
                          </a:prstGeom>
                          <a:ln w="22225" cap="flat" cmpd="sng">
                            <a:solidFill>
                              <a:srgbClr val="000000"/>
                            </a:solidFill>
                            <a:prstDash val="solid"/>
                            <a:headEnd type="none" w="med" len="med"/>
                            <a:tailEnd type="triangle" w="med" len="med"/>
                          </a:ln>
                          <a:effectLst/>
                        </wps:spPr>
                        <wps:bodyPr upright="1"/>
                      </wps:wsp>
                      <wps:wsp>
                        <wps:cNvPr id="143" name="直接连接符 143"/>
                        <wps:cNvCnPr/>
                        <wps:spPr>
                          <a:xfrm>
                            <a:off x="8460" y="8195"/>
                            <a:ext cx="0" cy="877"/>
                          </a:xfrm>
                          <a:prstGeom prst="line">
                            <a:avLst/>
                          </a:prstGeom>
                          <a:ln w="22225" cap="flat" cmpd="sng">
                            <a:solidFill>
                              <a:srgbClr val="000000"/>
                            </a:solidFill>
                            <a:prstDash val="solid"/>
                            <a:headEnd type="none" w="med" len="med"/>
                            <a:tailEnd type="triangle" w="med" len="med"/>
                          </a:ln>
                          <a:effectLst/>
                        </wps:spPr>
                        <wps:bodyPr upright="1"/>
                      </wps:wsp>
                      <wps:wsp>
                        <wps:cNvPr id="144" name="直接连接符 144"/>
                        <wps:cNvCnPr/>
                        <wps:spPr>
                          <a:xfrm>
                            <a:off x="4860" y="6567"/>
                            <a:ext cx="0" cy="1127"/>
                          </a:xfrm>
                          <a:prstGeom prst="line">
                            <a:avLst/>
                          </a:prstGeom>
                          <a:ln w="22225" cap="flat" cmpd="sng">
                            <a:solidFill>
                              <a:srgbClr val="000000"/>
                            </a:solidFill>
                            <a:prstDash val="solid"/>
                            <a:headEnd type="none" w="med" len="med"/>
                            <a:tailEnd type="triangle" w="med" len="med"/>
                          </a:ln>
                          <a:effectLst/>
                        </wps:spPr>
                        <wps:bodyPr upright="1"/>
                      </wps:wsp>
                      <wps:wsp>
                        <wps:cNvPr id="145" name="直接连接符 145"/>
                        <wps:cNvCnPr/>
                        <wps:spPr>
                          <a:xfrm flipH="1">
                            <a:off x="4860" y="6567"/>
                            <a:ext cx="3600" cy="0"/>
                          </a:xfrm>
                          <a:prstGeom prst="line">
                            <a:avLst/>
                          </a:prstGeom>
                          <a:ln w="22225" cap="flat" cmpd="sng">
                            <a:solidFill>
                              <a:srgbClr val="000000"/>
                            </a:solidFill>
                            <a:prstDash val="solid"/>
                            <a:headEnd type="none" w="med" len="med"/>
                            <a:tailEnd type="none" w="med" len="med"/>
                          </a:ln>
                          <a:effectLst/>
                        </wps:spPr>
                        <wps:bodyPr upright="1"/>
                      </wps:wsp>
                      <wps:wsp>
                        <wps:cNvPr id="146" name="文本框 146"/>
                        <wps:cNvSpPr txBox="1"/>
                        <wps:spPr>
                          <a:xfrm>
                            <a:off x="1620" y="4560"/>
                            <a:ext cx="1260" cy="495"/>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光纤</w:t>
                              </w:r>
                            </w:p>
                          </w:txbxContent>
                        </wps:txbx>
                        <wps:bodyPr upright="1"/>
                      </wps:wsp>
                      <wps:wsp>
                        <wps:cNvPr id="147" name="直接连接符 147"/>
                        <wps:cNvCnPr/>
                        <wps:spPr>
                          <a:xfrm>
                            <a:off x="1980" y="5065"/>
                            <a:ext cx="0" cy="722"/>
                          </a:xfrm>
                          <a:prstGeom prst="line">
                            <a:avLst/>
                          </a:prstGeom>
                          <a:ln w="22225" cap="flat" cmpd="sng">
                            <a:solidFill>
                              <a:srgbClr val="000000"/>
                            </a:solidFill>
                            <a:prstDash val="solid"/>
                            <a:headEnd type="none" w="med" len="med"/>
                            <a:tailEnd type="triangle" w="med" len="med"/>
                          </a:ln>
                          <a:effectLst/>
                        </wps:spPr>
                        <wps:bodyPr upright="1"/>
                      </wps:wsp>
                      <wps:wsp>
                        <wps:cNvPr id="148" name="直接连接符 148"/>
                        <wps:cNvCnPr/>
                        <wps:spPr>
                          <a:xfrm>
                            <a:off x="8460" y="8571"/>
                            <a:ext cx="720" cy="0"/>
                          </a:xfrm>
                          <a:prstGeom prst="line">
                            <a:avLst/>
                          </a:prstGeom>
                          <a:ln w="22225" cap="flat" cmpd="sng">
                            <a:solidFill>
                              <a:srgbClr val="000000"/>
                            </a:solidFill>
                            <a:prstDash val="solid"/>
                            <a:headEnd type="none" w="med" len="med"/>
                            <a:tailEnd type="triangle" w="med" len="med"/>
                          </a:ln>
                          <a:effectLst/>
                        </wps:spPr>
                        <wps:bodyPr upright="1"/>
                      </wps:wsp>
                      <wps:wsp>
                        <wps:cNvPr id="149" name="菱形 149"/>
                        <wps:cNvSpPr/>
                        <wps:spPr>
                          <a:xfrm>
                            <a:off x="3090" y="5132"/>
                            <a:ext cx="1620" cy="626"/>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检测</w:t>
                              </w:r>
                            </w:p>
                          </w:txbxContent>
                        </wps:txbx>
                        <wps:bodyPr upright="1"/>
                      </wps:wsp>
                      <wps:wsp>
                        <wps:cNvPr id="150" name="菱形 150"/>
                        <wps:cNvSpPr/>
                        <wps:spPr>
                          <a:xfrm>
                            <a:off x="2580" y="6445"/>
                            <a:ext cx="1620" cy="626"/>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检测</w:t>
                              </w:r>
                            </w:p>
                          </w:txbxContent>
                        </wps:txbx>
                        <wps:bodyPr upright="1"/>
                      </wps:wsp>
                      <wps:wsp>
                        <wps:cNvPr id="151" name="菱形 151"/>
                        <wps:cNvSpPr/>
                        <wps:spPr>
                          <a:xfrm>
                            <a:off x="1785" y="7126"/>
                            <a:ext cx="1620" cy="626"/>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检测</w:t>
                              </w:r>
                            </w:p>
                          </w:txbxContent>
                        </wps:txbx>
                        <wps:bodyPr upright="1"/>
                      </wps:wsp>
                      <wps:wsp>
                        <wps:cNvPr id="152" name="矩形 152"/>
                        <wps:cNvSpPr/>
                        <wps:spPr>
                          <a:xfrm>
                            <a:off x="3795" y="7704"/>
                            <a:ext cx="2160" cy="501"/>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SZ绞成缆</w:t>
                              </w:r>
                            </w:p>
                          </w:txbxContent>
                        </wps:txbx>
                        <wps:bodyPr upright="1"/>
                      </wps:wsp>
                      <wps:wsp>
                        <wps:cNvPr id="153" name="菱形 153"/>
                        <wps:cNvSpPr/>
                        <wps:spPr>
                          <a:xfrm>
                            <a:off x="9180" y="8260"/>
                            <a:ext cx="1620" cy="627"/>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检测</w:t>
                              </w:r>
                            </w:p>
                          </w:txbxContent>
                        </wps:txbx>
                        <wps:bodyPr upright="1"/>
                      </wps:wsp>
                      <wps:wsp>
                        <wps:cNvPr id="154" name="直接连接符 154"/>
                        <wps:cNvCnPr/>
                        <wps:spPr>
                          <a:xfrm flipH="1">
                            <a:off x="6405" y="9296"/>
                            <a:ext cx="1440" cy="0"/>
                          </a:xfrm>
                          <a:prstGeom prst="line">
                            <a:avLst/>
                          </a:prstGeom>
                          <a:ln w="22225" cap="flat" cmpd="sng">
                            <a:solidFill>
                              <a:srgbClr val="000000"/>
                            </a:solidFill>
                            <a:prstDash val="solid"/>
                            <a:headEnd type="none" w="med" len="med"/>
                            <a:tailEnd type="triangle" w="med" len="med"/>
                          </a:ln>
                          <a:effectLst/>
                        </wps:spPr>
                        <wps:bodyPr upright="1"/>
                      </wps:wsp>
                      <wps:wsp>
                        <wps:cNvPr id="155" name="矩形 155"/>
                        <wps:cNvSpPr/>
                        <wps:spPr>
                          <a:xfrm>
                            <a:off x="5085" y="9091"/>
                            <a:ext cx="1300" cy="482"/>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包装</w:t>
                              </w:r>
                            </w:p>
                          </w:txbxContent>
                        </wps:txbx>
                        <wps:bodyPr upright="1"/>
                      </wps:wsp>
                      <wps:wsp>
                        <wps:cNvPr id="156" name="矩形 156"/>
                        <wps:cNvSpPr/>
                        <wps:spPr>
                          <a:xfrm>
                            <a:off x="7860" y="9089"/>
                            <a:ext cx="1300" cy="484"/>
                          </a:xfrm>
                          <a:prstGeom prst="rect">
                            <a:avLst/>
                          </a:prstGeom>
                          <a:solidFill>
                            <a:srgbClr val="FFFFFF"/>
                          </a:solidFill>
                          <a:ln w="1587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护套</w:t>
                              </w:r>
                            </w:p>
                            <w:p>
                              <w:pPr>
                                <w:rPr>
                                  <w:rFonts w:ascii="宋体" w:hAnsi="宋体"/>
                                </w:rPr>
                              </w:pPr>
                            </w:p>
                          </w:txbxContent>
                        </wps:txbx>
                        <wps:bodyPr upright="1"/>
                      </wps:wsp>
                      <wps:wsp>
                        <wps:cNvPr id="157" name="直接连接符 157"/>
                        <wps:cNvCnPr/>
                        <wps:spPr>
                          <a:xfrm>
                            <a:off x="7110" y="9310"/>
                            <a:ext cx="0" cy="562"/>
                          </a:xfrm>
                          <a:prstGeom prst="line">
                            <a:avLst/>
                          </a:prstGeom>
                          <a:ln w="22225" cap="flat" cmpd="sng">
                            <a:solidFill>
                              <a:srgbClr val="000000"/>
                            </a:solidFill>
                            <a:prstDash val="solid"/>
                            <a:headEnd type="none" w="med" len="med"/>
                            <a:tailEnd type="triangle" w="med" len="med"/>
                          </a:ln>
                          <a:effectLst/>
                        </wps:spPr>
                        <wps:bodyPr upright="1"/>
                      </wps:wsp>
                      <wps:wsp>
                        <wps:cNvPr id="158" name="菱形 158"/>
                        <wps:cNvSpPr/>
                        <wps:spPr>
                          <a:xfrm>
                            <a:off x="6300" y="9862"/>
                            <a:ext cx="1620" cy="626"/>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检测</w:t>
                              </w:r>
                            </w:p>
                          </w:txbxContent>
                        </wps:txbx>
                        <wps:bodyPr upright="1"/>
                      </wps:wsp>
                      <wps:wsp>
                        <wps:cNvPr id="159" name="直接连接符 159"/>
                        <wps:cNvCnPr/>
                        <wps:spPr>
                          <a:xfrm flipV="1">
                            <a:off x="6900" y="6317"/>
                            <a:ext cx="2100" cy="5"/>
                          </a:xfrm>
                          <a:prstGeom prst="line">
                            <a:avLst/>
                          </a:prstGeom>
                          <a:ln w="22225" cap="flat" cmpd="sng">
                            <a:solidFill>
                              <a:srgbClr val="000000"/>
                            </a:solidFill>
                            <a:prstDash val="solid"/>
                            <a:headEnd type="none" w="med" len="med"/>
                            <a:tailEnd type="triangle" w="med" len="med"/>
                          </a:ln>
                          <a:effectLst/>
                        </wps:spPr>
                        <wps:bodyPr upright="1"/>
                      </wps:wsp>
                      <wps:wsp>
                        <wps:cNvPr id="160" name="菱形 160"/>
                        <wps:cNvSpPr/>
                        <wps:spPr>
                          <a:xfrm>
                            <a:off x="9015" y="5989"/>
                            <a:ext cx="1620" cy="627"/>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检测</w:t>
                              </w:r>
                            </w:p>
                          </w:txbxContent>
                        </wps:txbx>
                        <wps:bodyPr upright="1"/>
                      </wps:wsp>
                      <wps:wsp>
                        <wps:cNvPr id="161" name="菱形 161"/>
                        <wps:cNvSpPr/>
                        <wps:spPr>
                          <a:xfrm>
                            <a:off x="9150" y="6893"/>
                            <a:ext cx="1620" cy="626"/>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spacing w:line="280" w:lineRule="exact"/>
                                <w:jc w:val="center"/>
                                <w:rPr>
                                  <w:rFonts w:ascii="宋体" w:hAnsi="宋体"/>
                                </w:rPr>
                              </w:pPr>
                              <w:r>
                                <w:rPr>
                                  <w:rFonts w:hint="eastAsia" w:ascii="宋体" w:hAnsi="宋体"/>
                                </w:rPr>
                                <w:t>检测</w:t>
                              </w:r>
                            </w:p>
                          </w:txbxContent>
                        </wps:txbx>
                        <wps:bodyPr upright="1"/>
                      </wps:wsp>
                    </wpg:wgp>
                  </a:graphicData>
                </a:graphic>
              </wp:anchor>
            </w:drawing>
          </mc:Choice>
          <mc:Fallback>
            <w:pict>
              <v:group id="_x0000_s1026" o:spid="_x0000_s1026" o:spt="203" style="position:absolute;left:0pt;margin-left:12.95pt;margin-top:17.7pt;height:283.1pt;width:432pt;z-index:251662336;mso-width-relative:page;mso-height-relative:page;" coordorigin="1620,4560" coordsize="9180,5928" o:gfxdata="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&#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Bhe0qvaAAAACQEAAA8AAAAAAAAAAQAgAAAAIgAAAGRy&#10;cy9kb3ducmV2LnhtbFBLAQIUABQAAAAIAIdO4kBfyNnysAYAAA9EAAAOAAAAAAAAAAEAIAAAACkB&#10;AABkcnMvZTJvRG9jLnhtbFBLBQYAAAAABgAGAFkBAABLCgAAAAA=&#10;">
                <o:lock v:ext="edit" aspectratio="f"/>
                <v:rect id="_x0000_s1026" o:spid="_x0000_s1026" o:spt="1" style="position:absolute;left:1620;top:5816;height:460;width:1080;" fillcolor="#FFFFFF" filled="t" stroked="t" coordsize="21600,21600" o:gfxdata="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0jeK8AAAA&#10;3A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textbox>
                    <w:txbxContent>
                      <w:p>
                        <w:pPr>
                          <w:spacing w:line="280" w:lineRule="exact"/>
                          <w:jc w:val="center"/>
                          <w:rPr>
                            <w:rFonts w:ascii="宋体" w:hAnsi="宋体"/>
                          </w:rPr>
                        </w:pPr>
                        <w:r>
                          <w:rPr>
                            <w:rFonts w:hint="eastAsia" w:ascii="宋体" w:hAnsi="宋体"/>
                          </w:rPr>
                          <w:t>着色</w:t>
                        </w:r>
                      </w:p>
                    </w:txbxContent>
                  </v:textbox>
                </v:rect>
                <v:line id="_x0000_s1026" o:spid="_x0000_s1026" o:spt="20" style="position:absolute;left:1980;top:5440;height:0;width:1080;" filled="f" stroked="t" coordsize="21600,21600" o:gfxdata="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XcDr4A&#10;AADcAAAADwAAAAAAAAABACAAAAAiAAAAZHJzL2Rvd25yZXYueG1sUEsBAhQAFAAAAAgAh07iQDMv&#10;BZ47AAAAOQAAABAAAAAAAAAAAQAgAAAADQEAAGRycy9zaGFwZXhtbC54bWxQSwUGAAAAAAYABgBb&#10;AQAAtwMAAAAA&#10;">
                  <v:fill on="f" focussize="0,0"/>
                  <v:stroke weight="1.75pt" color="#000000" joinstyle="round" endarrow="block"/>
                  <v:imagedata o:title=""/>
                  <o:lock v:ext="edit" aspectratio="f"/>
                </v:line>
                <v:rect id="_x0000_s1026" o:spid="_x0000_s1026" o:spt="1" style="position:absolute;left:6120;top:5652;height:540;width:1620;" fillcolor="#FFFFFF" filled="t" stroked="t" coordsize="21600,21600" o:gfxdata="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GwDbsAAADc&#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w:txbxContent>
                      <w:p>
                        <w:pPr>
                          <w:spacing w:line="280" w:lineRule="exact"/>
                          <w:jc w:val="center"/>
                          <w:rPr>
                            <w:rFonts w:ascii="宋体" w:hAnsi="宋体"/>
                          </w:rPr>
                        </w:pPr>
                        <w:r>
                          <w:rPr>
                            <w:rFonts w:hint="eastAsia" w:ascii="宋体" w:hAnsi="宋体"/>
                          </w:rPr>
                          <w:t>二次套塑</w:t>
                        </w:r>
                      </w:p>
                    </w:txbxContent>
                  </v:textbox>
                </v:rect>
                <v:line id="_x0000_s1026" o:spid="_x0000_s1026" o:spt="20" style="position:absolute;left:2700;top:6067;height:0;width:3420;" filled="f" stroked="t" coordsize="21600,21600" o:gfxdata="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vn4r4A&#10;AADcAAAADwAAAAAAAAABACAAAAAiAAAAZHJzL2Rvd25yZXYueG1sUEsBAhQAFAAAAAgAh07iQDMv&#10;BZ47AAAAOQAAABAAAAAAAAAAAQAgAAAADQEAAGRycy9zaGFwZXhtbC54bWxQSwUGAAAAAAYABgBb&#10;AQAAtwMAAAAA&#10;">
                  <v:fill on="f" focussize="0,0"/>
                  <v:stroke weight="1.75pt" color="#000000" joinstyle="round" endarrow="block"/>
                  <v:imagedata o:title=""/>
                  <o:lock v:ext="edit" aspectratio="f"/>
                </v:line>
                <v:rect id="_x0000_s1026" o:spid="_x0000_s1026" o:spt="1" style="position:absolute;left:7200;top:7694;height:501;width:2160;" fillcolor="#FFFFFF" filled="t" stroked="t" coordsize="21600,21600" o:gfxdata="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Pi+G8AAAA&#10;3A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textbox>
                    <w:txbxContent>
                      <w:p>
                        <w:pPr>
                          <w:spacing w:line="280" w:lineRule="exact"/>
                          <w:jc w:val="center"/>
                          <w:rPr>
                            <w:rFonts w:ascii="宋体" w:hAnsi="宋体"/>
                          </w:rPr>
                        </w:pPr>
                        <w:r>
                          <w:rPr>
                            <w:rFonts w:hint="eastAsia" w:ascii="宋体" w:hAnsi="宋体"/>
                          </w:rPr>
                          <w:t>钢丝绞合成缆</w:t>
                        </w:r>
                      </w:p>
                    </w:txbxContent>
                  </v:textbox>
                </v:rect>
                <v:line id="_x0000_s1026" o:spid="_x0000_s1026" o:spt="20" style="position:absolute;left:3420;top:6067;height:375;width:0;" filled="f" stroked="t" coordsize="21600,21600" o:gfxdata="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qNYLvQAA&#10;ANwAAAAPAAAAAAAAAAEAIAAAACIAAABkcnMvZG93bnJldi54bWxQSwECFAAUAAAACACHTuJAMy8F&#10;njsAAAA5AAAAEAAAAAAAAAABACAAAAAMAQAAZHJzL3NoYXBleG1sLnhtbFBLBQYAAAAABgAGAFsB&#10;AAC2AwAAAAA=&#10;">
                  <v:fill on="f" focussize="0,0"/>
                  <v:stroke weight="1.75pt" color="#000000" joinstyle="round" endarrow="block"/>
                  <v:imagedata o:title=""/>
                  <o:lock v:ext="edit" aspectratio="f"/>
                </v:line>
                <v:line id="_x0000_s1026" o:spid="_x0000_s1026" o:spt="20" style="position:absolute;left:8460;top:7194;height:0;width:720;" filled="f" stroked="t" coordsize="21600,21600" o:gfxdata="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RzkL4A&#10;AADcAAAADwAAAAAAAAABACAAAAAiAAAAZHJzL2Rvd25yZXYueG1sUEsBAhQAFAAAAAgAh07iQDMv&#10;BZ47AAAAOQAAABAAAAAAAAAAAQAgAAAADQEAAGRycy9zaGFwZXhtbC54bWxQSwUGAAAAAAYABgBb&#10;AQAAtwMAAAAA&#10;">
                  <v:fill on="f" focussize="0,0"/>
                  <v:stroke weight="1.75pt" color="#000000" joinstyle="round" endarrow="block"/>
                  <v:imagedata o:title=""/>
                  <o:lock v:ext="edit" aspectratio="f"/>
                </v:line>
                <v:line id="_x0000_s1026" o:spid="_x0000_s1026" o:spt="20" style="position:absolute;left:3420;top:7444;flip:x;height:0;width:1440;" filled="f" stroked="t" coordsize="21600,21600" o:gfxdata="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6uk0vQAA&#10;ANwAAAAPAAAAAAAAAAEAIAAAACIAAABkcnMvZG93bnJldi54bWxQSwECFAAUAAAACACHTuJAMy8F&#10;njsAAAA5AAAAEAAAAAAAAAABACAAAAAMAQAAZHJzL3NoYXBleG1sLnhtbFBLBQYAAAAABgAGAFsB&#10;AAC2AwAAAAA=&#10;">
                  <v:fill on="f" focussize="0,0"/>
                  <v:stroke weight="1.75pt" color="#000000" joinstyle="round" endarrow="block"/>
                  <v:imagedata o:title=""/>
                  <o:lock v:ext="edit" aspectratio="f"/>
                </v:line>
                <v:line id="_x0000_s1026" o:spid="_x0000_s1026" o:spt="20" style="position:absolute;left:6840;top:6192;height:375;width:0;" filled="f" stroked="t" coordsize="21600,21600" o:gfxdata="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UDOu8AAAA&#10;3AAAAA8AAAAAAAAAAQAgAAAAIgAAAGRycy9kb3ducmV2LnhtbFBLAQIUABQAAAAIAIdO4kAzLwWe&#10;OwAAADkAAAAQAAAAAAAAAAEAIAAAAAsBAABkcnMvc2hhcGV4bWwueG1sUEsFBgAAAAAGAAYAWwEA&#10;ALUDAAAAAA==&#10;">
                  <v:fill on="f" focussize="0,0"/>
                  <v:stroke weight="1.75pt" color="#000000" joinstyle="round" endarrow="block"/>
                  <v:imagedata o:title=""/>
                  <o:lock v:ext="edit" aspectratio="f"/>
                </v:line>
                <v:line id="_x0000_s1026" o:spid="_x0000_s1026" o:spt="20" style="position:absolute;left:8460;top:6567;height:1127;width:0;" filled="f" stroked="t" coordsize="21600,21600" o:gfxdata="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pKcvQAA&#10;ANwAAAAPAAAAAAAAAAEAIAAAACIAAABkcnMvZG93bnJldi54bWxQSwECFAAUAAAACACHTuJAMy8F&#10;njsAAAA5AAAAEAAAAAAAAAABACAAAAAMAQAAZHJzL3NoYXBleG1sLnhtbFBLBQYAAAAABgAGAFsB&#10;AAC2AwAAAAA=&#10;">
                  <v:fill on="f" focussize="0,0"/>
                  <v:stroke weight="1.75pt" color="#000000" joinstyle="round" endarrow="block"/>
                  <v:imagedata o:title=""/>
                  <o:lock v:ext="edit" aspectratio="f"/>
                </v:line>
                <v:line id="_x0000_s1026" o:spid="_x0000_s1026" o:spt="20" style="position:absolute;left:8460;top:8195;height:877;width:0;" filled="f" stroked="t" coordsize="21600,21600" o:gfxdata="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o3B74A&#10;AADcAAAADwAAAAAAAAABACAAAAAiAAAAZHJzL2Rvd25yZXYueG1sUEsBAhQAFAAAAAgAh07iQDMv&#10;BZ47AAAAOQAAABAAAAAAAAAAAQAgAAAADQEAAGRycy9zaGFwZXhtbC54bWxQSwUGAAAAAAYABgBb&#10;AQAAtwMAAAAA&#10;">
                  <v:fill on="f" focussize="0,0"/>
                  <v:stroke weight="1.75pt" color="#000000" joinstyle="round" endarrow="block"/>
                  <v:imagedata o:title=""/>
                  <o:lock v:ext="edit" aspectratio="f"/>
                </v:line>
                <v:line id="_x0000_s1026" o:spid="_x0000_s1026" o:spt="20" style="position:absolute;left:4860;top:6567;height:1127;width:0;" filled="f" stroked="t" coordsize="21600,21600" o:gfxdata="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jr3O8AAAA&#10;3AAAAA8AAAAAAAAAAQAgAAAAIgAAAGRycy9kb3ducmV2LnhtbFBLAQIUABQAAAAIAIdO4kAzLwWe&#10;OwAAADkAAAAQAAAAAAAAAAEAIAAAAAsBAABkcnMvc2hhcGV4bWwueG1sUEsFBgAAAAAGAAYAWwEA&#10;ALUDAAAAAA==&#10;">
                  <v:fill on="f" focussize="0,0"/>
                  <v:stroke weight="1.75pt" color="#000000" joinstyle="round" endarrow="block"/>
                  <v:imagedata o:title=""/>
                  <o:lock v:ext="edit" aspectratio="f"/>
                </v:line>
                <v:line id="_x0000_s1026" o:spid="_x0000_s1026" o:spt="20" style="position:absolute;left:4860;top:6567;flip:x;height:0;width:3600;" filled="f" stroked="t" coordsize="21600,21600" o:gfxdata="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Se5AAAA3AAA&#10;AA8AAAAAAAAAAQAgAAAAIgAAAGRycy9kb3ducmV2LnhtbFBLAQIUABQAAAAIAIdO4kAzLwWeOwAA&#10;ADkAAAAQAAAAAAAAAAEAIAAAAAgBAABkcnMvc2hhcGV4bWwueG1sUEsFBgAAAAAGAAYAWwEAALID&#10;AAAAAA==&#10;">
                  <v:fill on="f" focussize="0,0"/>
                  <v:stroke weight="1.75pt" color="#000000" joinstyle="round"/>
                  <v:imagedata o:title=""/>
                  <o:lock v:ext="edit" aspectratio="f"/>
                </v:line>
                <v:shape id="_x0000_s1026" o:spid="_x0000_s1026" o:spt="202" type="#_x0000_t202" style="position:absolute;left:1620;top:4560;height:495;width:1260;" fillcolor="#FFFFFF" filled="t" stroked="t" coordsize="21600,21600" o:gfxdata="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JtC68AAAA&#10;3AAAAA8AAAAAAAAAAQAgAAAAIgAAAGRycy9kb3ducmV2LnhtbFBLAQIUABQAAAAIAIdO4kAzLwWe&#10;OwAAADkAAAAQAAAAAAAAAAEAIAAAAAsBAABkcnMvc2hhcGV4bWwueG1sUEsFBgAAAAAGAAYAWwEA&#10;ALUDAAAAAA==&#10;">
                  <v:fill on="t" focussize="0,0"/>
                  <v:stroke weight="1.25pt" color="#000000" joinstyle="miter"/>
                  <v:imagedata o:title=""/>
                  <o:lock v:ext="edit" aspectratio="f"/>
                  <v:textbox>
                    <w:txbxContent>
                      <w:p>
                        <w:pPr>
                          <w:spacing w:line="280" w:lineRule="exact"/>
                          <w:jc w:val="center"/>
                          <w:rPr>
                            <w:rFonts w:ascii="宋体" w:hAnsi="宋体"/>
                          </w:rPr>
                        </w:pPr>
                        <w:r>
                          <w:rPr>
                            <w:rFonts w:hint="eastAsia" w:ascii="宋体" w:hAnsi="宋体"/>
                          </w:rPr>
                          <w:t>光纤</w:t>
                        </w:r>
                      </w:p>
                    </w:txbxContent>
                  </v:textbox>
                </v:shape>
                <v:line id="_x0000_s1026" o:spid="_x0000_s1026" o:spt="20" style="position:absolute;left:1980;top:5065;height:722;width:0;" filled="f" stroked="t" coordsize="21600,21600" o:gfxdata="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ExBL4A&#10;AADcAAAADwAAAAAAAAABACAAAAAiAAAAZHJzL2Rvd25yZXYueG1sUEsBAhQAFAAAAAgAh07iQDMv&#10;BZ47AAAAOQAAABAAAAAAAAAAAQAgAAAADQEAAGRycy9zaGFwZXhtbC54bWxQSwUGAAAAAAYABgBb&#10;AQAAtwMAAAAA&#10;">
                  <v:fill on="f" focussize="0,0"/>
                  <v:stroke weight="1.75pt" color="#000000" joinstyle="round" endarrow="block"/>
                  <v:imagedata o:title=""/>
                  <o:lock v:ext="edit" aspectratio="f"/>
                </v:line>
                <v:line id="_x0000_s1026" o:spid="_x0000_s1026" o:spt="20" style="position:absolute;left:8460;top:8571;height:0;width:720;" filled="f" stroked="t" coordsize="21600,21600" o:gfxdata="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6ldrsAAADc&#10;AAAADwAAAAAAAAABACAAAAAiAAAAZHJzL2Rvd25yZXYueG1sUEsBAhQAFAAAAAgAh07iQDMvBZ47&#10;AAAAOQAAABAAAAAAAAAAAQAgAAAACgEAAGRycy9zaGFwZXhtbC54bWxQSwUGAAAAAAYABgBbAQAA&#10;tAMAAAAA&#10;">
                  <v:fill on="f" focussize="0,0"/>
                  <v:stroke weight="1.75pt" color="#000000" joinstyle="round" endarrow="block"/>
                  <v:imagedata o:title=""/>
                  <o:lock v:ext="edit" aspectratio="f"/>
                </v:line>
                <v:shape id="_x0000_s1026" o:spid="_x0000_s1026" o:spt="4" type="#_x0000_t4" style="position:absolute;left:3090;top:5132;height:626;width:1620;" fillcolor="#FFFFFF" filled="t" stroked="t" coordsize="21600,21600" o:gfxdata="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cw2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80" w:lineRule="exact"/>
                          <w:jc w:val="center"/>
                          <w:rPr>
                            <w:rFonts w:ascii="宋体" w:hAnsi="宋体"/>
                          </w:rPr>
                        </w:pPr>
                        <w:r>
                          <w:rPr>
                            <w:rFonts w:hint="eastAsia" w:ascii="宋体" w:hAnsi="宋体"/>
                          </w:rPr>
                          <w:t>检测</w:t>
                        </w:r>
                      </w:p>
                    </w:txbxContent>
                  </v:textbox>
                </v:shape>
                <v:shape id="_x0000_s1026" o:spid="_x0000_s1026" o:spt="4" type="#_x0000_t4" style="position:absolute;left:2580;top:6445;height:626;width:1620;" fillcolor="#FFFFFF" filled="t" stroked="t" coordsize="21600,21600" o:gfxdata="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6QP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ascii="宋体" w:hAnsi="宋体"/>
                          </w:rPr>
                        </w:pPr>
                        <w:r>
                          <w:rPr>
                            <w:rFonts w:hint="eastAsia" w:ascii="宋体" w:hAnsi="宋体"/>
                          </w:rPr>
                          <w:t>检测</w:t>
                        </w:r>
                      </w:p>
                    </w:txbxContent>
                  </v:textbox>
                </v:shape>
                <v:shape id="_x0000_s1026" o:spid="_x0000_s1026" o:spt="4" type="#_x0000_t4" style="position:absolute;left:1785;top:7126;height:626;width:1620;" fillcolor="#FFFFFF" filled="t" stroked="t" coordsize="21600,21600" o:gfxdata="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iqA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80" w:lineRule="exact"/>
                          <w:jc w:val="center"/>
                          <w:rPr>
                            <w:rFonts w:ascii="宋体" w:hAnsi="宋体"/>
                          </w:rPr>
                        </w:pPr>
                        <w:r>
                          <w:rPr>
                            <w:rFonts w:hint="eastAsia" w:ascii="宋体" w:hAnsi="宋体"/>
                          </w:rPr>
                          <w:t>检测</w:t>
                        </w:r>
                      </w:p>
                    </w:txbxContent>
                  </v:textbox>
                </v:shape>
                <v:rect id="_x0000_s1026" o:spid="_x0000_s1026" o:spt="1" style="position:absolute;left:3795;top:7704;height:501;width:2160;" fillcolor="#FFFFFF" filled="t" stroked="t" coordsize="21600,21600" o:gfxdata="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nzdm5AAAA3AAA&#10;AA8AAAAAAAAAAQAgAAAAIgAAAGRycy9kb3ducmV2LnhtbFBLAQIUABQAAAAIAIdO4kAzLwWeOwAA&#10;ADkAAAAQAAAAAAAAAAEAIAAAAAgBAABkcnMvc2hhcGV4bWwueG1sUEsFBgAAAAAGAAYAWwEAALID&#10;AAAAAA==&#10;">
                  <v:fill on="t" focussize="0,0"/>
                  <v:stroke weight="1.25pt" color="#000000" joinstyle="miter"/>
                  <v:imagedata o:title=""/>
                  <o:lock v:ext="edit" aspectratio="f"/>
                  <v:textbox>
                    <w:txbxContent>
                      <w:p>
                        <w:pPr>
                          <w:spacing w:line="280" w:lineRule="exact"/>
                          <w:jc w:val="center"/>
                          <w:rPr>
                            <w:rFonts w:ascii="宋体" w:hAnsi="宋体"/>
                          </w:rPr>
                        </w:pPr>
                        <w:r>
                          <w:rPr>
                            <w:rFonts w:hint="eastAsia" w:ascii="宋体" w:hAnsi="宋体"/>
                          </w:rPr>
                          <w:t>SZ绞成缆</w:t>
                        </w:r>
                      </w:p>
                    </w:txbxContent>
                  </v:textbox>
                </v:rect>
                <v:shape id="_x0000_s1026" o:spid="_x0000_s1026" o:spt="4" type="#_x0000_t4" style="position:absolute;left:9180;top:8260;height:627;width:1620;" fillcolor="#FFFFFF" filled="t" stroked="t" coordsize="21600,21600" o:gfxdata="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aR7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80" w:lineRule="exact"/>
                          <w:jc w:val="center"/>
                          <w:rPr>
                            <w:rFonts w:ascii="宋体" w:hAnsi="宋体"/>
                          </w:rPr>
                        </w:pPr>
                        <w:r>
                          <w:rPr>
                            <w:rFonts w:hint="eastAsia" w:ascii="宋体" w:hAnsi="宋体"/>
                          </w:rPr>
                          <w:t>检测</w:t>
                        </w:r>
                      </w:p>
                    </w:txbxContent>
                  </v:textbox>
                </v:shape>
                <v:line id="_x0000_s1026" o:spid="_x0000_s1026" o:spt="20" style="position:absolute;left:6405;top:9296;flip:x;height:0;width:1440;" filled="f" stroked="t" coordsize="21600,21600" o:gfxdata="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Ieeq5AAAA3AAA&#10;AA8AAAAAAAAAAQAgAAAAIgAAAGRycy9kb3ducmV2LnhtbFBLAQIUABQAAAAIAIdO4kAzLwWeOwAA&#10;ADkAAAAQAAAAAAAAAAEAIAAAAAgBAABkcnMvc2hhcGV4bWwueG1sUEsFBgAAAAAGAAYAWwEAALID&#10;AAAAAA==&#10;">
                  <v:fill on="f" focussize="0,0"/>
                  <v:stroke weight="1.75pt" color="#000000" joinstyle="round" endarrow="block"/>
                  <v:imagedata o:title=""/>
                  <o:lock v:ext="edit" aspectratio="f"/>
                </v:line>
                <v:rect id="_x0000_s1026" o:spid="_x0000_s1026" o:spt="1" style="position:absolute;left:5085;top:9091;height:482;width:1300;" fillcolor="#FFFFFF" filled="t" stroked="t" coordsize="21600,21600" o:gfxdata="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5VrbsAAADc&#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w:txbxContent>
                      <w:p>
                        <w:pPr>
                          <w:spacing w:line="280" w:lineRule="exact"/>
                          <w:jc w:val="center"/>
                          <w:rPr>
                            <w:rFonts w:ascii="宋体" w:hAnsi="宋体"/>
                          </w:rPr>
                        </w:pPr>
                        <w:r>
                          <w:rPr>
                            <w:rFonts w:hint="eastAsia" w:ascii="宋体" w:hAnsi="宋体"/>
                          </w:rPr>
                          <w:t>包装</w:t>
                        </w:r>
                      </w:p>
                    </w:txbxContent>
                  </v:textbox>
                </v:rect>
                <v:rect id="_x0000_s1026" o:spid="_x0000_s1026" o:spt="1" style="position:absolute;left:7860;top:9089;height:484;width:1300;" fillcolor="#FFFFFF" filled="t" stroked="t" coordsize="21600,21600" o:gfxdata="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XMvaugAAANwA&#10;AAAPAAAAAAAAAAEAIAAAACIAAABkcnMvZG93bnJldi54bWxQSwECFAAUAAAACACHTuJAMy8FnjsA&#10;AAA5AAAAEAAAAAAAAAABACAAAAAJAQAAZHJzL3NoYXBleG1sLnhtbFBLBQYAAAAABgAGAFsBAACz&#10;AwAAAAA=&#10;">
                  <v:fill on="t" focussize="0,0"/>
                  <v:stroke weight="1.25pt" color="#000000" joinstyle="miter"/>
                  <v:imagedata o:title=""/>
                  <o:lock v:ext="edit" aspectratio="f"/>
                  <v:textbox>
                    <w:txbxContent>
                      <w:p>
                        <w:pPr>
                          <w:spacing w:line="280" w:lineRule="exact"/>
                          <w:jc w:val="center"/>
                          <w:rPr>
                            <w:rFonts w:ascii="宋体" w:hAnsi="宋体"/>
                          </w:rPr>
                        </w:pPr>
                        <w:r>
                          <w:rPr>
                            <w:rFonts w:hint="eastAsia" w:ascii="宋体" w:hAnsi="宋体"/>
                          </w:rPr>
                          <w:t>护套</w:t>
                        </w:r>
                      </w:p>
                      <w:p>
                        <w:pPr>
                          <w:rPr>
                            <w:rFonts w:ascii="宋体" w:hAnsi="宋体"/>
                          </w:rPr>
                        </w:pPr>
                      </w:p>
                    </w:txbxContent>
                  </v:textbox>
                </v:rect>
                <v:line id="_x0000_s1026" o:spid="_x0000_s1026" o:spt="20" style="position:absolute;left:7110;top:9310;height:562;width:0;" filled="f" stroked="t" coordsize="21600,21600" o:gfxdata="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KfZvQAA&#10;ANwAAAAPAAAAAAAAAAEAIAAAACIAAABkcnMvZG93bnJldi54bWxQSwECFAAUAAAACACHTuJAMy8F&#10;njsAAAA5AAAAEAAAAAAAAAABACAAAAAMAQAAZHJzL3NoYXBleG1sLnhtbFBLBQYAAAAABgAGAFsB&#10;AAC2AwAAAAA=&#10;">
                  <v:fill on="f" focussize="0,0"/>
                  <v:stroke weight="1.75pt" color="#000000" joinstyle="round" endarrow="block"/>
                  <v:imagedata o:title=""/>
                  <o:lock v:ext="edit" aspectratio="f"/>
                </v:line>
                <v:shape id="_x0000_s1026" o:spid="_x0000_s1026" o:spt="4" type="#_x0000_t4" style="position:absolute;left:6300;top:9862;height:626;width:1620;" fillcolor="#FFFFFF" filled="t" stroked="t" coordsize="21600,21600" o:gfxdata="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ID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80" w:lineRule="exact"/>
                          <w:jc w:val="center"/>
                          <w:rPr>
                            <w:rFonts w:ascii="宋体" w:hAnsi="宋体"/>
                          </w:rPr>
                        </w:pPr>
                        <w:r>
                          <w:rPr>
                            <w:rFonts w:hint="eastAsia" w:ascii="宋体" w:hAnsi="宋体"/>
                          </w:rPr>
                          <w:t>检测</w:t>
                        </w:r>
                      </w:p>
                    </w:txbxContent>
                  </v:textbox>
                </v:shape>
                <v:line id="_x0000_s1026" o:spid="_x0000_s1026" o:spt="20" style="position:absolute;left:6900;top:6317;flip:y;height:5;width:2100;" filled="f" stroked="t" coordsize="21600,21600" o:gfxdata="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CdZ0ugAAANwA&#10;AAAPAAAAAAAAAAEAIAAAACIAAABkcnMvZG93bnJldi54bWxQSwECFAAUAAAACACHTuJAMy8FnjsA&#10;AAA5AAAAEAAAAAAAAAABACAAAAAJAQAAZHJzL3NoYXBleG1sLnhtbFBLBQYAAAAABgAGAFsBAACz&#10;AwAAAAA=&#10;">
                  <v:fill on="f" focussize="0,0"/>
                  <v:stroke weight="1.75pt" color="#000000" joinstyle="round" endarrow="block"/>
                  <v:imagedata o:title=""/>
                  <o:lock v:ext="edit" aspectratio="f"/>
                </v:line>
                <v:shape id="_x0000_s1026" o:spid="_x0000_s1026" o:spt="4" type="#_x0000_t4" style="position:absolute;left:9015;top:5989;height:627;width:1620;" fillcolor="#FFFFFF" filled="t" stroked="t" coordsize="21600,21600" o:gfxdata="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MU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80" w:lineRule="exact"/>
                          <w:jc w:val="center"/>
                          <w:rPr>
                            <w:rFonts w:ascii="宋体" w:hAnsi="宋体"/>
                          </w:rPr>
                        </w:pPr>
                        <w:r>
                          <w:rPr>
                            <w:rFonts w:hint="eastAsia" w:ascii="宋体" w:hAnsi="宋体"/>
                          </w:rPr>
                          <w:t>检测</w:t>
                        </w:r>
                      </w:p>
                    </w:txbxContent>
                  </v:textbox>
                </v:shape>
                <v:shape id="_x0000_s1026" o:spid="_x0000_s1026" o:spt="4" type="#_x0000_t4" style="position:absolute;left:9150;top:6893;height:626;width:1620;" fillcolor="#FFFFFF" filled="t" stroked="t" coordsize="21600,21600" o:gfxdata="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Rgv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80" w:lineRule="exact"/>
                          <w:jc w:val="center"/>
                          <w:rPr>
                            <w:rFonts w:ascii="宋体" w:hAnsi="宋体"/>
                          </w:rPr>
                        </w:pPr>
                        <w:r>
                          <w:rPr>
                            <w:rFonts w:hint="eastAsia" w:ascii="宋体" w:hAnsi="宋体"/>
                          </w:rPr>
                          <w:t>检测</w:t>
                        </w:r>
                      </w:p>
                    </w:txbxContent>
                  </v:textbox>
                </v:shape>
              </v:group>
            </w:pict>
          </mc:Fallback>
        </mc:AlternateContent>
      </w: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hint="eastAsia" w:asciiTheme="minorEastAsia" w:hAnsiTheme="minorEastAsia" w:eastAsiaTheme="minorEastAsia"/>
          <w:b/>
          <w:sz w:val="24"/>
        </w:rPr>
      </w:pPr>
    </w:p>
    <w:p>
      <w:pPr>
        <w:spacing w:line="480" w:lineRule="exact"/>
        <w:ind w:leftChars="-1" w:hanging="2"/>
        <w:rPr>
          <w:rFonts w:asciiTheme="minorEastAsia" w:hAnsiTheme="minorEastAsia" w:eastAsiaTheme="minorEastAsia"/>
          <w:b/>
          <w:sz w:val="24"/>
        </w:rPr>
      </w:pPr>
      <w:r>
        <w:rPr>
          <w:rFonts w:hint="eastAsia" w:asciiTheme="minorEastAsia" w:hAnsiTheme="minorEastAsia" w:eastAsiaTheme="minorEastAsia"/>
          <w:b/>
          <w:sz w:val="24"/>
        </w:rPr>
        <w:t>3、汉信光缆检验主要标准</w:t>
      </w:r>
    </w:p>
    <w:p>
      <w:pPr>
        <w:spacing w:line="480" w:lineRule="exact"/>
        <w:ind w:left="359" w:leftChars="171"/>
        <w:rPr>
          <w:rFonts w:asciiTheme="minorEastAsia" w:hAnsiTheme="minorEastAsia" w:eastAsiaTheme="minorEastAsia"/>
          <w:color w:val="000000"/>
          <w:sz w:val="24"/>
        </w:rPr>
      </w:pPr>
      <w:r>
        <w:rPr>
          <w:rFonts w:hint="eastAsia" w:asciiTheme="minorEastAsia" w:hAnsiTheme="minorEastAsia" w:eastAsiaTheme="minorEastAsia"/>
          <w:sz w:val="24"/>
        </w:rPr>
        <w:t>公司根据</w:t>
      </w:r>
      <w:r>
        <w:rPr>
          <w:rFonts w:hint="eastAsia" w:asciiTheme="minorEastAsia" w:hAnsiTheme="minorEastAsia" w:eastAsiaTheme="minorEastAsia"/>
          <w:color w:val="000000"/>
          <w:sz w:val="24"/>
        </w:rPr>
        <w:t>GY/T130—1998《</w:t>
      </w:r>
      <w:r>
        <w:rPr>
          <w:rFonts w:hint="eastAsia" w:cs="Arial" w:asciiTheme="minorEastAsia" w:hAnsiTheme="minorEastAsia" w:eastAsiaTheme="minorEastAsia"/>
          <w:sz w:val="24"/>
        </w:rPr>
        <w:t>有线电视用光缆入网技术条件</w:t>
      </w:r>
      <w:r>
        <w:rPr>
          <w:rFonts w:hint="eastAsia" w:asciiTheme="minorEastAsia" w:hAnsiTheme="minorEastAsia" w:eastAsiaTheme="minorEastAsia"/>
          <w:color w:val="000000"/>
          <w:sz w:val="24"/>
        </w:rPr>
        <w:t>》上要求的规定对光缆进行结构及电气性能的检验。</w:t>
      </w:r>
    </w:p>
    <w:p>
      <w:pPr>
        <w:spacing w:line="480" w:lineRule="exact"/>
        <w:ind w:leftChars="-1" w:hanging="2"/>
        <w:rPr>
          <w:rFonts w:cs="Arial" w:asciiTheme="minorEastAsia" w:hAnsiTheme="minorEastAsia" w:eastAsiaTheme="minorEastAsia"/>
          <w:b/>
          <w:sz w:val="24"/>
        </w:rPr>
      </w:pPr>
      <w:r>
        <w:rPr>
          <w:rFonts w:hint="eastAsia" w:asciiTheme="minorEastAsia" w:hAnsiTheme="minorEastAsia" w:eastAsiaTheme="minorEastAsia"/>
          <w:b/>
          <w:sz w:val="24"/>
        </w:rPr>
        <w:t>4、汉信</w:t>
      </w:r>
      <w:r>
        <w:rPr>
          <w:rFonts w:hint="eastAsia" w:cs="Arial" w:asciiTheme="minorEastAsia" w:hAnsiTheme="minorEastAsia" w:eastAsiaTheme="minorEastAsia"/>
          <w:b/>
          <w:sz w:val="24"/>
        </w:rPr>
        <w:t>光缆的试验主要标准</w:t>
      </w:r>
    </w:p>
    <w:p>
      <w:pPr>
        <w:spacing w:line="480" w:lineRule="exact"/>
        <w:ind w:firstLine="360" w:firstLineChars="150"/>
        <w:rPr>
          <w:rFonts w:cs="Arial" w:asciiTheme="minorEastAsia" w:hAnsiTheme="minorEastAsia" w:eastAsiaTheme="minorEastAsia"/>
          <w:sz w:val="24"/>
        </w:rPr>
      </w:pPr>
      <w:r>
        <w:rPr>
          <w:rFonts w:hint="eastAsia" w:cs="Arial" w:asciiTheme="minorEastAsia" w:hAnsiTheme="minorEastAsia" w:eastAsiaTheme="minorEastAsia"/>
          <w:sz w:val="24"/>
        </w:rPr>
        <w:t>GB/T 15972.2-1998光纤总规范 第2部分：尺寸参数试验方法</w:t>
      </w:r>
    </w:p>
    <w:p>
      <w:pPr>
        <w:spacing w:line="480" w:lineRule="exact"/>
        <w:ind w:firstLine="360" w:firstLineChars="150"/>
        <w:rPr>
          <w:rFonts w:cs="Arial" w:asciiTheme="minorEastAsia" w:hAnsiTheme="minorEastAsia" w:eastAsiaTheme="minorEastAsia"/>
          <w:sz w:val="24"/>
        </w:rPr>
      </w:pPr>
      <w:r>
        <w:rPr>
          <w:rFonts w:hint="eastAsia" w:cs="Arial" w:asciiTheme="minorEastAsia" w:hAnsiTheme="minorEastAsia" w:eastAsiaTheme="minorEastAsia"/>
          <w:sz w:val="24"/>
        </w:rPr>
        <w:t>GB/T 15972.3-1998光纤总规范 第3部分：机械性能试验方法</w:t>
      </w:r>
    </w:p>
    <w:p>
      <w:pPr>
        <w:spacing w:line="480" w:lineRule="exact"/>
        <w:ind w:firstLine="360" w:firstLineChars="150"/>
        <w:rPr>
          <w:rFonts w:cs="Arial" w:asciiTheme="minorEastAsia" w:hAnsiTheme="minorEastAsia" w:eastAsiaTheme="minorEastAsia"/>
          <w:sz w:val="24"/>
        </w:rPr>
      </w:pPr>
      <w:r>
        <w:rPr>
          <w:rFonts w:hint="eastAsia" w:cs="Arial" w:asciiTheme="minorEastAsia" w:hAnsiTheme="minorEastAsia" w:eastAsiaTheme="minorEastAsia"/>
          <w:sz w:val="24"/>
        </w:rPr>
        <w:t>GB/T 15972.4-1998光纤总规范 第4部分：传输性能和光学特性试验方法</w:t>
      </w:r>
    </w:p>
    <w:p>
      <w:pPr>
        <w:spacing w:line="480" w:lineRule="exact"/>
        <w:ind w:firstLine="360" w:firstLineChars="150"/>
        <w:rPr>
          <w:rFonts w:cs="Arial" w:asciiTheme="minorEastAsia" w:hAnsiTheme="minorEastAsia" w:eastAsiaTheme="minorEastAsia"/>
          <w:sz w:val="24"/>
        </w:rPr>
      </w:pPr>
      <w:r>
        <w:rPr>
          <w:rFonts w:hint="eastAsia" w:cs="Arial" w:asciiTheme="minorEastAsia" w:hAnsiTheme="minorEastAsia" w:eastAsiaTheme="minorEastAsia"/>
          <w:sz w:val="24"/>
        </w:rPr>
        <w:t>GB/T 7424.1-1998光缆  第一部分：总规范</w:t>
      </w:r>
    </w:p>
    <w:p>
      <w:pPr>
        <w:spacing w:line="480" w:lineRule="exact"/>
        <w:ind w:firstLine="360" w:firstLineChars="150"/>
        <w:rPr>
          <w:rFonts w:cs="Arial" w:asciiTheme="minorEastAsia" w:hAnsiTheme="minorEastAsia" w:eastAsiaTheme="minorEastAsia"/>
          <w:sz w:val="24"/>
        </w:rPr>
      </w:pPr>
      <w:r>
        <w:rPr>
          <w:rFonts w:hint="eastAsia" w:cs="Arial" w:asciiTheme="minorEastAsia" w:hAnsiTheme="minorEastAsia" w:eastAsiaTheme="minorEastAsia"/>
          <w:sz w:val="24"/>
        </w:rPr>
        <w:t>IEC 60794-1-2（1999）光缆第1-2部分：总规范—光缆基本试验方法</w:t>
      </w:r>
    </w:p>
    <w:p>
      <w:pPr>
        <w:spacing w:line="480" w:lineRule="exact"/>
        <w:ind w:left="-2" w:leftChars="-1" w:right="120"/>
        <w:jc w:val="left"/>
        <w:rPr>
          <w:rFonts w:asciiTheme="minorEastAsia" w:hAnsiTheme="minorEastAsia" w:eastAsiaTheme="minorEastAsia"/>
          <w:b/>
          <w:sz w:val="24"/>
        </w:rPr>
      </w:pPr>
      <w:r>
        <w:rPr>
          <w:rFonts w:hint="eastAsia" w:asciiTheme="minorEastAsia" w:hAnsiTheme="minorEastAsia" w:eastAsiaTheme="minorEastAsia"/>
          <w:b/>
          <w:sz w:val="24"/>
        </w:rPr>
        <w:t>5、质量保证措施</w:t>
      </w:r>
    </w:p>
    <w:p>
      <w:pPr>
        <w:spacing w:line="480" w:lineRule="exact"/>
        <w:ind w:leftChars="-1" w:hanging="2"/>
        <w:rPr>
          <w:rFonts w:asciiTheme="minorEastAsia" w:hAnsiTheme="minorEastAsia" w:eastAsiaTheme="minorEastAsia"/>
          <w:sz w:val="24"/>
        </w:rPr>
      </w:pPr>
      <w:r>
        <w:rPr>
          <w:rFonts w:hint="eastAsia" w:asciiTheme="minorEastAsia" w:hAnsiTheme="minorEastAsia" w:eastAsiaTheme="minorEastAsia"/>
          <w:sz w:val="24"/>
        </w:rPr>
        <w:t>5.1技术质量保证</w:t>
      </w:r>
    </w:p>
    <w:p>
      <w:pPr>
        <w:spacing w:line="480" w:lineRule="exact"/>
        <w:ind w:left="-1" w:firstLine="480" w:firstLineChars="200"/>
        <w:rPr>
          <w:rFonts w:asciiTheme="minorEastAsia" w:hAnsiTheme="minorEastAsia" w:eastAsiaTheme="minorEastAsia"/>
          <w:sz w:val="24"/>
        </w:rPr>
      </w:pPr>
      <w:r>
        <w:rPr>
          <w:rFonts w:hint="eastAsia" w:asciiTheme="minorEastAsia" w:hAnsiTheme="minorEastAsia" w:eastAsiaTheme="minorEastAsia"/>
          <w:sz w:val="24"/>
        </w:rPr>
        <w:t>公司一直坚持走质量效益型道路，产品质量管理已成为公司及所有组织机构管理的核心注重质量文化和质量保证体系建设，公司已经通过了ISO9001:2008质量管理体系认证，在质量保证方面公司更是加大力度进行了重点控制。并且公司积极采用国际、国内、行业先进标准。</w:t>
      </w:r>
    </w:p>
    <w:p>
      <w:pPr>
        <w:spacing w:line="480" w:lineRule="exact"/>
        <w:ind w:leftChars="-1" w:hanging="2"/>
        <w:rPr>
          <w:rFonts w:asciiTheme="minorEastAsia" w:hAnsiTheme="minorEastAsia" w:eastAsiaTheme="minorEastAsia"/>
          <w:bCs/>
          <w:sz w:val="24"/>
        </w:rPr>
      </w:pPr>
      <w:r>
        <w:rPr>
          <w:rFonts w:hint="eastAsia" w:asciiTheme="minorEastAsia" w:hAnsiTheme="minorEastAsia" w:eastAsiaTheme="minorEastAsia"/>
          <w:bCs/>
          <w:sz w:val="24"/>
        </w:rPr>
        <w:t>5.2健全的质量管理</w:t>
      </w:r>
    </w:p>
    <w:p>
      <w:pPr>
        <w:spacing w:line="480" w:lineRule="exact"/>
        <w:ind w:left="-1" w:firstLine="480" w:firstLineChars="200"/>
        <w:rPr>
          <w:rFonts w:asciiTheme="minorEastAsia" w:hAnsiTheme="minorEastAsia" w:eastAsiaTheme="minorEastAsia"/>
          <w:sz w:val="24"/>
        </w:rPr>
      </w:pPr>
      <w:r>
        <w:rPr>
          <w:rFonts w:hint="eastAsia" w:asciiTheme="minorEastAsia" w:hAnsiTheme="minorEastAsia" w:eastAsiaTheme="minorEastAsia"/>
          <w:sz w:val="24"/>
        </w:rPr>
        <w:t>公司建立了一套行之有效的质量过程体制和管理规范。实行二级质量管理制，检验权力独立，不受干扰。内部质量管理在生产副总下直接领导，对检验骨干和检验员实行责任落实到每一个人，并实行逐级管理，逐级考核，逐级把关。</w:t>
      </w:r>
    </w:p>
    <w:p>
      <w:pPr>
        <w:spacing w:line="480" w:lineRule="exact"/>
        <w:rPr>
          <w:rFonts w:asciiTheme="minorEastAsia" w:hAnsiTheme="minorEastAsia" w:eastAsiaTheme="minorEastAsia"/>
          <w:sz w:val="24"/>
        </w:rPr>
      </w:pPr>
      <w:r>
        <w:rPr>
          <w:rFonts w:hint="eastAsia" w:asciiTheme="minorEastAsia" w:hAnsiTheme="minorEastAsia" w:eastAsiaTheme="minorEastAsia"/>
          <w:sz w:val="24"/>
        </w:rPr>
        <w:t>（1）产前准备</w:t>
      </w:r>
    </w:p>
    <w:p>
      <w:pPr>
        <w:spacing w:line="480" w:lineRule="exact"/>
        <w:ind w:left="237" w:leftChars="113" w:firstLine="477" w:firstLineChars="199"/>
        <w:rPr>
          <w:rFonts w:asciiTheme="minorEastAsia" w:hAnsiTheme="minorEastAsia" w:eastAsiaTheme="minorEastAsia"/>
          <w:sz w:val="24"/>
        </w:rPr>
      </w:pPr>
      <w:r>
        <w:rPr>
          <w:rFonts w:hint="eastAsia" w:asciiTheme="minorEastAsia" w:hAnsiTheme="minorEastAsia" w:eastAsiaTheme="minorEastAsia"/>
          <w:sz w:val="24"/>
        </w:rPr>
        <w:t>a.技术工艺文件到位，工序有作业指导书，能保证指导加工；</w:t>
      </w:r>
    </w:p>
    <w:p>
      <w:pPr>
        <w:spacing w:line="480" w:lineRule="exact"/>
        <w:ind w:left="237" w:leftChars="113" w:firstLine="477" w:firstLineChars="199"/>
        <w:rPr>
          <w:rFonts w:asciiTheme="minorEastAsia" w:hAnsiTheme="minorEastAsia" w:eastAsiaTheme="minorEastAsia"/>
          <w:sz w:val="24"/>
        </w:rPr>
      </w:pPr>
      <w:r>
        <w:rPr>
          <w:rFonts w:hint="eastAsia" w:asciiTheme="minorEastAsia" w:hAnsiTheme="minorEastAsia" w:eastAsiaTheme="minorEastAsia"/>
          <w:sz w:val="24"/>
        </w:rPr>
        <w:t>b.设备完好，能保证正常加工；</w:t>
      </w:r>
    </w:p>
    <w:p>
      <w:pPr>
        <w:spacing w:line="480" w:lineRule="exact"/>
        <w:ind w:left="237" w:leftChars="113" w:firstLine="477" w:firstLineChars="199"/>
        <w:rPr>
          <w:rFonts w:asciiTheme="minorEastAsia" w:hAnsiTheme="minorEastAsia" w:eastAsiaTheme="minorEastAsia"/>
          <w:sz w:val="24"/>
        </w:rPr>
      </w:pPr>
      <w:r>
        <w:rPr>
          <w:rFonts w:hint="eastAsia" w:asciiTheme="minorEastAsia" w:hAnsiTheme="minorEastAsia" w:eastAsiaTheme="minorEastAsia"/>
          <w:sz w:val="24"/>
        </w:rPr>
        <w:t>c.人员培训上岗，能保证正常操作。</w:t>
      </w:r>
    </w:p>
    <w:p>
      <w:pPr>
        <w:spacing w:line="480" w:lineRule="exact"/>
        <w:rPr>
          <w:rFonts w:asciiTheme="minorEastAsia" w:hAnsiTheme="minorEastAsia" w:eastAsiaTheme="minorEastAsia"/>
          <w:sz w:val="24"/>
        </w:rPr>
      </w:pPr>
      <w:r>
        <w:rPr>
          <w:rFonts w:hint="eastAsia" w:asciiTheme="minorEastAsia" w:hAnsiTheme="minorEastAsia" w:eastAsiaTheme="minorEastAsia"/>
          <w:sz w:val="24"/>
        </w:rPr>
        <w:t>（2）生产过程控制</w:t>
      </w:r>
    </w:p>
    <w:p>
      <w:pPr>
        <w:spacing w:line="480" w:lineRule="exact"/>
        <w:ind w:firstLine="720" w:firstLineChars="300"/>
        <w:rPr>
          <w:rFonts w:asciiTheme="minorEastAsia" w:hAnsiTheme="minorEastAsia" w:eastAsiaTheme="minorEastAsia"/>
          <w:sz w:val="24"/>
        </w:rPr>
      </w:pPr>
      <w:r>
        <w:rPr>
          <w:rFonts w:hint="eastAsia" w:asciiTheme="minorEastAsia" w:hAnsiTheme="minorEastAsia" w:eastAsiaTheme="minorEastAsia"/>
          <w:sz w:val="24"/>
        </w:rPr>
        <w:t>a. 实行批次管理；</w:t>
      </w:r>
    </w:p>
    <w:p>
      <w:pPr>
        <w:spacing w:line="480" w:lineRule="exact"/>
        <w:ind w:firstLine="720" w:firstLineChars="300"/>
        <w:rPr>
          <w:rFonts w:asciiTheme="minorEastAsia" w:hAnsiTheme="minorEastAsia" w:eastAsiaTheme="minorEastAsia"/>
          <w:sz w:val="24"/>
        </w:rPr>
      </w:pPr>
      <w:r>
        <w:rPr>
          <w:rFonts w:hint="eastAsia" w:asciiTheme="minorEastAsia" w:hAnsiTheme="minorEastAsia" w:eastAsiaTheme="minorEastAsia"/>
          <w:sz w:val="24"/>
        </w:rPr>
        <w:t>b. 采取首检、自检、专检相结合，即：首批产品进行首件检定；加工者进行自我确认；检验进行专检验证；</w:t>
      </w:r>
    </w:p>
    <w:p>
      <w:pPr>
        <w:spacing w:line="480" w:lineRule="exact"/>
        <w:ind w:firstLine="720" w:firstLineChars="300"/>
        <w:rPr>
          <w:rFonts w:asciiTheme="minorEastAsia" w:hAnsiTheme="minorEastAsia" w:eastAsiaTheme="minorEastAsia"/>
          <w:sz w:val="24"/>
        </w:rPr>
      </w:pPr>
      <w:r>
        <w:rPr>
          <w:rFonts w:hint="eastAsia" w:asciiTheme="minorEastAsia" w:hAnsiTheme="minorEastAsia" w:eastAsiaTheme="minorEastAsia"/>
          <w:sz w:val="24"/>
        </w:rPr>
        <w:t>c. 关键重点工序依据作业指导书进行重点跟踪巡检；</w:t>
      </w:r>
    </w:p>
    <w:p>
      <w:pPr>
        <w:spacing w:line="480" w:lineRule="exact"/>
        <w:ind w:firstLine="720" w:firstLineChars="300"/>
        <w:rPr>
          <w:rFonts w:asciiTheme="minorEastAsia" w:hAnsiTheme="minorEastAsia" w:eastAsiaTheme="minorEastAsia"/>
          <w:sz w:val="24"/>
        </w:rPr>
      </w:pPr>
      <w:r>
        <w:rPr>
          <w:rFonts w:hint="eastAsia" w:asciiTheme="minorEastAsia" w:hAnsiTheme="minorEastAsia" w:eastAsiaTheme="minorEastAsia"/>
          <w:sz w:val="24"/>
        </w:rPr>
        <w:t>d. 上、下道工序有随工单进行交接，便于追溯；</w:t>
      </w:r>
    </w:p>
    <w:p>
      <w:pPr>
        <w:spacing w:line="480" w:lineRule="exact"/>
        <w:ind w:firstLine="720" w:firstLineChars="300"/>
        <w:rPr>
          <w:rFonts w:asciiTheme="minorEastAsia" w:hAnsiTheme="minorEastAsia" w:eastAsiaTheme="minorEastAsia"/>
          <w:sz w:val="24"/>
        </w:rPr>
      </w:pPr>
      <w:r>
        <w:rPr>
          <w:rFonts w:hint="eastAsia" w:asciiTheme="minorEastAsia" w:hAnsiTheme="minorEastAsia" w:eastAsiaTheme="minorEastAsia"/>
          <w:sz w:val="24"/>
        </w:rPr>
        <w:t>e. 实行定置管理，按数量、按区域码放，并进行标识；</w:t>
      </w:r>
    </w:p>
    <w:p>
      <w:pPr>
        <w:spacing w:line="480" w:lineRule="exact"/>
        <w:ind w:firstLine="720" w:firstLineChars="300"/>
        <w:rPr>
          <w:rFonts w:asciiTheme="minorEastAsia" w:hAnsiTheme="minorEastAsia" w:eastAsiaTheme="minorEastAsia"/>
          <w:sz w:val="24"/>
        </w:rPr>
      </w:pPr>
      <w:r>
        <w:rPr>
          <w:rFonts w:hint="eastAsia" w:asciiTheme="minorEastAsia" w:hAnsiTheme="minorEastAsia" w:eastAsiaTheme="minorEastAsia"/>
          <w:sz w:val="24"/>
        </w:rPr>
        <w:t>f. 对不合格品进行审理、登记、隔离、并进行标识；</w:t>
      </w:r>
    </w:p>
    <w:p>
      <w:pPr>
        <w:spacing w:line="480" w:lineRule="exact"/>
        <w:ind w:firstLine="720" w:firstLineChars="300"/>
        <w:rPr>
          <w:rFonts w:hint="eastAsia" w:asciiTheme="minorEastAsia" w:hAnsiTheme="minorEastAsia" w:eastAsiaTheme="minorEastAsia"/>
          <w:sz w:val="24"/>
        </w:rPr>
      </w:pPr>
      <w:r>
        <w:rPr>
          <w:rFonts w:hint="eastAsia" w:asciiTheme="minorEastAsia" w:hAnsiTheme="minorEastAsia" w:eastAsiaTheme="minorEastAsia"/>
          <w:sz w:val="24"/>
        </w:rPr>
        <w:t>g. 工装、模具在使用前进行校检、标识；</w:t>
      </w:r>
    </w:p>
    <w:p>
      <w:pPr>
        <w:spacing w:line="480" w:lineRule="exact"/>
        <w:ind w:firstLine="720" w:firstLineChars="300"/>
        <w:rPr>
          <w:rFonts w:asciiTheme="minorEastAsia" w:hAnsiTheme="minorEastAsia" w:eastAsiaTheme="minorEastAsia"/>
          <w:sz w:val="24"/>
        </w:rPr>
      </w:pPr>
      <w:r>
        <w:rPr>
          <w:rFonts w:hint="eastAsia" w:asciiTheme="minorEastAsia" w:hAnsiTheme="minorEastAsia" w:eastAsiaTheme="minorEastAsia"/>
          <w:sz w:val="24"/>
        </w:rPr>
        <w:t>h. 按工艺要求转运、码放、包装、保证产品表面不划伤。</w:t>
      </w:r>
    </w:p>
    <w:p>
      <w:pPr>
        <w:spacing w:line="480" w:lineRule="exact"/>
        <w:ind w:leftChars="-1" w:hanging="2"/>
        <w:rPr>
          <w:rFonts w:asciiTheme="minorEastAsia" w:hAnsiTheme="minorEastAsia" w:eastAsiaTheme="minorEastAsia"/>
          <w:sz w:val="24"/>
        </w:rPr>
      </w:pPr>
      <w:r>
        <w:rPr>
          <w:rFonts w:hint="eastAsia" w:asciiTheme="minorEastAsia" w:hAnsiTheme="minorEastAsia" w:eastAsiaTheme="minorEastAsia"/>
          <w:sz w:val="24"/>
        </w:rPr>
        <w:t xml:space="preserve"> （3）产后交付</w:t>
      </w:r>
    </w:p>
    <w:p>
      <w:pPr>
        <w:spacing w:line="480" w:lineRule="exact"/>
        <w:ind w:left="237" w:leftChars="113" w:firstLine="477" w:firstLineChars="199"/>
        <w:rPr>
          <w:rFonts w:asciiTheme="minorEastAsia" w:hAnsiTheme="minorEastAsia" w:eastAsiaTheme="minorEastAsia"/>
          <w:sz w:val="24"/>
        </w:rPr>
      </w:pPr>
      <w:r>
        <w:rPr>
          <w:rFonts w:hint="eastAsia" w:asciiTheme="minorEastAsia" w:hAnsiTheme="minorEastAsia" w:eastAsiaTheme="minorEastAsia"/>
          <w:sz w:val="24"/>
        </w:rPr>
        <w:t>a. 按工艺要求，保证产品齐套；</w:t>
      </w:r>
    </w:p>
    <w:p>
      <w:pPr>
        <w:spacing w:line="480" w:lineRule="exact"/>
        <w:ind w:left="237" w:leftChars="113" w:firstLine="477" w:firstLineChars="199"/>
        <w:rPr>
          <w:rFonts w:asciiTheme="minorEastAsia" w:hAnsiTheme="minorEastAsia" w:eastAsiaTheme="minorEastAsia"/>
          <w:sz w:val="24"/>
        </w:rPr>
      </w:pPr>
      <w:r>
        <w:rPr>
          <w:rFonts w:hint="eastAsia" w:asciiTheme="minorEastAsia" w:hAnsiTheme="minorEastAsia" w:eastAsiaTheme="minorEastAsia"/>
          <w:sz w:val="24"/>
        </w:rPr>
        <w:t>b. 按产品要求，有完整过程记录；</w:t>
      </w:r>
    </w:p>
    <w:p>
      <w:pPr>
        <w:spacing w:line="480" w:lineRule="exact"/>
        <w:ind w:left="237" w:leftChars="113" w:firstLine="477" w:firstLineChars="199"/>
        <w:rPr>
          <w:rFonts w:asciiTheme="minorEastAsia" w:hAnsiTheme="minorEastAsia" w:eastAsiaTheme="minorEastAsia"/>
          <w:sz w:val="24"/>
        </w:rPr>
      </w:pPr>
      <w:r>
        <w:rPr>
          <w:rFonts w:hint="eastAsia" w:asciiTheme="minorEastAsia" w:hAnsiTheme="minorEastAsia" w:eastAsiaTheme="minorEastAsia"/>
          <w:sz w:val="24"/>
        </w:rPr>
        <w:t>c. 按质量要求，有合格证明书；</w:t>
      </w:r>
    </w:p>
    <w:p>
      <w:pPr>
        <w:spacing w:line="480" w:lineRule="exact"/>
        <w:ind w:left="237" w:leftChars="113" w:firstLine="477" w:firstLineChars="199"/>
        <w:rPr>
          <w:rFonts w:asciiTheme="minorEastAsia" w:hAnsiTheme="minorEastAsia" w:eastAsiaTheme="minorEastAsia"/>
          <w:sz w:val="24"/>
        </w:rPr>
      </w:pPr>
      <w:r>
        <w:rPr>
          <w:rFonts w:hint="eastAsia" w:asciiTheme="minorEastAsia" w:hAnsiTheme="minorEastAsia" w:eastAsiaTheme="minorEastAsia"/>
          <w:sz w:val="24"/>
        </w:rPr>
        <w:t>d. 按使用要求，有产品使用说明书。</w:t>
      </w:r>
    </w:p>
    <w:p>
      <w:pPr>
        <w:spacing w:line="480" w:lineRule="exact"/>
        <w:ind w:left="237" w:leftChars="113" w:firstLine="477" w:firstLineChars="199"/>
        <w:rPr>
          <w:rFonts w:asciiTheme="minorEastAsia" w:hAnsiTheme="minorEastAsia" w:eastAsiaTheme="minorEastAsia"/>
          <w:sz w:val="24"/>
        </w:rPr>
      </w:pPr>
      <w:r>
        <w:rPr>
          <w:rFonts w:hint="eastAsia" w:asciiTheme="minorEastAsia" w:hAnsiTheme="minorEastAsia" w:eastAsiaTheme="minorEastAsia"/>
          <w:sz w:val="24"/>
        </w:rPr>
        <w:t>e. 按用户要求，提供及时完备的服务。</w:t>
      </w:r>
    </w:p>
    <w:p>
      <w:pPr>
        <w:spacing w:line="480" w:lineRule="exact"/>
        <w:ind w:leftChars="-1" w:hanging="2"/>
        <w:rPr>
          <w:rFonts w:asciiTheme="minorEastAsia" w:hAnsiTheme="minorEastAsia" w:eastAsiaTheme="minorEastAsia"/>
          <w:sz w:val="24"/>
        </w:rPr>
      </w:pPr>
      <w:r>
        <w:rPr>
          <w:rFonts w:hint="eastAsia" w:asciiTheme="minorEastAsia" w:hAnsiTheme="minorEastAsia" w:eastAsiaTheme="minorEastAsia"/>
          <w:sz w:val="24"/>
        </w:rPr>
        <w:t>5.3原材料的严格控制</w:t>
      </w:r>
    </w:p>
    <w:p>
      <w:pPr>
        <w:spacing w:line="480" w:lineRule="exact"/>
        <w:ind w:left="-1" w:firstLine="480" w:firstLineChars="200"/>
        <w:rPr>
          <w:rFonts w:asciiTheme="minorEastAsia" w:hAnsiTheme="minorEastAsia" w:eastAsiaTheme="minorEastAsia"/>
          <w:sz w:val="24"/>
        </w:rPr>
      </w:pPr>
      <w:r>
        <w:rPr>
          <w:rFonts w:hint="eastAsia" w:asciiTheme="minorEastAsia" w:hAnsiTheme="minorEastAsia" w:eastAsiaTheme="minorEastAsia"/>
          <w:sz w:val="24"/>
        </w:rPr>
        <w:t>公司深知企业要上档次和规模，必须抓住产品质量的原材料质量控制。为此，公司针对原材料进厂有严格的规定，生产所用的各种原材料须符合其产品的相关标准，并且符合行业标准要求，每批原材料入库时必须经过严格的检验，合格后才能投入使用。</w:t>
      </w:r>
    </w:p>
    <w:p>
      <w:pPr>
        <w:spacing w:line="480" w:lineRule="exact"/>
        <w:ind w:leftChars="-1" w:hanging="2"/>
        <w:rPr>
          <w:rFonts w:asciiTheme="minorEastAsia" w:hAnsiTheme="minorEastAsia" w:eastAsiaTheme="minorEastAsia"/>
          <w:sz w:val="24"/>
        </w:rPr>
      </w:pPr>
      <w:r>
        <w:rPr>
          <w:rFonts w:hint="eastAsia" w:asciiTheme="minorEastAsia" w:hAnsiTheme="minorEastAsia" w:eastAsiaTheme="minorEastAsia"/>
          <w:sz w:val="24"/>
        </w:rPr>
        <w:t>5.4先进的生产设备和检测设备</w:t>
      </w:r>
    </w:p>
    <w:p>
      <w:pPr>
        <w:spacing w:line="480" w:lineRule="exact"/>
        <w:ind w:left="-1" w:firstLine="480" w:firstLineChars="200"/>
        <w:rPr>
          <w:rFonts w:asciiTheme="minorEastAsia" w:hAnsiTheme="minorEastAsia" w:eastAsiaTheme="minorEastAsia"/>
          <w:sz w:val="24"/>
        </w:rPr>
      </w:pPr>
      <w:r>
        <w:rPr>
          <w:rFonts w:hint="eastAsia" w:asciiTheme="minorEastAsia" w:hAnsiTheme="minorEastAsia" w:eastAsiaTheme="minorEastAsia"/>
          <w:sz w:val="24"/>
        </w:rPr>
        <w:t>公司投资上百万引进了先进的生产和检测设备，我公司光缆出厂试验全部性能指标的检测设备齐全；且检测设备全部按照《监视和测量装置控制程序》操作和控制。各类检测设备均制订了操作规程和维护保养要求，做到用前检查，用后保养，使所有的检测设备都在受控内有效运行。</w:t>
      </w:r>
    </w:p>
    <w:p>
      <w:pPr>
        <w:spacing w:line="480" w:lineRule="exact"/>
        <w:ind w:leftChars="-1" w:hanging="2"/>
        <w:rPr>
          <w:rFonts w:asciiTheme="minorEastAsia" w:hAnsiTheme="minorEastAsia" w:eastAsiaTheme="minorEastAsia"/>
          <w:sz w:val="24"/>
        </w:rPr>
      </w:pPr>
      <w:r>
        <w:rPr>
          <w:rFonts w:hint="eastAsia" w:asciiTheme="minorEastAsia" w:hAnsiTheme="minorEastAsia" w:eastAsiaTheme="minorEastAsia"/>
          <w:sz w:val="24"/>
        </w:rPr>
        <w:t>5.5质检人员的技能培训</w:t>
      </w:r>
    </w:p>
    <w:p>
      <w:pPr>
        <w:spacing w:line="480" w:lineRule="exact"/>
        <w:ind w:left="-1" w:firstLine="480" w:firstLineChars="200"/>
        <w:rPr>
          <w:rFonts w:asciiTheme="minorEastAsia" w:hAnsiTheme="minorEastAsia" w:eastAsiaTheme="minorEastAsia"/>
          <w:sz w:val="24"/>
        </w:rPr>
      </w:pPr>
      <w:r>
        <w:rPr>
          <w:rFonts w:hint="eastAsia" w:asciiTheme="minorEastAsia" w:hAnsiTheme="minorEastAsia" w:eastAsiaTheme="minorEastAsia"/>
          <w:sz w:val="24"/>
        </w:rPr>
        <w:t>实施人员优化配置。重点抓好质检人员的检验技能和职业道德的培训，公司组织质检人员进行继续教育、技能培训、人员之间技能比武等有效的活动提高质检人员的专业知识和水平，来保证产品的质量问题。</w:t>
      </w:r>
      <w:r>
        <w:rPr>
          <w:rFonts w:asciiTheme="minorEastAsia" w:hAnsiTheme="minorEastAsia" w:eastAsiaTheme="minorEastAsia"/>
          <w:sz w:val="24"/>
        </w:rPr>
        <mc:AlternateContent>
          <mc:Choice Requires="wps">
            <w:drawing>
              <wp:anchor distT="0" distB="0" distL="114300" distR="114300" simplePos="0" relativeHeight="251663360" behindDoc="0" locked="0" layoutInCell="0" allowOverlap="1">
                <wp:simplePos x="0" y="0"/>
                <wp:positionH relativeFrom="column">
                  <wp:posOffset>1800225</wp:posOffset>
                </wp:positionH>
                <wp:positionV relativeFrom="paragraph">
                  <wp:posOffset>99060</wp:posOffset>
                </wp:positionV>
                <wp:extent cx="0" cy="0"/>
                <wp:effectExtent l="0" t="0" r="0" b="0"/>
                <wp:wrapNone/>
                <wp:docPr id="163" name="直接连接符 16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41.75pt;margin-top:7.8pt;height:0pt;width:0pt;z-index:251663360;mso-width-relative:page;mso-height-relative:page;" filled="f" stroked="t" coordsize="21600,21600" o:allowincell="f" o:gfxdata="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GQWTXUAAAACQEAAA8AAAAAAAAAAQAg&#10;AAAAIgAAAGRycy9kb3ducmV2LnhtbFBLAQIUABQAAAAIAIdO4kBIf1pl2QEAAKIDAAAOAAAAAAAA&#10;AAEAIAAAACMBAABkcnMvZTJvRG9jLnhtbFBLBQYAAAAABgAGAFkBAABuBQAAAAA=&#10;">
                <v:fill on="f" focussize="0,0"/>
                <v:stroke color="#000000" joinstyle="round"/>
                <v:imagedata o:title=""/>
                <o:lock v:ext="edit" aspectratio="f"/>
              </v:line>
            </w:pict>
          </mc:Fallback>
        </mc:AlternateContent>
      </w:r>
    </w:p>
    <w:p>
      <w:pPr>
        <w:spacing w:line="480" w:lineRule="exact"/>
        <w:ind w:firstLine="470" w:firstLineChars="195"/>
        <w:jc w:val="left"/>
        <w:rPr>
          <w:rFonts w:cs="Arial" w:asciiTheme="minorEastAsia" w:hAnsiTheme="minorEastAsia" w:eastAsiaTheme="minorEastAsia"/>
          <w:b/>
          <w:kern w:val="24"/>
          <w:sz w:val="24"/>
        </w:rPr>
      </w:pPr>
      <w:r>
        <w:rPr>
          <w:rFonts w:hint="eastAsia" w:cs="Arial" w:asciiTheme="minorEastAsia" w:hAnsiTheme="minorEastAsia" w:eastAsiaTheme="minorEastAsia"/>
          <w:b/>
          <w:kern w:val="24"/>
          <w:sz w:val="24"/>
        </w:rPr>
        <w:t>综上所述，汉信光缆坚信制造光缆的工艺水平和质量保证体系能够保证所生产的光缆和服务完全满足并优于技术规范书的要求。</w:t>
      </w:r>
    </w:p>
    <w:p>
      <w:pPr>
        <w:spacing w:line="480" w:lineRule="exact"/>
        <w:ind w:firstLine="420"/>
        <w:jc w:val="left"/>
        <w:rPr>
          <w:rFonts w:cs="Arial" w:asciiTheme="minorEastAsia" w:hAnsiTheme="minorEastAsia" w:eastAsiaTheme="minorEastAsia"/>
          <w:b/>
          <w:kern w:val="24"/>
          <w:sz w:val="24"/>
        </w:rPr>
      </w:pPr>
    </w:p>
    <w:p>
      <w:pPr>
        <w:spacing w:line="480" w:lineRule="exact"/>
        <w:ind w:firstLine="420"/>
        <w:jc w:val="left"/>
        <w:rPr>
          <w:rFonts w:cs="Arial" w:asciiTheme="minorEastAsia" w:hAnsiTheme="minorEastAsia" w:eastAsiaTheme="minorEastAsia"/>
          <w:b/>
          <w:kern w:val="24"/>
          <w:sz w:val="24"/>
        </w:rPr>
      </w:pPr>
    </w:p>
    <w:p>
      <w:pPr>
        <w:spacing w:line="480" w:lineRule="exact"/>
        <w:ind w:leftChars="-1" w:hanging="2"/>
        <w:jc w:val="right"/>
        <w:rPr>
          <w:rFonts w:asciiTheme="minorEastAsia" w:hAnsiTheme="minorEastAsia" w:eastAsiaTheme="minorEastAsia"/>
          <w:sz w:val="24"/>
          <w:u w:val="single"/>
        </w:rPr>
      </w:pPr>
      <w:r>
        <w:rPr>
          <w:rFonts w:hint="eastAsia" w:asciiTheme="minorEastAsia" w:hAnsiTheme="minorEastAsia" w:eastAsiaTheme="minorEastAsia"/>
          <w:sz w:val="24"/>
        </w:rPr>
        <w:t>浙江汉信光电股份有限公司</w:t>
      </w:r>
    </w:p>
    <w:p>
      <w:pPr>
        <w:spacing w:line="480" w:lineRule="exact"/>
        <w:ind w:left="-1"/>
        <w:jc w:val="right"/>
        <w:rPr>
          <w:rFonts w:asciiTheme="minorEastAsia" w:hAnsiTheme="minorEastAsia" w:eastAsiaTheme="minorEastAsia"/>
          <w:sz w:val="44"/>
          <w:szCs w:val="44"/>
        </w:rPr>
      </w:pPr>
      <w:r>
        <w:rPr>
          <w:rFonts w:hint="eastAsia" w:asciiTheme="minorEastAsia" w:hAnsiTheme="minorEastAsia" w:eastAsiaTheme="minorEastAsia"/>
          <w:sz w:val="24"/>
        </w:rPr>
        <w:t>2018年08月05日</w:t>
      </w:r>
    </w:p>
    <w:p>
      <w:pPr>
        <w:pStyle w:val="3"/>
        <w:jc w:val="both"/>
        <w:rPr>
          <w:rFonts w:asciiTheme="minorEastAsia" w:hAnsiTheme="minorEastAsia" w:eastAsiaTheme="minorEastAsia"/>
          <w:sz w:val="28"/>
          <w:szCs w:val="28"/>
        </w:rPr>
      </w:pPr>
      <w:bookmarkStart w:id="1" w:name="_Toc518980376"/>
    </w:p>
    <w:p>
      <w:pPr>
        <w:pStyle w:val="3"/>
        <w:rPr>
          <w:rFonts w:asciiTheme="minorEastAsia" w:hAnsiTheme="minorEastAsia" w:eastAsiaTheme="minorEastAsia"/>
          <w:b w:val="0"/>
          <w:bCs/>
          <w:sz w:val="24"/>
          <w:szCs w:val="24"/>
        </w:rPr>
      </w:pPr>
      <w:r>
        <w:rPr>
          <w:rFonts w:hint="eastAsia" w:asciiTheme="minorEastAsia" w:hAnsiTheme="minorEastAsia" w:eastAsiaTheme="minorEastAsia"/>
          <w:b w:val="0"/>
          <w:bCs/>
          <w:sz w:val="24"/>
          <w:szCs w:val="24"/>
        </w:rPr>
        <w:t>（3）光缆结构（包括截面图）及各部分的详细尺寸和光缆单位重量</w:t>
      </w:r>
      <w:bookmarkEnd w:id="1"/>
    </w:p>
    <w:p>
      <w:pPr>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GJYXCH-2B6a型</w:t>
      </w:r>
    </w:p>
    <w:p>
      <w:pPr>
        <w:rPr>
          <w:rFonts w:asciiTheme="minorEastAsia" w:hAnsiTheme="minorEastAsia" w:eastAsiaTheme="minorEastAsia"/>
          <w:sz w:val="24"/>
        </w:rPr>
      </w:pPr>
      <w:r>
        <w:rPr>
          <w:rFonts w:hint="eastAsia" w:asciiTheme="minorEastAsia" w:hAnsiTheme="minorEastAsia" w:eastAsiaTheme="minorEastAsia"/>
          <w:sz w:val="24"/>
        </w:rPr>
        <w:t>一、产品依据标准：</w:t>
      </w:r>
    </w:p>
    <w:p>
      <w:pPr>
        <w:rPr>
          <w:rFonts w:asciiTheme="minorEastAsia" w:hAnsiTheme="minorEastAsia" w:eastAsiaTheme="minorEastAsia"/>
          <w:sz w:val="24"/>
        </w:rPr>
      </w:pPr>
      <w:r>
        <w:rPr>
          <w:rFonts w:hint="eastAsia" w:asciiTheme="minorEastAsia" w:hAnsiTheme="minorEastAsia" w:eastAsiaTheme="minorEastAsia"/>
          <w:sz w:val="24"/>
        </w:rPr>
        <w:t>YD/T1997-2009《接入网用蝶形引入光缆》</w:t>
      </w:r>
    </w:p>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二、产品基本结构：</w:t>
      </w:r>
    </w:p>
    <w:p>
      <w:pPr>
        <w:rPr>
          <w:rFonts w:asciiTheme="minorEastAsia" w:hAnsiTheme="minorEastAsia" w:eastAsiaTheme="minorEastAsia"/>
          <w:sz w:val="24"/>
        </w:rPr>
      </w:pPr>
      <w:r>
        <w:rPr>
          <w:rFonts w:hint="eastAsia" w:asciiTheme="minorEastAsia" w:hAnsiTheme="minorEastAsia" w:eastAsiaTheme="minorEastAsia"/>
          <w:sz w:val="24"/>
        </w:rPr>
        <w:t>1、G657光纤</w:t>
      </w:r>
    </w:p>
    <w:p>
      <w:pPr>
        <w:rPr>
          <w:rFonts w:asciiTheme="minorEastAsia" w:hAnsiTheme="minorEastAsia" w:eastAsiaTheme="minorEastAsia"/>
          <w:sz w:val="24"/>
        </w:rPr>
      </w:pPr>
      <w:r>
        <w:rPr>
          <w:rFonts w:hint="eastAsia" w:asciiTheme="minorEastAsia" w:hAnsiTheme="minorEastAsia" w:eastAsiaTheme="minorEastAsia"/>
          <w:sz w:val="24"/>
        </w:rPr>
        <w:t>2、平行加强件（钢丝）</w:t>
      </w:r>
    </w:p>
    <w:p>
      <w:pPr>
        <w:rPr>
          <w:rFonts w:asciiTheme="minorEastAsia" w:hAnsiTheme="minorEastAsia" w:eastAsiaTheme="minorEastAsia"/>
          <w:sz w:val="24"/>
        </w:rPr>
      </w:pPr>
      <w:r>
        <w:rPr>
          <w:rFonts w:hint="eastAsia" w:asciiTheme="minorEastAsia" w:hAnsiTheme="minorEastAsia" w:eastAsiaTheme="minorEastAsia"/>
          <w:sz w:val="24"/>
        </w:rPr>
        <w:t>3、自承式加强元件（钢丝）</w:t>
      </w:r>
    </w:p>
    <w:p>
      <w:pPr>
        <w:rPr>
          <w:rFonts w:asciiTheme="minorEastAsia" w:hAnsiTheme="minorEastAsia" w:eastAsiaTheme="minorEastAsia"/>
          <w:sz w:val="24"/>
        </w:rPr>
      </w:pPr>
      <w:r>
        <w:rPr>
          <w:rFonts w:hint="eastAsia" w:asciiTheme="minorEastAsia" w:hAnsiTheme="minorEastAsia" w:eastAsiaTheme="minorEastAsia"/>
          <w:sz w:val="24"/>
        </w:rPr>
        <w:t>4、阻燃外护套</w:t>
      </w:r>
    </w:p>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三、产品应用范围：</w:t>
      </w:r>
    </w:p>
    <w:p>
      <w:pPr>
        <w:rPr>
          <w:rFonts w:asciiTheme="minorEastAsia" w:hAnsiTheme="minorEastAsia" w:eastAsiaTheme="minorEastAsia"/>
          <w:sz w:val="24"/>
        </w:rPr>
      </w:pPr>
      <w:r>
        <w:rPr>
          <w:rFonts w:hint="eastAsia" w:asciiTheme="minorEastAsia" w:hAnsiTheme="minorEastAsia" w:eastAsiaTheme="minorEastAsia"/>
          <w:sz w:val="24"/>
        </w:rPr>
        <w:t>适用于局间通信、智能楼宇</w:t>
      </w:r>
    </w:p>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四、敷设方式：</w:t>
      </w:r>
    </w:p>
    <w:p>
      <w:pPr>
        <w:rPr>
          <w:rFonts w:asciiTheme="minorEastAsia" w:hAnsiTheme="minorEastAsia" w:eastAsiaTheme="minorEastAsia"/>
          <w:sz w:val="24"/>
        </w:rPr>
      </w:pPr>
      <w:r>
        <w:rPr>
          <w:rFonts w:hint="eastAsia" w:asciiTheme="minorEastAsia" w:hAnsiTheme="minorEastAsia" w:eastAsiaTheme="minorEastAsia"/>
          <w:sz w:val="24"/>
        </w:rPr>
        <w:t>管道</w:t>
      </w:r>
    </w:p>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五、适用温度：</w:t>
      </w:r>
    </w:p>
    <w:p>
      <w:pPr>
        <w:rPr>
          <w:rFonts w:asciiTheme="minorEastAsia" w:hAnsiTheme="minorEastAsia" w:eastAsiaTheme="minorEastAsia"/>
          <w:sz w:val="24"/>
        </w:rPr>
      </w:pPr>
      <w:r>
        <w:rPr>
          <w:rFonts w:hint="eastAsia" w:asciiTheme="minorEastAsia" w:hAnsiTheme="minorEastAsia" w:eastAsiaTheme="minorEastAsia"/>
          <w:sz w:val="24"/>
        </w:rPr>
        <w:t>-40℃～+60℃</w:t>
      </w:r>
    </w:p>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六、产品特点：</w:t>
      </w:r>
    </w:p>
    <w:p>
      <w:pPr>
        <w:rPr>
          <w:rFonts w:asciiTheme="minorEastAsia" w:hAnsiTheme="minorEastAsia" w:eastAsiaTheme="minorEastAsia"/>
          <w:sz w:val="24"/>
        </w:rPr>
      </w:pPr>
      <w:r>
        <w:rPr>
          <w:rFonts w:hint="eastAsia" w:asciiTheme="minorEastAsia" w:hAnsiTheme="minorEastAsia" w:eastAsiaTheme="minorEastAsia"/>
          <w:sz w:val="24"/>
        </w:rPr>
        <w:t>1、光纤传输损耗小、色散低。</w:t>
      </w:r>
    </w:p>
    <w:p>
      <w:pPr>
        <w:rPr>
          <w:rFonts w:asciiTheme="minorEastAsia" w:hAnsiTheme="minorEastAsia" w:eastAsiaTheme="minorEastAsia"/>
          <w:sz w:val="24"/>
        </w:rPr>
      </w:pPr>
      <w:r>
        <w:rPr>
          <w:rFonts w:hint="eastAsia" w:asciiTheme="minorEastAsia" w:hAnsiTheme="minorEastAsia" w:eastAsiaTheme="minorEastAsia"/>
          <w:sz w:val="24"/>
        </w:rPr>
        <w:t>2、合理的设计使光缆具有优良的机械性能和环境性能。</w:t>
      </w:r>
    </w:p>
    <w:p>
      <w:pPr>
        <w:rPr>
          <w:rFonts w:asciiTheme="minorEastAsia" w:hAnsiTheme="minorEastAsia" w:eastAsiaTheme="minorEastAsia"/>
          <w:sz w:val="24"/>
        </w:rPr>
      </w:pPr>
      <w:r>
        <w:rPr>
          <w:rFonts w:hint="eastAsia" w:asciiTheme="minorEastAsia" w:hAnsiTheme="minorEastAsia" w:eastAsiaTheme="minorEastAsia"/>
          <w:sz w:val="24"/>
        </w:rPr>
        <w:t>3、光缆柔韧性和抗弯曲能力优良。</w:t>
      </w:r>
    </w:p>
    <w:p>
      <w:pPr>
        <w:rPr>
          <w:rFonts w:asciiTheme="minorEastAsia" w:hAnsiTheme="minorEastAsia" w:eastAsiaTheme="minorEastAsia"/>
          <w:sz w:val="24"/>
        </w:rPr>
      </w:pPr>
      <w:r>
        <w:rPr>
          <w:rFonts w:hint="eastAsia" w:asciiTheme="minorEastAsia" w:hAnsiTheme="minorEastAsia" w:eastAsiaTheme="minorEastAsia"/>
          <w:sz w:val="24"/>
        </w:rPr>
        <w:t>4、光缆为非金属或金属结构，重量轻。</w:t>
      </w:r>
    </w:p>
    <w:p>
      <w:pPr>
        <w:rPr>
          <w:rFonts w:asciiTheme="minorEastAsia" w:hAnsiTheme="minorEastAsia" w:eastAsiaTheme="minorEastAsia"/>
          <w:sz w:val="24"/>
        </w:rPr>
      </w:pPr>
      <w:r>
        <w:rPr>
          <w:rFonts w:hint="eastAsia" w:asciiTheme="minorEastAsia" w:hAnsiTheme="minorEastAsia" w:eastAsiaTheme="minorEastAsia"/>
          <w:sz w:val="24"/>
        </w:rPr>
        <w:t>5、敷设方便，抗电磁能力优良。</w:t>
      </w:r>
    </w:p>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七、产品结构剖面图</w:t>
      </w:r>
    </w:p>
    <w:p>
      <w:pPr>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3341370" cy="2623185"/>
            <wp:effectExtent l="0" t="0" r="11430" b="5715"/>
            <wp:docPr id="504" name="图片 504" descr="自承式蝶形引入光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自承式蝶形引入光缆"/>
                    <pic:cNvPicPr>
                      <a:picLocks noChangeAspect="1" noChangeArrowheads="1"/>
                    </pic:cNvPicPr>
                  </pic:nvPicPr>
                  <pic:blipFill>
                    <a:blip r:embed="rId4" cstate="print"/>
                    <a:srcRect/>
                    <a:stretch>
                      <a:fillRect/>
                    </a:stretch>
                  </pic:blipFill>
                  <pic:spPr>
                    <a:xfrm>
                      <a:off x="0" y="0"/>
                      <a:ext cx="3342677" cy="2624229"/>
                    </a:xfrm>
                    <a:prstGeom prst="rect">
                      <a:avLst/>
                    </a:prstGeom>
                    <a:noFill/>
                    <a:ln w="9525">
                      <a:noFill/>
                      <a:miter lim="800000"/>
                      <a:headEnd/>
                      <a:tailEnd/>
                    </a:ln>
                  </pic:spPr>
                </pic:pic>
              </a:graphicData>
            </a:graphic>
          </wp:inline>
        </w:drawing>
      </w:r>
    </w:p>
    <w:p>
      <w:pPr>
        <w:rPr>
          <w:rFonts w:asciiTheme="minorEastAsia" w:hAnsiTheme="minorEastAsia" w:eastAsiaTheme="minorEastAsia"/>
          <w:sz w:val="24"/>
        </w:rPr>
      </w:pPr>
      <w:r>
        <w:rPr>
          <w:rFonts w:hint="eastAsia" w:asciiTheme="minorEastAsia" w:hAnsiTheme="minorEastAsia" w:eastAsiaTheme="minorEastAsia"/>
          <w:sz w:val="24"/>
        </w:rPr>
        <w:t>八、技术参数</w:t>
      </w:r>
    </w:p>
    <w:tbl>
      <w:tblPr>
        <w:tblStyle w:val="9"/>
        <w:tblW w:w="826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46"/>
        <w:gridCol w:w="141"/>
        <w:gridCol w:w="1701"/>
        <w:gridCol w:w="1418"/>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69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2888" w:type="dxa"/>
            <w:gridSpan w:val="3"/>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检测项目</w:t>
            </w:r>
          </w:p>
        </w:tc>
        <w:tc>
          <w:tcPr>
            <w:tcW w:w="141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单位</w:t>
            </w: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技术要求</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694" w:type="dxa"/>
            <w:vMerge w:val="restar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187" w:type="dxa"/>
            <w:gridSpan w:val="2"/>
            <w:vMerge w:val="restar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光纤衰减常数</w:t>
            </w:r>
          </w:p>
          <w:p>
            <w:pPr>
              <w:jc w:val="center"/>
              <w:rPr>
                <w:rFonts w:asciiTheme="minorEastAsia" w:hAnsiTheme="minorEastAsia" w:eastAsiaTheme="minorEastAsia"/>
                <w:sz w:val="24"/>
              </w:rPr>
            </w:pPr>
            <w:r>
              <w:rPr>
                <w:rFonts w:hint="eastAsia" w:asciiTheme="minorEastAsia" w:hAnsiTheme="minorEastAsia" w:eastAsiaTheme="minorEastAsia"/>
                <w:sz w:val="24"/>
              </w:rPr>
              <w:t>（A级）</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1310nm</w:t>
            </w:r>
          </w:p>
        </w:tc>
        <w:tc>
          <w:tcPr>
            <w:tcW w:w="141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dB/km</w:t>
            </w: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≤0.40</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694" w:type="dxa"/>
            <w:vMerge w:val="continue"/>
            <w:vAlign w:val="center"/>
          </w:tcPr>
          <w:p>
            <w:pPr>
              <w:jc w:val="center"/>
              <w:rPr>
                <w:rFonts w:asciiTheme="minorEastAsia" w:hAnsiTheme="minorEastAsia" w:eastAsiaTheme="minorEastAsia"/>
                <w:sz w:val="24"/>
              </w:rPr>
            </w:pPr>
          </w:p>
        </w:tc>
        <w:tc>
          <w:tcPr>
            <w:tcW w:w="1187" w:type="dxa"/>
            <w:gridSpan w:val="2"/>
            <w:vMerge w:val="continue"/>
            <w:vAlign w:val="center"/>
          </w:tcPr>
          <w:p>
            <w:pPr>
              <w:jc w:val="center"/>
              <w:rPr>
                <w:rFonts w:asciiTheme="minorEastAsia" w:hAnsiTheme="minorEastAsia" w:eastAsiaTheme="minorEastAsia"/>
                <w:sz w:val="24"/>
              </w:rPr>
            </w:pP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1550nm</w:t>
            </w:r>
          </w:p>
        </w:tc>
        <w:tc>
          <w:tcPr>
            <w:tcW w:w="1418" w:type="dxa"/>
            <w:vAlign w:val="center"/>
          </w:tcPr>
          <w:p>
            <w:pPr>
              <w:jc w:val="center"/>
              <w:rPr>
                <w:rFonts w:asciiTheme="minorEastAsia" w:hAnsiTheme="minorEastAsia" w:eastAsiaTheme="minorEastAsia"/>
                <w:sz w:val="24"/>
              </w:rPr>
            </w:pP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≤0.30</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69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2888" w:type="dxa"/>
            <w:gridSpan w:val="3"/>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衰减不均匀性（1310nm）</w:t>
            </w:r>
          </w:p>
        </w:tc>
        <w:tc>
          <w:tcPr>
            <w:tcW w:w="141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dB</w:t>
            </w: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≤0.10</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69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2888" w:type="dxa"/>
            <w:gridSpan w:val="3"/>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衰减不均匀性（1550nm）</w:t>
            </w:r>
          </w:p>
        </w:tc>
        <w:tc>
          <w:tcPr>
            <w:tcW w:w="141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dB</w:t>
            </w: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≤0.10</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69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2888" w:type="dxa"/>
            <w:gridSpan w:val="3"/>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截止波长</w:t>
            </w:r>
          </w:p>
        </w:tc>
        <w:tc>
          <w:tcPr>
            <w:tcW w:w="141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nm</w:t>
            </w: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≤1260</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69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2888" w:type="dxa"/>
            <w:gridSpan w:val="3"/>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零色散波长</w:t>
            </w:r>
          </w:p>
        </w:tc>
        <w:tc>
          <w:tcPr>
            <w:tcW w:w="1418"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nm</w:t>
            </w: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1300～1324</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1305～1320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69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6</w:t>
            </w:r>
          </w:p>
        </w:tc>
        <w:tc>
          <w:tcPr>
            <w:tcW w:w="2888" w:type="dxa"/>
            <w:gridSpan w:val="3"/>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零色散斜率</w:t>
            </w:r>
          </w:p>
        </w:tc>
        <w:tc>
          <w:tcPr>
            <w:tcW w:w="1418"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P</w:t>
            </w:r>
            <w:r>
              <w:rPr>
                <w:rFonts w:hint="eastAsia" w:asciiTheme="minorEastAsia" w:hAnsiTheme="minorEastAsia" w:eastAsiaTheme="minorEastAsia"/>
                <w:sz w:val="24"/>
              </w:rPr>
              <w:t>s/nm</w:t>
            </w:r>
            <w:r>
              <w:rPr>
                <w:rFonts w:hint="eastAsia" w:asciiTheme="minorEastAsia" w:hAnsiTheme="minorEastAsia" w:eastAsiaTheme="minorEastAsia"/>
                <w:sz w:val="24"/>
                <w:vertAlign w:val="superscript"/>
              </w:rPr>
              <w:t>2</w:t>
            </w:r>
            <w:r>
              <w:rPr>
                <w:rFonts w:hint="eastAsia" w:asciiTheme="minorEastAsia" w:hAnsiTheme="minorEastAsia" w:eastAsiaTheme="minorEastAsia"/>
                <w:sz w:val="24"/>
              </w:rPr>
              <w:t>．km</w:t>
            </w: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≤0.093</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69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7</w:t>
            </w:r>
          </w:p>
        </w:tc>
        <w:tc>
          <w:tcPr>
            <w:tcW w:w="1046" w:type="dxa"/>
            <w:vMerge w:val="restar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总色散系数</w:t>
            </w:r>
          </w:p>
        </w:tc>
        <w:tc>
          <w:tcPr>
            <w:tcW w:w="1842" w:type="dxa"/>
            <w:gridSpan w:val="2"/>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1288nm~1339nm</w:t>
            </w:r>
          </w:p>
        </w:tc>
        <w:tc>
          <w:tcPr>
            <w:tcW w:w="1418" w:type="dxa"/>
            <w:vMerge w:val="restart"/>
            <w:vAlign w:val="center"/>
          </w:tcPr>
          <w:p>
            <w:pPr>
              <w:jc w:val="center"/>
              <w:rPr>
                <w:rFonts w:asciiTheme="minorEastAsia" w:hAnsiTheme="minorEastAsia" w:eastAsiaTheme="minorEastAsia"/>
                <w:sz w:val="24"/>
              </w:rPr>
            </w:pPr>
            <w:r>
              <w:rPr>
                <w:rFonts w:asciiTheme="minorEastAsia" w:hAnsiTheme="minorEastAsia" w:eastAsiaTheme="minorEastAsia"/>
                <w:sz w:val="24"/>
              </w:rPr>
              <w:t>P</w:t>
            </w:r>
            <w:r>
              <w:rPr>
                <w:rFonts w:hint="eastAsia" w:asciiTheme="minorEastAsia" w:hAnsiTheme="minorEastAsia" w:eastAsiaTheme="minorEastAsia"/>
                <w:sz w:val="24"/>
              </w:rPr>
              <w:t>s/nm．km</w:t>
            </w: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≤3.5</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69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c>
          <w:tcPr>
            <w:tcW w:w="1046" w:type="dxa"/>
            <w:vMerge w:val="continue"/>
            <w:vAlign w:val="center"/>
          </w:tcPr>
          <w:p>
            <w:pPr>
              <w:jc w:val="center"/>
              <w:rPr>
                <w:rFonts w:asciiTheme="minorEastAsia" w:hAnsiTheme="minorEastAsia" w:eastAsiaTheme="minorEastAsia"/>
                <w:sz w:val="24"/>
              </w:rPr>
            </w:pPr>
          </w:p>
        </w:tc>
        <w:tc>
          <w:tcPr>
            <w:tcW w:w="1842" w:type="dxa"/>
            <w:gridSpan w:val="2"/>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1271nm~1360nm</w:t>
            </w:r>
          </w:p>
        </w:tc>
        <w:tc>
          <w:tcPr>
            <w:tcW w:w="1418" w:type="dxa"/>
            <w:vMerge w:val="continue"/>
            <w:vAlign w:val="center"/>
          </w:tcPr>
          <w:p>
            <w:pPr>
              <w:jc w:val="center"/>
              <w:rPr>
                <w:rFonts w:asciiTheme="minorEastAsia" w:hAnsiTheme="minorEastAsia" w:eastAsiaTheme="minorEastAsia"/>
                <w:sz w:val="24"/>
              </w:rPr>
            </w:pP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≤5.3</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694"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9</w:t>
            </w:r>
          </w:p>
        </w:tc>
        <w:tc>
          <w:tcPr>
            <w:tcW w:w="1046" w:type="dxa"/>
            <w:vMerge w:val="continue"/>
            <w:vAlign w:val="center"/>
          </w:tcPr>
          <w:p>
            <w:pPr>
              <w:jc w:val="center"/>
              <w:rPr>
                <w:rFonts w:asciiTheme="minorEastAsia" w:hAnsiTheme="minorEastAsia" w:eastAsiaTheme="minorEastAsia"/>
                <w:sz w:val="24"/>
              </w:rPr>
            </w:pPr>
          </w:p>
        </w:tc>
        <w:tc>
          <w:tcPr>
            <w:tcW w:w="1842" w:type="dxa"/>
            <w:gridSpan w:val="2"/>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1550nm</w:t>
            </w:r>
          </w:p>
        </w:tc>
        <w:tc>
          <w:tcPr>
            <w:tcW w:w="1418" w:type="dxa"/>
            <w:vMerge w:val="continue"/>
            <w:vAlign w:val="center"/>
          </w:tcPr>
          <w:p>
            <w:pPr>
              <w:jc w:val="center"/>
              <w:rPr>
                <w:rFonts w:asciiTheme="minorEastAsia" w:hAnsiTheme="minorEastAsia" w:eastAsiaTheme="minorEastAsia"/>
                <w:sz w:val="24"/>
              </w:rPr>
            </w:pPr>
          </w:p>
        </w:tc>
        <w:tc>
          <w:tcPr>
            <w:tcW w:w="1559"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≤18</w:t>
            </w:r>
          </w:p>
        </w:tc>
        <w:tc>
          <w:tcPr>
            <w:tcW w:w="170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16.1</w:t>
            </w:r>
          </w:p>
        </w:tc>
      </w:tr>
    </w:tbl>
    <w:p>
      <w:pPr>
        <w:rPr>
          <w:rFonts w:asciiTheme="minorEastAsia" w:hAnsiTheme="minorEastAsia" w:eastAsiaTheme="minorEastAsia"/>
          <w:sz w:val="24"/>
        </w:rPr>
      </w:pPr>
    </w:p>
    <w:p>
      <w:pPr>
        <w:rPr>
          <w:rFonts w:asciiTheme="minorEastAsia" w:hAnsiTheme="minorEastAsia" w:eastAsiaTheme="minorEastAsia"/>
          <w:sz w:val="24"/>
        </w:rPr>
      </w:pPr>
      <w:r>
        <w:rPr>
          <w:rFonts w:hint="eastAsia" w:asciiTheme="minorEastAsia" w:hAnsiTheme="minorEastAsia" w:eastAsiaTheme="minorEastAsia"/>
          <w:sz w:val="24"/>
        </w:rPr>
        <w:t>九、产品外观图：</w:t>
      </w:r>
    </w:p>
    <w:p>
      <w:pPr>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4564380" cy="4070350"/>
            <wp:effectExtent l="0" t="0" r="7620" b="6350"/>
            <wp:docPr id="505" name="图片 505" descr="QQ图片2016060813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QQ图片20160608131409"/>
                    <pic:cNvPicPr>
                      <a:picLocks noChangeAspect="1" noChangeArrowheads="1"/>
                    </pic:cNvPicPr>
                  </pic:nvPicPr>
                  <pic:blipFill>
                    <a:blip r:embed="rId5" cstate="print"/>
                    <a:srcRect/>
                    <a:stretch>
                      <a:fillRect/>
                    </a:stretch>
                  </pic:blipFill>
                  <pic:spPr>
                    <a:xfrm>
                      <a:off x="0" y="0"/>
                      <a:ext cx="4569525" cy="4075116"/>
                    </a:xfrm>
                    <a:prstGeom prst="rect">
                      <a:avLst/>
                    </a:prstGeom>
                    <a:noFill/>
                    <a:ln w="9525">
                      <a:noFill/>
                      <a:miter lim="800000"/>
                      <a:headEnd/>
                      <a:tailEnd/>
                    </a:ln>
                  </pic:spPr>
                </pic:pic>
              </a:graphicData>
            </a:graphic>
          </wp:inline>
        </w:drawing>
      </w:r>
    </w:p>
    <w:p>
      <w:pPr>
        <w:jc w:val="center"/>
        <w:rPr>
          <w:rFonts w:asciiTheme="minorEastAsia" w:hAnsiTheme="minorEastAsia" w:eastAsiaTheme="minorEastAsia"/>
          <w:sz w:val="24"/>
        </w:rPr>
      </w:pPr>
    </w:p>
    <w:p>
      <w:pPr>
        <w:spacing w:line="600" w:lineRule="exact"/>
        <w:jc w:val="center"/>
        <w:rPr>
          <w:rFonts w:ascii="宋体" w:hAnsi="宋体"/>
          <w:b/>
          <w:bCs/>
          <w:sz w:val="28"/>
          <w:szCs w:val="28"/>
        </w:rPr>
      </w:pPr>
      <w:r>
        <w:rPr>
          <w:rFonts w:hint="eastAsia" w:ascii="宋体" w:hAnsi="宋体" w:cs="宋体"/>
          <w:b/>
          <w:bCs/>
          <w:kern w:val="0"/>
          <w:sz w:val="28"/>
          <w:szCs w:val="28"/>
        </w:rPr>
        <w:t>GYTS-288B1.3型</w:t>
      </w:r>
    </w:p>
    <w:p>
      <w:pPr>
        <w:spacing w:line="400" w:lineRule="exact"/>
        <w:rPr>
          <w:rFonts w:asciiTheme="minorEastAsia" w:hAnsiTheme="minorEastAsia" w:eastAsiaTheme="minorEastAsia"/>
          <w:bCs/>
          <w:sz w:val="24"/>
        </w:rPr>
      </w:pPr>
      <w:r>
        <w:rPr>
          <w:rFonts w:hint="eastAsia" w:asciiTheme="minorEastAsia" w:hAnsiTheme="minorEastAsia" w:eastAsiaTheme="minorEastAsia"/>
          <w:bCs/>
          <w:sz w:val="24"/>
        </w:rPr>
        <w:t>1、产品特征</w:t>
      </w:r>
    </w:p>
    <w:p>
      <w:pPr>
        <w:spacing w:line="400" w:lineRule="exact"/>
        <w:ind w:firstLine="480" w:firstLineChars="200"/>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sz w:val="24"/>
        </w:rPr>
        <w:t>有线电视系统层绞式</w:t>
      </w:r>
      <w:r>
        <w:rPr>
          <w:rFonts w:hint="eastAsia" w:cs="宋体" w:asciiTheme="minorEastAsia" w:hAnsiTheme="minorEastAsia" w:eastAsiaTheme="minorEastAsia"/>
          <w:sz w:val="24"/>
        </w:rPr>
        <w:t>GYTS-288B1.3型</w:t>
      </w:r>
      <w:r>
        <w:rPr>
          <w:rFonts w:hint="eastAsia" w:cs="宋体" w:asciiTheme="minorEastAsia" w:hAnsiTheme="minorEastAsia" w:eastAsiaTheme="minorEastAsia"/>
          <w:color w:val="000000"/>
          <w:sz w:val="24"/>
        </w:rPr>
        <w:t>光缆</w:t>
      </w:r>
      <w:r>
        <w:rPr>
          <w:rFonts w:hint="eastAsia" w:asciiTheme="minorEastAsia" w:hAnsiTheme="minorEastAsia" w:eastAsiaTheme="minorEastAsia"/>
          <w:sz w:val="24"/>
        </w:rPr>
        <w:t xml:space="preserve"> </w:t>
      </w:r>
      <w:r>
        <w:rPr>
          <w:rFonts w:hint="eastAsia" w:cs="宋体" w:asciiTheme="minorEastAsia" w:hAnsiTheme="minorEastAsia" w:eastAsiaTheme="minorEastAsia"/>
          <w:kern w:val="0"/>
          <w:sz w:val="24"/>
        </w:rPr>
        <w:t>，产品</w:t>
      </w:r>
      <w:r>
        <w:rPr>
          <w:rFonts w:hint="eastAsia" w:cs="宋体" w:asciiTheme="minorEastAsia" w:hAnsiTheme="minorEastAsia" w:eastAsiaTheme="minorEastAsia"/>
          <w:color w:val="000000"/>
          <w:kern w:val="0"/>
          <w:sz w:val="24"/>
        </w:rPr>
        <w:t>的结构是将单模或多模光纤套入由高模量的塑料做成的内填充防水化合物松套管中。缆芯的中心是一根金属加强芯，对于某些芯数的光缆来说，金属加强芯外还挤包一层聚乙烯（PE）。松套管（和填充绳）围绕中心加强芯绞合成紧凑和圆形的缆芯，缆芯内的缝隙填充阻水化合物,</w:t>
      </w:r>
      <w:r>
        <w:rPr>
          <w:rFonts w:hint="eastAsia" w:cs="宋体" w:asciiTheme="minorEastAsia" w:hAnsiTheme="minorEastAsia" w:eastAsiaTheme="minorEastAsia"/>
          <w:color w:val="000000"/>
          <w:sz w:val="24"/>
          <w:shd w:val="clear" w:color="auto" w:fill="FFFFFF"/>
        </w:rPr>
        <w:t>松套管材料本身具有良好的耐水性能和较高的强度</w:t>
      </w:r>
      <w:r>
        <w:rPr>
          <w:rFonts w:hint="eastAsia" w:cs="宋体" w:asciiTheme="minorEastAsia" w:hAnsiTheme="minorEastAsia" w:eastAsiaTheme="minorEastAsia"/>
          <w:color w:val="000000"/>
          <w:kern w:val="0"/>
          <w:sz w:val="24"/>
        </w:rPr>
        <w:t>。涂覆钢带纵包后挤塑聚乙烯护套。</w:t>
      </w:r>
    </w:p>
    <w:p>
      <w:pPr>
        <w:spacing w:line="400" w:lineRule="exact"/>
        <w:ind w:firstLine="480" w:firstLineChars="200"/>
        <w:rPr>
          <w:rFonts w:cs="宋体" w:asciiTheme="minorEastAsia" w:hAnsiTheme="minorEastAsia" w:eastAsiaTheme="minorEastAsia"/>
          <w:color w:val="000000"/>
          <w:kern w:val="0"/>
          <w:sz w:val="24"/>
        </w:rPr>
      </w:pPr>
    </w:p>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2、 功能介绍和适用范围</w:t>
      </w:r>
    </w:p>
    <w:p>
      <w:pPr>
        <w:spacing w:line="4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该光缆适用于长途通信和局间通信的室外布线，架空、管道敷设。</w:t>
      </w:r>
    </w:p>
    <w:p>
      <w:pPr>
        <w:spacing w:line="4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产品</w:t>
      </w:r>
      <w:r>
        <w:rPr>
          <w:rFonts w:hint="eastAsia" w:cs="宋体" w:asciiTheme="minorEastAsia" w:hAnsiTheme="minorEastAsia" w:eastAsiaTheme="minorEastAsia"/>
          <w:color w:val="000000"/>
          <w:sz w:val="24"/>
          <w:shd w:val="clear" w:color="auto" w:fill="FFFFFF"/>
        </w:rPr>
        <w:t>精确控制光纤的余长保证了光缆具有良好的机械性能和温度特性。良好的抗压性和和防紫外线性能</w:t>
      </w:r>
      <w:r>
        <w:rPr>
          <w:rFonts w:hint="eastAsia" w:cs="宋体" w:asciiTheme="minorEastAsia" w:hAnsiTheme="minorEastAsia" w:eastAsiaTheme="minorEastAsia"/>
          <w:kern w:val="0"/>
          <w:sz w:val="24"/>
        </w:rPr>
        <w:t>，重量轻，结构紧凑严密，柔韧性和弯曲性能优异，阻水性能优越等特点。满足了长距离信号传输的要求。</w:t>
      </w:r>
    </w:p>
    <w:p>
      <w:pPr>
        <w:spacing w:line="400" w:lineRule="exact"/>
        <w:ind w:firstLine="480" w:firstLineChars="200"/>
        <w:rPr>
          <w:rFonts w:cs="宋体" w:asciiTheme="minorEastAsia" w:hAnsiTheme="minorEastAsia" w:eastAsiaTheme="minorEastAsia"/>
          <w:kern w:val="0"/>
          <w:sz w:val="24"/>
        </w:rPr>
      </w:pPr>
    </w:p>
    <w:p>
      <w:pPr>
        <w:numPr>
          <w:ilvl w:val="0"/>
          <w:numId w:val="1"/>
        </w:num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性能指标</w:t>
      </w:r>
    </w:p>
    <w:tbl>
      <w:tblPr>
        <w:tblStyle w:val="9"/>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9"/>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3969" w:type="dxa"/>
            <w:vAlign w:val="center"/>
          </w:tcPr>
          <w:p>
            <w:pPr>
              <w:snapToGrid w:val="0"/>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检测项目</w:t>
            </w:r>
          </w:p>
        </w:tc>
        <w:tc>
          <w:tcPr>
            <w:tcW w:w="4111" w:type="dxa"/>
            <w:vAlign w:val="center"/>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产品型号</w:t>
            </w:r>
          </w:p>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GYTS-288B1.3型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工作波长</w:t>
            </w:r>
          </w:p>
        </w:tc>
        <w:tc>
          <w:tcPr>
            <w:tcW w:w="4111"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1310nm 1550nm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1310nm衰减系数（成缆后）</w:t>
            </w:r>
          </w:p>
        </w:tc>
        <w:tc>
          <w:tcPr>
            <w:tcW w:w="4111"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0.35dB/km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1550nm衰减系数（成缆后）</w:t>
            </w:r>
          </w:p>
        </w:tc>
        <w:tc>
          <w:tcPr>
            <w:tcW w:w="4111"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0.21dB/km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PMD</w:t>
            </w:r>
          </w:p>
        </w:tc>
        <w:tc>
          <w:tcPr>
            <w:tcW w:w="4111" w:type="dxa"/>
          </w:tcPr>
          <w:p>
            <w:pPr>
              <w:spacing w:line="400" w:lineRule="exact"/>
              <w:rPr>
                <w:rFonts w:cs="宋体" w:asciiTheme="minorEastAsia" w:hAnsiTheme="minorEastAsia" w:eastAsiaTheme="minorEastAsia"/>
                <w:bCs/>
                <w:kern w:val="0"/>
                <w:sz w:val="24"/>
              </w:rPr>
            </w:pPr>
            <w:r>
              <w:rPr>
                <w:rFonts w:hint="eastAsia" w:asciiTheme="minorEastAsia" w:hAnsiTheme="minorEastAsia" w:eastAsiaTheme="minorEastAsia"/>
                <w:color w:val="000000"/>
                <w:sz w:val="24"/>
              </w:rPr>
              <w:t>≤0.20ｐｓ／√ｋｍ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PNDq</w:t>
            </w:r>
          </w:p>
        </w:tc>
        <w:tc>
          <w:tcPr>
            <w:tcW w:w="4111" w:type="dxa"/>
          </w:tcPr>
          <w:p>
            <w:pPr>
              <w:spacing w:line="400" w:lineRule="exact"/>
              <w:rPr>
                <w:rFonts w:cs="宋体" w:asciiTheme="minorEastAsia" w:hAnsiTheme="minorEastAsia" w:eastAsiaTheme="minorEastAsia"/>
                <w:bCs/>
                <w:kern w:val="0"/>
                <w:sz w:val="24"/>
              </w:rPr>
            </w:pPr>
            <w:r>
              <w:rPr>
                <w:rFonts w:hint="eastAsia" w:asciiTheme="minorEastAsia" w:hAnsiTheme="minorEastAsia" w:eastAsiaTheme="minorEastAsia"/>
                <w:color w:val="000000"/>
                <w:sz w:val="24"/>
              </w:rPr>
              <w:t>≤0.10ｐｓ／√ｋｍ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拉伸</w:t>
            </w:r>
          </w:p>
        </w:tc>
        <w:tc>
          <w:tcPr>
            <w:tcW w:w="4111"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短期1500N 长期600N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压扁N/100mm</w:t>
            </w:r>
          </w:p>
        </w:tc>
        <w:tc>
          <w:tcPr>
            <w:tcW w:w="4111"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 xml:space="preserve">短期1000N 长期300N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使用温度</w:t>
            </w:r>
          </w:p>
        </w:tc>
        <w:tc>
          <w:tcPr>
            <w:tcW w:w="4111"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-40℃－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弯曲半径（静态）</w:t>
            </w:r>
          </w:p>
        </w:tc>
        <w:tc>
          <w:tcPr>
            <w:tcW w:w="4111"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弯曲半径（动态）</w:t>
            </w:r>
          </w:p>
        </w:tc>
        <w:tc>
          <w:tcPr>
            <w:tcW w:w="4111"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3969"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耐压</w:t>
            </w:r>
          </w:p>
        </w:tc>
        <w:tc>
          <w:tcPr>
            <w:tcW w:w="4111" w:type="dxa"/>
          </w:tcPr>
          <w:p>
            <w:pPr>
              <w:spacing w:line="400" w:lineRule="exact"/>
              <w:rPr>
                <w:rFonts w:cs="宋体" w:asciiTheme="minorEastAsia" w:hAnsiTheme="minorEastAsia" w:eastAsiaTheme="minorEastAsia"/>
                <w:color w:val="FF0000"/>
                <w:kern w:val="0"/>
                <w:sz w:val="24"/>
              </w:rPr>
            </w:pPr>
            <w:r>
              <w:rPr>
                <w:rFonts w:hint="eastAsia" w:cs="宋体" w:asciiTheme="minorEastAsia" w:hAnsiTheme="minorEastAsia" w:eastAsiaTheme="minorEastAsia"/>
                <w:color w:val="000000"/>
                <w:kern w:val="0"/>
                <w:sz w:val="24"/>
              </w:rPr>
              <w:t>直流15KV</w:t>
            </w:r>
          </w:p>
        </w:tc>
      </w:tr>
    </w:tbl>
    <w:p>
      <w:pPr>
        <w:spacing w:line="400" w:lineRule="exact"/>
        <w:rPr>
          <w:rFonts w:cs="宋体" w:asciiTheme="minorEastAsia" w:hAnsiTheme="minorEastAsia" w:eastAsiaTheme="minorEastAsia"/>
          <w:kern w:val="0"/>
          <w:sz w:val="24"/>
        </w:rPr>
      </w:pPr>
    </w:p>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bCs/>
          <w:kern w:val="0"/>
          <w:sz w:val="24"/>
        </w:rPr>
        <w:t>4、执行标准：GY/T130-2010</w:t>
      </w:r>
      <w:r>
        <w:rPr>
          <w:rFonts w:cs="宋体" w:asciiTheme="minorEastAsia" w:hAnsiTheme="minorEastAsia" w:eastAsiaTheme="minorEastAsia"/>
          <w:bCs/>
          <w:kern w:val="0"/>
          <w:sz w:val="24"/>
        </w:rPr>
        <w:t>《</w:t>
      </w:r>
      <w:r>
        <w:rPr>
          <w:rFonts w:hint="eastAsia" w:cs="宋体" w:asciiTheme="minorEastAsia" w:hAnsiTheme="minorEastAsia" w:eastAsiaTheme="minorEastAsia"/>
          <w:bCs/>
          <w:kern w:val="0"/>
          <w:sz w:val="24"/>
        </w:rPr>
        <w:t>有线电视系统用</w:t>
      </w:r>
      <w:r>
        <w:rPr>
          <w:rFonts w:cs="宋体" w:asciiTheme="minorEastAsia" w:hAnsiTheme="minorEastAsia" w:eastAsiaTheme="minorEastAsia"/>
          <w:bCs/>
          <w:kern w:val="0"/>
          <w:sz w:val="24"/>
        </w:rPr>
        <w:t>室外光缆</w:t>
      </w:r>
      <w:r>
        <w:rPr>
          <w:rFonts w:hint="eastAsia" w:cs="宋体" w:asciiTheme="minorEastAsia" w:hAnsiTheme="minorEastAsia" w:eastAsiaTheme="minorEastAsia"/>
          <w:bCs/>
          <w:kern w:val="0"/>
          <w:sz w:val="24"/>
        </w:rPr>
        <w:t>技术要求和测量方法</w:t>
      </w:r>
      <w:r>
        <w:rPr>
          <w:rFonts w:cs="宋体" w:asciiTheme="minorEastAsia" w:hAnsiTheme="minorEastAsia" w:eastAsiaTheme="minorEastAsia"/>
          <w:bCs/>
          <w:kern w:val="0"/>
          <w:sz w:val="24"/>
        </w:rPr>
        <w:t>》</w:t>
      </w:r>
      <w:r>
        <w:rPr>
          <w:rFonts w:hint="eastAsia" w:cs="宋体" w:asciiTheme="minorEastAsia" w:hAnsiTheme="minorEastAsia" w:eastAsiaTheme="minorEastAsia"/>
          <w:bCs/>
          <w:kern w:val="0"/>
          <w:sz w:val="24"/>
        </w:rPr>
        <w:t>。</w:t>
      </w:r>
      <w:r>
        <w:rPr>
          <w:rFonts w:cs="宋体" w:asciiTheme="minorEastAsia" w:hAnsiTheme="minorEastAsia" w:eastAsiaTheme="minorEastAsia"/>
          <w:bCs/>
          <w:kern w:val="0"/>
          <w:sz w:val="24"/>
        </w:rPr>
        <w:br w:type="textWrapping"/>
      </w:r>
    </w:p>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5、结构示意图</w:t>
      </w:r>
    </w:p>
    <w:p>
      <w:pPr>
        <w:jc w:val="center"/>
        <w:rPr>
          <w:rFonts w:asciiTheme="minorEastAsia" w:hAnsiTheme="minorEastAsia" w:eastAsiaTheme="minorEastAsia"/>
          <w:bCs/>
          <w:sz w:val="24"/>
          <w:u w:val="single"/>
        </w:rPr>
      </w:pPr>
      <w:r>
        <w:rPr>
          <w:rFonts w:hint="eastAsia" w:cs="宋体" w:asciiTheme="minorEastAsia" w:hAnsiTheme="minorEastAsia" w:eastAsiaTheme="minorEastAsia"/>
          <w:bCs/>
          <w:kern w:val="0"/>
          <w:sz w:val="24"/>
        </w:rPr>
        <w:drawing>
          <wp:inline distT="0" distB="0" distL="0" distR="0">
            <wp:extent cx="4145280" cy="3122930"/>
            <wp:effectExtent l="0" t="0" r="7620" b="1270"/>
            <wp:docPr id="537" name="图片 3" descr="TS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3" descr="TS示意图"/>
                    <pic:cNvPicPr>
                      <a:picLocks noChangeAspect="1" noChangeArrowheads="1"/>
                    </pic:cNvPicPr>
                  </pic:nvPicPr>
                  <pic:blipFill>
                    <a:blip r:embed="rId6" cstate="print"/>
                    <a:srcRect/>
                    <a:stretch>
                      <a:fillRect/>
                    </a:stretch>
                  </pic:blipFill>
                  <pic:spPr>
                    <a:xfrm>
                      <a:off x="0" y="0"/>
                      <a:ext cx="4150400" cy="3127055"/>
                    </a:xfrm>
                    <a:prstGeom prst="rect">
                      <a:avLst/>
                    </a:prstGeom>
                    <a:noFill/>
                    <a:ln w="9525">
                      <a:noFill/>
                      <a:miter lim="800000"/>
                      <a:headEnd/>
                      <a:tailEnd/>
                    </a:ln>
                    <a:effectLst/>
                  </pic:spPr>
                </pic:pic>
              </a:graphicData>
            </a:graphic>
          </wp:inline>
        </w:drawing>
      </w:r>
    </w:p>
    <w:p>
      <w:pPr>
        <w:jc w:val="center"/>
        <w:rPr>
          <w:rFonts w:asciiTheme="minorEastAsia" w:hAnsiTheme="minorEastAsia" w:eastAsiaTheme="minorEastAsia"/>
          <w:bCs/>
          <w:sz w:val="24"/>
          <w:u w:val="single"/>
        </w:rPr>
      </w:pPr>
    </w:p>
    <w:p>
      <w:pPr>
        <w:spacing w:line="400" w:lineRule="exact"/>
        <w:rPr>
          <w:rFonts w:asciiTheme="minorEastAsia" w:hAnsiTheme="minorEastAsia" w:eastAsiaTheme="minorEastAsia"/>
          <w:bCs/>
          <w:sz w:val="24"/>
        </w:rPr>
      </w:pPr>
      <w:r>
        <w:rPr>
          <w:rFonts w:hint="eastAsia" w:asciiTheme="minorEastAsia" w:hAnsiTheme="minorEastAsia" w:eastAsiaTheme="minorEastAsia"/>
          <w:bCs/>
          <w:sz w:val="24"/>
        </w:rPr>
        <w:t>6、设备外观照片</w:t>
      </w:r>
    </w:p>
    <w:p>
      <w:pPr>
        <w:jc w:val="center"/>
        <w:rPr>
          <w:rFonts w:asciiTheme="minorEastAsia" w:hAnsiTheme="minorEastAsia" w:eastAsiaTheme="minorEastAsia"/>
          <w:sz w:val="24"/>
        </w:rPr>
      </w:pPr>
      <w:r>
        <w:rPr>
          <w:rFonts w:hint="eastAsia" w:asciiTheme="minorEastAsia" w:hAnsiTheme="minorEastAsia" w:eastAsiaTheme="minorEastAsia"/>
          <w:bCs/>
          <w:sz w:val="24"/>
        </w:rPr>
        <w:drawing>
          <wp:inline distT="0" distB="0" distL="0" distR="0">
            <wp:extent cx="4168140" cy="3613785"/>
            <wp:effectExtent l="0" t="0" r="3810" b="5715"/>
            <wp:docPr id="538" name="图片 4" descr="2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4" descr="216B"/>
                    <pic:cNvPicPr>
                      <a:picLocks noChangeAspect="1" noChangeArrowheads="1"/>
                    </pic:cNvPicPr>
                  </pic:nvPicPr>
                  <pic:blipFill>
                    <a:blip r:embed="rId7" cstate="print"/>
                    <a:srcRect/>
                    <a:stretch>
                      <a:fillRect/>
                    </a:stretch>
                  </pic:blipFill>
                  <pic:spPr>
                    <a:xfrm>
                      <a:off x="0" y="0"/>
                      <a:ext cx="4168523" cy="3614435"/>
                    </a:xfrm>
                    <a:prstGeom prst="rect">
                      <a:avLst/>
                    </a:prstGeom>
                    <a:noFill/>
                    <a:ln w="9525">
                      <a:noFill/>
                      <a:miter lim="800000"/>
                      <a:headEnd/>
                      <a:tailEnd/>
                    </a:ln>
                    <a:effectLst/>
                  </pic:spPr>
                </pic:pic>
              </a:graphicData>
            </a:graphic>
          </wp:inline>
        </w:drawing>
      </w:r>
    </w:p>
    <w:p>
      <w:pPr>
        <w:jc w:val="center"/>
        <w:rPr>
          <w:rFonts w:asciiTheme="minorEastAsia" w:hAnsiTheme="minorEastAsia" w:eastAsiaTheme="minorEastAsia"/>
          <w:sz w:val="24"/>
        </w:rPr>
      </w:pPr>
    </w:p>
    <w:p>
      <w:pPr>
        <w:jc w:val="center"/>
        <w:rPr>
          <w:rFonts w:asciiTheme="minorEastAsia" w:hAnsiTheme="minorEastAsia" w:eastAsiaTheme="minorEastAsia"/>
          <w:sz w:val="24"/>
        </w:rPr>
      </w:pPr>
    </w:p>
    <w:p>
      <w:pPr>
        <w:spacing w:line="600" w:lineRule="exact"/>
        <w:jc w:val="center"/>
        <w:rPr>
          <w:rFonts w:cs="宋体" w:asciiTheme="minorEastAsia" w:hAnsiTheme="minorEastAsia" w:eastAsiaTheme="minorEastAsia"/>
          <w:b/>
          <w:bCs/>
          <w:kern w:val="0"/>
          <w:sz w:val="28"/>
          <w:szCs w:val="28"/>
        </w:rPr>
      </w:pPr>
    </w:p>
    <w:p>
      <w:pPr>
        <w:spacing w:line="600" w:lineRule="exact"/>
        <w:jc w:val="center"/>
        <w:rPr>
          <w:rFonts w:cs="宋体" w:asciiTheme="minorEastAsia" w:hAnsiTheme="minorEastAsia" w:eastAsiaTheme="minorEastAsia"/>
          <w:b/>
          <w:bCs/>
          <w:kern w:val="0"/>
          <w:sz w:val="28"/>
          <w:szCs w:val="28"/>
        </w:rPr>
      </w:pPr>
    </w:p>
    <w:p>
      <w:pPr>
        <w:spacing w:line="600" w:lineRule="exact"/>
        <w:jc w:val="center"/>
        <w:rPr>
          <w:rFonts w:asciiTheme="minorEastAsia" w:hAnsiTheme="minorEastAsia" w:eastAsiaTheme="minorEastAsia"/>
          <w:b/>
          <w:bCs/>
          <w:sz w:val="28"/>
          <w:szCs w:val="28"/>
        </w:rPr>
      </w:pPr>
      <w:r>
        <w:rPr>
          <w:rFonts w:hint="eastAsia" w:cs="宋体" w:asciiTheme="minorEastAsia" w:hAnsiTheme="minorEastAsia" w:eastAsiaTheme="minorEastAsia"/>
          <w:b/>
          <w:bCs/>
          <w:kern w:val="0"/>
          <w:sz w:val="28"/>
          <w:szCs w:val="28"/>
        </w:rPr>
        <w:t>GYTA-288B1.3型</w:t>
      </w:r>
    </w:p>
    <w:p>
      <w:pPr>
        <w:spacing w:line="400" w:lineRule="exact"/>
        <w:rPr>
          <w:rFonts w:asciiTheme="minorEastAsia" w:hAnsiTheme="minorEastAsia" w:eastAsiaTheme="minorEastAsia"/>
          <w:bCs/>
          <w:sz w:val="24"/>
        </w:rPr>
      </w:pPr>
      <w:r>
        <w:rPr>
          <w:rFonts w:hint="eastAsia" w:asciiTheme="minorEastAsia" w:hAnsiTheme="minorEastAsia" w:eastAsiaTheme="minorEastAsia"/>
          <w:bCs/>
          <w:sz w:val="24"/>
        </w:rPr>
        <w:t>1、产品特征</w:t>
      </w:r>
    </w:p>
    <w:p>
      <w:pPr>
        <w:spacing w:line="400" w:lineRule="exact"/>
        <w:ind w:firstLine="480" w:firstLineChars="200"/>
        <w:rPr>
          <w:rFonts w:asciiTheme="minorEastAsia" w:hAnsiTheme="minorEastAsia" w:eastAsiaTheme="minorEastAsia"/>
          <w:color w:val="000000"/>
          <w:sz w:val="24"/>
        </w:rPr>
      </w:pPr>
      <w:r>
        <w:rPr>
          <w:rFonts w:hint="eastAsia" w:cs="宋体" w:asciiTheme="minorEastAsia" w:hAnsiTheme="minorEastAsia" w:eastAsiaTheme="minorEastAsia"/>
          <w:color w:val="000000"/>
          <w:sz w:val="24"/>
        </w:rPr>
        <w:t xml:space="preserve">有线电视系统层绞式 </w:t>
      </w:r>
      <w:r>
        <w:rPr>
          <w:rFonts w:hint="eastAsia" w:cs="宋体" w:asciiTheme="minorEastAsia" w:hAnsiTheme="minorEastAsia" w:eastAsiaTheme="minorEastAsia"/>
          <w:sz w:val="24"/>
        </w:rPr>
        <w:t>GYTA-288B1.3型</w:t>
      </w:r>
      <w:r>
        <w:rPr>
          <w:rFonts w:hint="eastAsia" w:cs="宋体" w:asciiTheme="minorEastAsia" w:hAnsiTheme="minorEastAsia" w:eastAsiaTheme="minorEastAsia"/>
          <w:kern w:val="0"/>
          <w:sz w:val="24"/>
        </w:rPr>
        <w:t>光缆，是将单模或多模光纤套入由高模量的塑料做成的松套管中，套管内填充碳水化合物，</w:t>
      </w:r>
      <w:r>
        <w:rPr>
          <w:rFonts w:hint="eastAsia" w:asciiTheme="minorEastAsia" w:hAnsiTheme="minorEastAsia" w:eastAsiaTheme="minorEastAsia"/>
          <w:sz w:val="24"/>
        </w:rPr>
        <w:t>中心加强件作为抗弯元件。</w:t>
      </w:r>
      <w:r>
        <w:rPr>
          <w:rFonts w:hint="eastAsia" w:asciiTheme="minorEastAsia" w:hAnsiTheme="minorEastAsia" w:eastAsiaTheme="minorEastAsia"/>
          <w:color w:val="000000"/>
          <w:sz w:val="24"/>
        </w:rPr>
        <w:t>绞合元件用扎纱固定位置。中心加强件与套管间填充阻水填充物防止水份渗入。</w:t>
      </w:r>
      <w:r>
        <w:rPr>
          <w:rFonts w:hint="eastAsia" w:cs="宋体" w:asciiTheme="minorEastAsia" w:hAnsiTheme="minorEastAsia" w:eastAsiaTheme="minorEastAsia"/>
          <w:color w:val="000000"/>
          <w:sz w:val="24"/>
          <w:shd w:val="clear" w:color="auto" w:fill="FFFFFF"/>
        </w:rPr>
        <w:t>管内充以特种油膏，对光纤进行了关键性的保护，</w:t>
      </w:r>
      <w:r>
        <w:rPr>
          <w:rFonts w:hint="eastAsia" w:asciiTheme="minorEastAsia" w:hAnsiTheme="minorEastAsia" w:eastAsiaTheme="minorEastAsia"/>
          <w:color w:val="000000"/>
          <w:sz w:val="24"/>
        </w:rPr>
        <w:t>在缆芯绞层外有阻水材料阻水,确保光缆能通过严格的阻水实验。</w:t>
      </w:r>
      <w:r>
        <w:rPr>
          <w:rFonts w:hint="eastAsia" w:asciiTheme="minorEastAsia" w:hAnsiTheme="minorEastAsia" w:eastAsiaTheme="minorEastAsia"/>
          <w:sz w:val="24"/>
        </w:rPr>
        <w:t>缆芯外纵包双面涂塑轧纹铝带，</w:t>
      </w:r>
      <w:r>
        <w:rPr>
          <w:rFonts w:hint="eastAsia" w:asciiTheme="minorEastAsia" w:hAnsiTheme="minorEastAsia" w:eastAsiaTheme="minorEastAsia"/>
          <w:color w:val="000000"/>
          <w:sz w:val="24"/>
        </w:rPr>
        <w:t>介面</w:t>
      </w:r>
      <w:r>
        <w:rPr>
          <w:rFonts w:hint="eastAsia" w:asciiTheme="minorEastAsia" w:hAnsiTheme="minorEastAsia" w:eastAsiaTheme="minorEastAsia"/>
          <w:sz w:val="24"/>
        </w:rPr>
        <w:t>重叠，使光缆具有极佳的防潮性能和抗侧压能力；</w:t>
      </w:r>
      <w:r>
        <w:rPr>
          <w:rFonts w:hint="eastAsia" w:asciiTheme="minorEastAsia" w:hAnsiTheme="minorEastAsia" w:eastAsiaTheme="minorEastAsia"/>
          <w:color w:val="000000"/>
          <w:sz w:val="24"/>
        </w:rPr>
        <w:t>最后挤PE外护套。</w:t>
      </w:r>
    </w:p>
    <w:p>
      <w:pPr>
        <w:spacing w:line="400" w:lineRule="exact"/>
        <w:ind w:firstLine="480" w:firstLineChars="200"/>
        <w:rPr>
          <w:rFonts w:asciiTheme="minorEastAsia" w:hAnsiTheme="minorEastAsia" w:eastAsiaTheme="minorEastAsia"/>
          <w:color w:val="000000"/>
          <w:sz w:val="24"/>
        </w:rPr>
      </w:pPr>
    </w:p>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2、 功能介绍和适用范围</w:t>
      </w:r>
    </w:p>
    <w:p>
      <w:pPr>
        <w:spacing w:line="4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该光缆适用于长途通信和局间通信的室外管道、架空敷设。</w:t>
      </w:r>
    </w:p>
    <w:p>
      <w:pPr>
        <w:spacing w:line="4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该产品具有外径小，重量轻，结构紧凑严密，柔韧性和弯曲性能优异，铝带铠装抗压性好，阻水性能优越等特点。</w:t>
      </w:r>
      <w:r>
        <w:rPr>
          <w:rFonts w:hint="eastAsia" w:cs="宋体" w:asciiTheme="minorEastAsia" w:hAnsiTheme="minorEastAsia" w:eastAsiaTheme="minorEastAsia"/>
          <w:color w:val="000000"/>
          <w:sz w:val="24"/>
          <w:shd w:val="clear" w:color="auto" w:fill="FFFFFF"/>
        </w:rPr>
        <w:t>PE护套具有很好的抗紫外辐射性能及耐环境应力开裂性能。</w:t>
      </w:r>
      <w:r>
        <w:rPr>
          <w:rFonts w:hint="eastAsia" w:cs="宋体" w:asciiTheme="minorEastAsia" w:hAnsiTheme="minorEastAsia" w:eastAsiaTheme="minorEastAsia"/>
          <w:kern w:val="0"/>
          <w:sz w:val="24"/>
        </w:rPr>
        <w:t>满足了长距离信号传输的要求。</w:t>
      </w:r>
    </w:p>
    <w:p>
      <w:pPr>
        <w:spacing w:line="400" w:lineRule="exact"/>
        <w:ind w:firstLine="480" w:firstLineChars="200"/>
        <w:rPr>
          <w:rFonts w:cs="宋体" w:asciiTheme="minorEastAsia" w:hAnsiTheme="minorEastAsia" w:eastAsiaTheme="minorEastAsia"/>
          <w:kern w:val="0"/>
          <w:sz w:val="24"/>
        </w:rPr>
      </w:pPr>
    </w:p>
    <w:p>
      <w:pPr>
        <w:pStyle w:val="12"/>
        <w:numPr>
          <w:ilvl w:val="0"/>
          <w:numId w:val="2"/>
        </w:numPr>
        <w:spacing w:line="400" w:lineRule="exact"/>
        <w:ind w:firstLineChars="0"/>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性能指标</w:t>
      </w:r>
    </w:p>
    <w:tbl>
      <w:tblPr>
        <w:tblStyle w:val="9"/>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trPr>
        <w:tc>
          <w:tcPr>
            <w:tcW w:w="3794" w:type="dxa"/>
            <w:vAlign w:val="center"/>
          </w:tcPr>
          <w:p>
            <w:pPr>
              <w:snapToGrid w:val="0"/>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检测项目</w:t>
            </w:r>
          </w:p>
        </w:tc>
        <w:tc>
          <w:tcPr>
            <w:tcW w:w="4536" w:type="dxa"/>
            <w:vAlign w:val="center"/>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产品型号</w:t>
            </w:r>
          </w:p>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GYTA-288B1.3型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3794"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工作波长</w:t>
            </w:r>
          </w:p>
        </w:tc>
        <w:tc>
          <w:tcPr>
            <w:tcW w:w="4536"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1310nm 1550nm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3794"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1310nm衰减系数（成缆后）</w:t>
            </w:r>
          </w:p>
        </w:tc>
        <w:tc>
          <w:tcPr>
            <w:tcW w:w="4536"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0.35dB/km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3794"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1550nm衰减系数（成缆后）</w:t>
            </w:r>
          </w:p>
        </w:tc>
        <w:tc>
          <w:tcPr>
            <w:tcW w:w="4536"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0.21dB/km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3794"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PMD</w:t>
            </w:r>
          </w:p>
        </w:tc>
        <w:tc>
          <w:tcPr>
            <w:tcW w:w="4536" w:type="dxa"/>
          </w:tcPr>
          <w:p>
            <w:pPr>
              <w:spacing w:line="400" w:lineRule="exact"/>
              <w:rPr>
                <w:rFonts w:cs="宋体" w:asciiTheme="minorEastAsia" w:hAnsiTheme="minorEastAsia" w:eastAsiaTheme="minorEastAsia"/>
                <w:bCs/>
                <w:kern w:val="0"/>
                <w:sz w:val="24"/>
              </w:rPr>
            </w:pPr>
            <w:r>
              <w:rPr>
                <w:rFonts w:hint="eastAsia" w:asciiTheme="minorEastAsia" w:hAnsiTheme="minorEastAsia" w:eastAsiaTheme="minorEastAsia"/>
                <w:color w:val="000000"/>
                <w:sz w:val="24"/>
              </w:rPr>
              <w:t>≤0.20ｐｓ／√ｋｍ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3794"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PNDq</w:t>
            </w:r>
          </w:p>
        </w:tc>
        <w:tc>
          <w:tcPr>
            <w:tcW w:w="4536" w:type="dxa"/>
          </w:tcPr>
          <w:p>
            <w:pPr>
              <w:spacing w:line="400" w:lineRule="exact"/>
              <w:rPr>
                <w:rFonts w:cs="宋体" w:asciiTheme="minorEastAsia" w:hAnsiTheme="minorEastAsia" w:eastAsiaTheme="minorEastAsia"/>
                <w:bCs/>
                <w:kern w:val="0"/>
                <w:sz w:val="24"/>
              </w:rPr>
            </w:pPr>
            <w:r>
              <w:rPr>
                <w:rFonts w:hint="eastAsia" w:asciiTheme="minorEastAsia" w:hAnsiTheme="minorEastAsia" w:eastAsiaTheme="minorEastAsia"/>
                <w:color w:val="000000"/>
                <w:sz w:val="24"/>
              </w:rPr>
              <w:t>≤0.10ｐｓ／√ｋｍ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3794"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拉伸</w:t>
            </w:r>
          </w:p>
        </w:tc>
        <w:tc>
          <w:tcPr>
            <w:tcW w:w="4536"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短期1500N 长期600N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3794"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压扁N/100mm</w:t>
            </w:r>
          </w:p>
        </w:tc>
        <w:tc>
          <w:tcPr>
            <w:tcW w:w="4536" w:type="dxa"/>
          </w:tcPr>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 xml:space="preserve">短期1000N 长期300N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3794"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使用温度</w:t>
            </w:r>
          </w:p>
        </w:tc>
        <w:tc>
          <w:tcPr>
            <w:tcW w:w="4536"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-40℃－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3794"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弯曲半径（静态）</w:t>
            </w:r>
          </w:p>
        </w:tc>
        <w:tc>
          <w:tcPr>
            <w:tcW w:w="4536"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3794"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弯曲半径（动态）</w:t>
            </w:r>
          </w:p>
        </w:tc>
        <w:tc>
          <w:tcPr>
            <w:tcW w:w="4536"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3794" w:type="dxa"/>
          </w:tcPr>
          <w:p>
            <w:pPr>
              <w:spacing w:line="40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耐压</w:t>
            </w:r>
          </w:p>
        </w:tc>
        <w:tc>
          <w:tcPr>
            <w:tcW w:w="4536" w:type="dxa"/>
          </w:tcPr>
          <w:p>
            <w:pPr>
              <w:spacing w:line="400" w:lineRule="exact"/>
              <w:rPr>
                <w:rFonts w:cs="宋体" w:asciiTheme="minorEastAsia" w:hAnsiTheme="minorEastAsia" w:eastAsiaTheme="minorEastAsia"/>
                <w:color w:val="FF0000"/>
                <w:kern w:val="0"/>
                <w:sz w:val="24"/>
              </w:rPr>
            </w:pPr>
            <w:r>
              <w:rPr>
                <w:rFonts w:hint="eastAsia" w:cs="宋体" w:asciiTheme="minorEastAsia" w:hAnsiTheme="minorEastAsia" w:eastAsiaTheme="minorEastAsia"/>
                <w:color w:val="000000"/>
                <w:kern w:val="0"/>
                <w:sz w:val="24"/>
              </w:rPr>
              <w:t>直流15KV</w:t>
            </w:r>
          </w:p>
        </w:tc>
      </w:tr>
    </w:tbl>
    <w:p>
      <w:pPr>
        <w:spacing w:line="400" w:lineRule="exact"/>
        <w:rPr>
          <w:rFonts w:cs="宋体" w:asciiTheme="minorEastAsia" w:hAnsiTheme="minorEastAsia" w:eastAsiaTheme="minorEastAsia"/>
          <w:kern w:val="0"/>
          <w:sz w:val="24"/>
        </w:rPr>
      </w:pPr>
    </w:p>
    <w:p>
      <w:pPr>
        <w:pStyle w:val="12"/>
        <w:numPr>
          <w:ilvl w:val="0"/>
          <w:numId w:val="2"/>
        </w:numPr>
        <w:spacing w:line="400" w:lineRule="exact"/>
        <w:ind w:firstLineChars="0"/>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执行标准：GY/T130-2010</w:t>
      </w:r>
      <w:r>
        <w:rPr>
          <w:rFonts w:cs="宋体" w:asciiTheme="minorEastAsia" w:hAnsiTheme="minorEastAsia" w:eastAsiaTheme="minorEastAsia"/>
          <w:bCs/>
          <w:kern w:val="0"/>
          <w:sz w:val="24"/>
        </w:rPr>
        <w:t>《</w:t>
      </w:r>
      <w:r>
        <w:rPr>
          <w:rFonts w:hint="eastAsia" w:cs="宋体" w:asciiTheme="minorEastAsia" w:hAnsiTheme="minorEastAsia" w:eastAsiaTheme="minorEastAsia"/>
          <w:bCs/>
          <w:kern w:val="0"/>
          <w:sz w:val="24"/>
        </w:rPr>
        <w:t>有线电视系统用</w:t>
      </w:r>
      <w:r>
        <w:rPr>
          <w:rFonts w:cs="宋体" w:asciiTheme="minorEastAsia" w:hAnsiTheme="minorEastAsia" w:eastAsiaTheme="minorEastAsia"/>
          <w:bCs/>
          <w:kern w:val="0"/>
          <w:sz w:val="24"/>
        </w:rPr>
        <w:t>室外光缆</w:t>
      </w:r>
      <w:r>
        <w:rPr>
          <w:rFonts w:hint="eastAsia" w:cs="宋体" w:asciiTheme="minorEastAsia" w:hAnsiTheme="minorEastAsia" w:eastAsiaTheme="minorEastAsia"/>
          <w:bCs/>
          <w:kern w:val="0"/>
          <w:sz w:val="24"/>
        </w:rPr>
        <w:t>技术要求和测量方法</w:t>
      </w:r>
      <w:r>
        <w:rPr>
          <w:rFonts w:cs="宋体" w:asciiTheme="minorEastAsia" w:hAnsiTheme="minorEastAsia" w:eastAsiaTheme="minorEastAsia"/>
          <w:bCs/>
          <w:kern w:val="0"/>
          <w:sz w:val="24"/>
        </w:rPr>
        <w:t>》</w:t>
      </w:r>
      <w:r>
        <w:rPr>
          <w:rFonts w:hint="eastAsia" w:cs="宋体" w:asciiTheme="minorEastAsia" w:hAnsiTheme="minorEastAsia" w:eastAsiaTheme="minorEastAsia"/>
          <w:bCs/>
          <w:kern w:val="0"/>
          <w:sz w:val="24"/>
        </w:rPr>
        <w:t>。</w:t>
      </w:r>
    </w:p>
    <w:p>
      <w:pPr>
        <w:spacing w:line="400" w:lineRule="exact"/>
        <w:rPr>
          <w:rFonts w:cs="宋体" w:asciiTheme="minorEastAsia" w:hAnsiTheme="minorEastAsia" w:eastAsiaTheme="minorEastAsia"/>
          <w:bCs/>
          <w:kern w:val="0"/>
          <w:sz w:val="24"/>
        </w:rPr>
      </w:pPr>
    </w:p>
    <w:p>
      <w:pPr>
        <w:spacing w:line="40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5、结构示意图</w:t>
      </w:r>
    </w:p>
    <w:p>
      <w:pPr>
        <w:rPr>
          <w:rFonts w:asciiTheme="minorEastAsia" w:hAnsiTheme="minorEastAsia" w:eastAsiaTheme="minorEastAsia"/>
          <w:bCs/>
          <w:sz w:val="24"/>
          <w:u w:val="single"/>
        </w:rPr>
      </w:pPr>
    </w:p>
    <w:p>
      <w:pPr>
        <w:jc w:val="center"/>
        <w:rPr>
          <w:rFonts w:cs="宋体" w:asciiTheme="minorEastAsia" w:hAnsiTheme="minorEastAsia" w:eastAsiaTheme="minorEastAsia"/>
          <w:bCs/>
          <w:kern w:val="0"/>
          <w:sz w:val="24"/>
        </w:rPr>
      </w:pPr>
      <w:r>
        <w:rPr>
          <w:rFonts w:cs="宋体" w:asciiTheme="minorEastAsia" w:hAnsiTheme="minorEastAsia" w:eastAsiaTheme="minorEastAsia"/>
          <w:bCs/>
          <w:kern w:val="0"/>
          <w:sz w:val="24"/>
        </w:rPr>
        <w:drawing>
          <wp:inline distT="0" distB="0" distL="0" distR="0">
            <wp:extent cx="4312285" cy="3265170"/>
            <wp:effectExtent l="0" t="0" r="12065" b="11430"/>
            <wp:docPr id="164" name="图片 3" descr="TA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 descr="TA示意图"/>
                    <pic:cNvPicPr>
                      <a:picLocks noChangeAspect="1" noChangeArrowheads="1"/>
                    </pic:cNvPicPr>
                  </pic:nvPicPr>
                  <pic:blipFill>
                    <a:blip r:embed="rId8" cstate="print"/>
                    <a:srcRect/>
                    <a:stretch>
                      <a:fillRect/>
                    </a:stretch>
                  </pic:blipFill>
                  <pic:spPr>
                    <a:xfrm>
                      <a:off x="0" y="0"/>
                      <a:ext cx="4314041" cy="3266697"/>
                    </a:xfrm>
                    <a:prstGeom prst="rect">
                      <a:avLst/>
                    </a:prstGeom>
                    <a:noFill/>
                    <a:ln w="9525">
                      <a:noFill/>
                      <a:miter lim="800000"/>
                      <a:headEnd/>
                      <a:tailEnd/>
                    </a:ln>
                  </pic:spPr>
                </pic:pic>
              </a:graphicData>
            </a:graphic>
          </wp:inline>
        </w:drawing>
      </w:r>
    </w:p>
    <w:p>
      <w:pPr>
        <w:rPr>
          <w:rFonts w:cs="宋体" w:asciiTheme="minorEastAsia" w:hAnsiTheme="minorEastAsia" w:eastAsiaTheme="minorEastAsia"/>
          <w:bCs/>
          <w:kern w:val="0"/>
          <w:sz w:val="24"/>
        </w:rPr>
      </w:pPr>
    </w:p>
    <w:p>
      <w:pPr>
        <w:rPr>
          <w:rFonts w:asciiTheme="minorEastAsia" w:hAnsiTheme="minorEastAsia" w:eastAsiaTheme="minorEastAsia"/>
          <w:sz w:val="24"/>
        </w:rPr>
      </w:pPr>
      <w:r>
        <w:rPr>
          <w:rFonts w:hint="eastAsia" w:asciiTheme="minorEastAsia" w:hAnsiTheme="minorEastAsia" w:eastAsiaTheme="minorEastAsia"/>
          <w:bCs/>
          <w:sz w:val="24"/>
        </w:rPr>
        <w:t>6、设备外观照片</w:t>
      </w:r>
    </w:p>
    <w:p>
      <w:pPr>
        <w:rPr>
          <w:rFonts w:asciiTheme="minorEastAsia" w:hAnsiTheme="minorEastAsia" w:eastAsiaTheme="minorEastAsia"/>
          <w:sz w:val="24"/>
        </w:rPr>
      </w:pPr>
    </w:p>
    <w:p>
      <w:pPr>
        <w:jc w:val="center"/>
        <w:rPr>
          <w:rFonts w:cs="宋体"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4450715" cy="3122930"/>
            <wp:effectExtent l="0" t="0" r="6985" b="1270"/>
            <wp:docPr id="165" name="图片 3" descr="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descr="216-1"/>
                    <pic:cNvPicPr>
                      <a:picLocks noChangeAspect="1" noChangeArrowheads="1"/>
                    </pic:cNvPicPr>
                  </pic:nvPicPr>
                  <pic:blipFill>
                    <a:blip r:embed="rId9" cstate="print"/>
                    <a:srcRect/>
                    <a:stretch>
                      <a:fillRect/>
                    </a:stretch>
                  </pic:blipFill>
                  <pic:spPr>
                    <a:xfrm>
                      <a:off x="0" y="0"/>
                      <a:ext cx="4450988" cy="3123061"/>
                    </a:xfrm>
                    <a:prstGeom prst="rect">
                      <a:avLst/>
                    </a:prstGeom>
                    <a:noFill/>
                    <a:ln w="9525">
                      <a:noFill/>
                      <a:miter lim="800000"/>
                      <a:headEnd/>
                      <a:tailEnd/>
                    </a:ln>
                    <a:effectLst/>
                  </pic:spPr>
                </pic:pic>
              </a:graphicData>
            </a:graphic>
          </wp:inline>
        </w:drawing>
      </w:r>
    </w:p>
    <w:p>
      <w:pPr>
        <w:rPr>
          <w:rFonts w:asciiTheme="minorEastAsia" w:hAnsiTheme="minorEastAsia" w:eastAsiaTheme="minorEastAsia"/>
          <w:sz w:val="24"/>
        </w:rPr>
      </w:pPr>
    </w:p>
    <w:p>
      <w:pPr>
        <w:rPr>
          <w:rFonts w:asciiTheme="minorEastAsia" w:hAnsiTheme="minorEastAsia" w:eastAsiaTheme="minorEastAsia"/>
          <w:sz w:val="24"/>
        </w:rPr>
      </w:pPr>
    </w:p>
    <w:p>
      <w:pPr>
        <w:rPr>
          <w:rFonts w:asciiTheme="minorEastAsia" w:hAnsiTheme="minorEastAsia" w:eastAsiaTheme="minorEastAsia"/>
          <w:sz w:val="24"/>
        </w:rPr>
      </w:pPr>
    </w:p>
    <w:p>
      <w:pPr>
        <w:spacing w:line="600" w:lineRule="exact"/>
        <w:jc w:val="center"/>
        <w:rPr>
          <w:rFonts w:asciiTheme="minorEastAsia" w:hAnsiTheme="minorEastAsia" w:eastAsiaTheme="minorEastAsia"/>
          <w:b/>
          <w:bCs/>
          <w:sz w:val="28"/>
          <w:szCs w:val="28"/>
        </w:rPr>
      </w:pPr>
      <w:r>
        <w:rPr>
          <w:rFonts w:cs="宋体" w:asciiTheme="minorEastAsia" w:hAnsiTheme="minorEastAsia" w:eastAsiaTheme="minorEastAsia"/>
          <w:b/>
          <w:bCs/>
          <w:color w:val="000000"/>
          <w:kern w:val="0"/>
          <w:sz w:val="28"/>
          <w:szCs w:val="28"/>
        </w:rPr>
        <w:t>GYXTW-24B1.3</w:t>
      </w:r>
      <w:r>
        <w:rPr>
          <w:rFonts w:hint="eastAsia" w:cs="宋体" w:asciiTheme="minorEastAsia" w:hAnsiTheme="minorEastAsia" w:eastAsiaTheme="minorEastAsia"/>
          <w:b/>
          <w:bCs/>
          <w:color w:val="000000"/>
          <w:kern w:val="0"/>
          <w:sz w:val="28"/>
          <w:szCs w:val="28"/>
        </w:rPr>
        <w:t>型</w:t>
      </w:r>
    </w:p>
    <w:p>
      <w:pPr>
        <w:rPr>
          <w:rFonts w:asciiTheme="minorEastAsia" w:hAnsiTheme="minorEastAsia" w:eastAsiaTheme="minorEastAsia"/>
          <w:bCs/>
          <w:sz w:val="24"/>
        </w:rPr>
      </w:pPr>
      <w:r>
        <w:rPr>
          <w:rFonts w:asciiTheme="minorEastAsia" w:hAnsiTheme="minorEastAsia" w:eastAsiaTheme="minorEastAsia"/>
          <w:bCs/>
          <w:sz w:val="24"/>
        </w:rPr>
        <w:t>1</w:t>
      </w:r>
      <w:r>
        <w:rPr>
          <w:rFonts w:hint="eastAsia" w:asciiTheme="minorEastAsia" w:hAnsiTheme="minorEastAsia" w:eastAsiaTheme="minorEastAsia"/>
          <w:bCs/>
          <w:sz w:val="24"/>
        </w:rPr>
        <w:t>、产品特征</w:t>
      </w:r>
    </w:p>
    <w:p>
      <w:pPr>
        <w:spacing w:line="440" w:lineRule="exact"/>
        <w:ind w:firstLine="420" w:firstLineChars="200"/>
        <w:rPr>
          <w:rFonts w:cs="宋体" w:asciiTheme="minorEastAsia" w:hAnsiTheme="minorEastAsia" w:eastAsiaTheme="minorEastAsia"/>
          <w:color w:val="000000"/>
          <w:kern w:val="0"/>
          <w:sz w:val="24"/>
        </w:rPr>
      </w:pPr>
      <w:r>
        <w:fldChar w:fldCharType="begin"/>
      </w:r>
      <w:r>
        <w:instrText xml:space="preserve"> HYPERLINK "https://rwrd.chinasarft.gov.cn/Sbrw.aspx?id1=3&amp;id2=6" </w:instrText>
      </w:r>
      <w:r>
        <w:fldChar w:fldCharType="separate"/>
      </w:r>
      <w:r>
        <w:rPr>
          <w:rStyle w:val="8"/>
          <w:rFonts w:hint="eastAsia" w:cs="宋体" w:asciiTheme="minorEastAsia" w:hAnsiTheme="minorEastAsia" w:eastAsiaTheme="minorEastAsia"/>
          <w:color w:val="000000"/>
          <w:sz w:val="24"/>
          <w:u w:val="none"/>
        </w:rPr>
        <w:t>有线电视系统中心束管式</w:t>
      </w:r>
      <w:r>
        <w:rPr>
          <w:rStyle w:val="8"/>
          <w:rFonts w:hint="eastAsia" w:cs="宋体" w:asciiTheme="minorEastAsia" w:hAnsiTheme="minorEastAsia" w:eastAsiaTheme="minorEastAsia"/>
          <w:color w:val="000000"/>
          <w:sz w:val="24"/>
          <w:u w:val="none"/>
        </w:rPr>
        <w:fldChar w:fldCharType="end"/>
      </w:r>
      <w:r>
        <w:rPr>
          <w:rFonts w:cs="宋体" w:asciiTheme="minorEastAsia" w:hAnsiTheme="minorEastAsia" w:eastAsiaTheme="minorEastAsia"/>
          <w:sz w:val="24"/>
        </w:rPr>
        <w:t>GYXTW-24B1.3</w:t>
      </w:r>
      <w:r>
        <w:rPr>
          <w:rFonts w:hint="eastAsia" w:cs="宋体" w:asciiTheme="minorEastAsia" w:hAnsiTheme="minorEastAsia" w:eastAsiaTheme="minorEastAsia"/>
          <w:sz w:val="24"/>
        </w:rPr>
        <w:t>型</w:t>
      </w:r>
      <w:r>
        <w:rPr>
          <w:rStyle w:val="8"/>
          <w:rFonts w:hint="eastAsia" w:cs="宋体" w:asciiTheme="minorEastAsia" w:hAnsiTheme="minorEastAsia" w:eastAsiaTheme="minorEastAsia"/>
          <w:color w:val="000000"/>
          <w:sz w:val="24"/>
        </w:rPr>
        <w:t>光缆</w:t>
      </w:r>
      <w:r>
        <w:rPr>
          <w:rFonts w:hint="eastAsia" w:cs="宋体" w:asciiTheme="minorEastAsia" w:hAnsiTheme="minorEastAsia" w:eastAsiaTheme="minorEastAsia"/>
          <w:color w:val="000000"/>
          <w:kern w:val="0"/>
          <w:sz w:val="24"/>
        </w:rPr>
        <w:t>产品，是</w:t>
      </w:r>
      <w:r>
        <w:rPr>
          <w:rFonts w:hint="eastAsia" w:cs="宋体" w:asciiTheme="minorEastAsia" w:hAnsiTheme="minorEastAsia" w:eastAsiaTheme="minorEastAsia"/>
          <w:color w:val="000000"/>
          <w:sz w:val="24"/>
        </w:rPr>
        <w:t>中心松套管保护一次涂覆光纤，光纤集中在缆的中心，加强件分布在光缆护层中的两侧，钢带与缆心之间设有阻水层，双面覆塑皱纹钢带</w:t>
      </w:r>
      <w:r>
        <w:rPr>
          <w:rFonts w:cs="宋体" w:asciiTheme="minorEastAsia" w:hAnsiTheme="minorEastAsia" w:eastAsiaTheme="minorEastAsia"/>
          <w:color w:val="000000"/>
          <w:sz w:val="24"/>
        </w:rPr>
        <w:t>-</w:t>
      </w:r>
      <w:r>
        <w:rPr>
          <w:rFonts w:hint="eastAsia" w:cs="宋体" w:asciiTheme="minorEastAsia" w:hAnsiTheme="minorEastAsia" w:eastAsiaTheme="minorEastAsia"/>
          <w:color w:val="000000"/>
          <w:sz w:val="24"/>
        </w:rPr>
        <w:t>聚乙烯粘结外护套，双钢丝平行加强。优良的阻水层，具有良好的抗渗水能力，钢带粘接外护套及金属加强，张力性能优良，束管中心式设计，光纤在光缆的抗侧向力中所受的影响减至最小。</w:t>
      </w:r>
    </w:p>
    <w:p>
      <w:pPr>
        <w:spacing w:line="440" w:lineRule="exact"/>
        <w:ind w:firstLine="480" w:firstLineChars="200"/>
        <w:rPr>
          <w:rFonts w:asciiTheme="minorEastAsia" w:hAnsiTheme="minorEastAsia" w:eastAsiaTheme="minorEastAsia"/>
          <w:bCs/>
          <w:sz w:val="24"/>
          <w:u w:val="single"/>
        </w:rPr>
      </w:pPr>
    </w:p>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2</w:t>
      </w:r>
      <w:r>
        <w:rPr>
          <w:rFonts w:hint="eastAsia" w:cs="宋体" w:asciiTheme="minorEastAsia" w:hAnsiTheme="minorEastAsia" w:eastAsiaTheme="minorEastAsia"/>
          <w:bCs/>
          <w:kern w:val="0"/>
          <w:sz w:val="24"/>
        </w:rPr>
        <w:t>、</w:t>
      </w:r>
      <w:r>
        <w:rPr>
          <w:rFonts w:cs="宋体" w:asciiTheme="minorEastAsia" w:hAnsiTheme="minorEastAsia" w:eastAsiaTheme="minorEastAsia"/>
          <w:bCs/>
          <w:kern w:val="0"/>
          <w:sz w:val="24"/>
        </w:rPr>
        <w:t xml:space="preserve"> </w:t>
      </w:r>
      <w:r>
        <w:rPr>
          <w:rFonts w:hint="eastAsia" w:cs="宋体" w:asciiTheme="minorEastAsia" w:hAnsiTheme="minorEastAsia" w:eastAsiaTheme="minorEastAsia"/>
          <w:bCs/>
          <w:kern w:val="0"/>
          <w:sz w:val="24"/>
        </w:rPr>
        <w:t>功能介绍和应用范围</w:t>
      </w:r>
    </w:p>
    <w:p>
      <w:pPr>
        <w:spacing w:line="44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该光缆适用于长途通信和局间室外通信的架空、管道敷设。</w:t>
      </w:r>
    </w:p>
    <w:p>
      <w:pPr>
        <w:spacing w:line="440" w:lineRule="exact"/>
        <w:ind w:firstLine="480" w:firstLineChars="200"/>
        <w:rPr>
          <w:rFonts w:cs="宋体" w:asciiTheme="minorEastAsia" w:hAnsiTheme="minorEastAsia" w:eastAsiaTheme="minorEastAsia"/>
          <w:color w:val="000000"/>
          <w:kern w:val="0"/>
          <w:sz w:val="24"/>
        </w:rPr>
      </w:pPr>
      <w:r>
        <w:rPr>
          <w:rFonts w:hint="eastAsia" w:cs="宋体" w:asciiTheme="minorEastAsia" w:hAnsiTheme="minorEastAsia" w:eastAsiaTheme="minorEastAsia"/>
          <w:kern w:val="0"/>
          <w:sz w:val="24"/>
        </w:rPr>
        <w:t>该产品具有外径小，重量轻，结构紧凑严密，</w:t>
      </w:r>
      <w:r>
        <w:rPr>
          <w:rFonts w:hint="eastAsia" w:cs="宋体" w:asciiTheme="minorEastAsia" w:hAnsiTheme="minorEastAsia" w:eastAsiaTheme="minorEastAsia"/>
          <w:color w:val="000000"/>
          <w:sz w:val="24"/>
        </w:rPr>
        <w:t>彻底解决了套管回缩问题</w:t>
      </w:r>
      <w:r>
        <w:rPr>
          <w:rFonts w:hint="eastAsia" w:cs="宋体" w:asciiTheme="minorEastAsia" w:hAnsiTheme="minorEastAsia" w:eastAsiaTheme="minorEastAsia"/>
          <w:color w:val="000000"/>
          <w:kern w:val="0"/>
          <w:sz w:val="24"/>
        </w:rPr>
        <w:t>，钢丝铠装抗压性好，阻水性能优越等特点。满足了长距离信号传输的要求。</w:t>
      </w:r>
    </w:p>
    <w:p>
      <w:pPr>
        <w:spacing w:line="440" w:lineRule="exact"/>
        <w:rPr>
          <w:rFonts w:cs="宋体" w:asciiTheme="minorEastAsia" w:hAnsiTheme="minorEastAsia" w:eastAsiaTheme="minorEastAsia"/>
          <w:bCs/>
          <w:kern w:val="0"/>
          <w:sz w:val="24"/>
        </w:rPr>
      </w:pPr>
    </w:p>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3</w:t>
      </w:r>
      <w:r>
        <w:rPr>
          <w:rFonts w:hint="eastAsia" w:cs="宋体" w:asciiTheme="minorEastAsia" w:hAnsiTheme="minorEastAsia" w:eastAsiaTheme="minorEastAsia"/>
          <w:bCs/>
          <w:kern w:val="0"/>
          <w:sz w:val="24"/>
        </w:rPr>
        <w:t>、性能指标</w:t>
      </w:r>
    </w:p>
    <w:tbl>
      <w:tblPr>
        <w:tblStyle w:val="9"/>
        <w:tblW w:w="8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6"/>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1" w:hRule="atLeast"/>
        </w:trPr>
        <w:tc>
          <w:tcPr>
            <w:tcW w:w="4086" w:type="dxa"/>
            <w:vAlign w:val="center"/>
          </w:tcPr>
          <w:p>
            <w:pPr>
              <w:snapToGrid w:val="0"/>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检测项目</w:t>
            </w:r>
            <w:r>
              <w:rPr>
                <w:rFonts w:cs="宋体" w:asciiTheme="minorEastAsia" w:hAnsiTheme="minorEastAsia" w:eastAsiaTheme="minorEastAsia"/>
                <w:bCs/>
                <w:kern w:val="0"/>
                <w:sz w:val="24"/>
              </w:rPr>
              <w:t xml:space="preserve"> </w:t>
            </w:r>
          </w:p>
        </w:tc>
        <w:tc>
          <w:tcPr>
            <w:tcW w:w="4405" w:type="dxa"/>
            <w:vAlign w:val="center"/>
          </w:tcPr>
          <w:p>
            <w:pPr>
              <w:spacing w:line="44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产品型号</w:t>
            </w:r>
          </w:p>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color w:val="000000"/>
                <w:kern w:val="0"/>
                <w:sz w:val="24"/>
              </w:rPr>
              <w:t>GYXTW-24B1.3</w:t>
            </w:r>
            <w:r>
              <w:rPr>
                <w:rFonts w:hint="eastAsia" w:cs="宋体" w:asciiTheme="minorEastAsia" w:hAnsiTheme="minorEastAsia" w:eastAsiaTheme="minorEastAsia"/>
                <w:bCs/>
                <w:color w:val="000000"/>
                <w:kern w:val="0"/>
                <w:sz w:val="24"/>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工作波长</w:t>
            </w:r>
          </w:p>
        </w:tc>
        <w:tc>
          <w:tcPr>
            <w:tcW w:w="4405" w:type="dxa"/>
          </w:tcPr>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1310nm 1550nm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1310nm</w:t>
            </w:r>
            <w:r>
              <w:rPr>
                <w:rFonts w:hint="eastAsia" w:cs="宋体" w:asciiTheme="minorEastAsia" w:hAnsiTheme="minorEastAsia" w:eastAsiaTheme="minorEastAsia"/>
                <w:bCs/>
                <w:kern w:val="0"/>
                <w:sz w:val="24"/>
              </w:rPr>
              <w:t>衰减系数（成缆后）</w:t>
            </w:r>
          </w:p>
        </w:tc>
        <w:tc>
          <w:tcPr>
            <w:tcW w:w="4405" w:type="dxa"/>
          </w:tcPr>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0.35dB/km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1550nm</w:t>
            </w:r>
            <w:r>
              <w:rPr>
                <w:rFonts w:hint="eastAsia" w:cs="宋体" w:asciiTheme="minorEastAsia" w:hAnsiTheme="minorEastAsia" w:eastAsiaTheme="minorEastAsia"/>
                <w:bCs/>
                <w:kern w:val="0"/>
                <w:sz w:val="24"/>
              </w:rPr>
              <w:t>衰减系数（成缆后）</w:t>
            </w:r>
          </w:p>
        </w:tc>
        <w:tc>
          <w:tcPr>
            <w:tcW w:w="4405" w:type="dxa"/>
          </w:tcPr>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0.21dB/km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PMD</w:t>
            </w:r>
          </w:p>
        </w:tc>
        <w:tc>
          <w:tcPr>
            <w:tcW w:w="4405" w:type="dxa"/>
          </w:tcPr>
          <w:p>
            <w:pPr>
              <w:spacing w:line="440" w:lineRule="exact"/>
              <w:rPr>
                <w:rFonts w:cs="宋体" w:asciiTheme="minorEastAsia" w:hAnsiTheme="minorEastAsia" w:eastAsiaTheme="minorEastAsia"/>
                <w:bCs/>
                <w:kern w:val="0"/>
                <w:sz w:val="24"/>
              </w:rPr>
            </w:pPr>
            <w:r>
              <w:rPr>
                <w:rFonts w:hint="eastAsia" w:asciiTheme="minorEastAsia" w:hAnsiTheme="minorEastAsia" w:eastAsiaTheme="minorEastAsia"/>
                <w:bCs/>
                <w:color w:val="000000"/>
                <w:sz w:val="24"/>
              </w:rPr>
              <w:t>≤</w:t>
            </w:r>
            <w:r>
              <w:rPr>
                <w:rFonts w:asciiTheme="minorEastAsia" w:hAnsiTheme="minorEastAsia" w:eastAsiaTheme="minorEastAsia"/>
                <w:bCs/>
                <w:color w:val="000000"/>
                <w:sz w:val="24"/>
              </w:rPr>
              <w:t>0.20</w:t>
            </w:r>
            <w:r>
              <w:rPr>
                <w:rFonts w:hint="eastAsia" w:asciiTheme="minorEastAsia" w:hAnsiTheme="minorEastAsia" w:eastAsiaTheme="minorEastAsia"/>
                <w:bCs/>
                <w:color w:val="000000"/>
                <w:sz w:val="24"/>
              </w:rPr>
              <w:t>ｐｓ／√ｋｍ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PNDq</w:t>
            </w:r>
          </w:p>
        </w:tc>
        <w:tc>
          <w:tcPr>
            <w:tcW w:w="4405" w:type="dxa"/>
          </w:tcPr>
          <w:p>
            <w:pPr>
              <w:spacing w:line="440" w:lineRule="exact"/>
              <w:rPr>
                <w:rFonts w:cs="宋体" w:asciiTheme="minorEastAsia" w:hAnsiTheme="minorEastAsia" w:eastAsiaTheme="minorEastAsia"/>
                <w:bCs/>
                <w:kern w:val="0"/>
                <w:sz w:val="24"/>
              </w:rPr>
            </w:pPr>
            <w:r>
              <w:rPr>
                <w:rFonts w:hint="eastAsia" w:asciiTheme="minorEastAsia" w:hAnsiTheme="minorEastAsia" w:eastAsiaTheme="minorEastAsia"/>
                <w:bCs/>
                <w:color w:val="000000"/>
                <w:sz w:val="24"/>
              </w:rPr>
              <w:t>≤</w:t>
            </w:r>
            <w:r>
              <w:rPr>
                <w:rFonts w:asciiTheme="minorEastAsia" w:hAnsiTheme="minorEastAsia" w:eastAsiaTheme="minorEastAsia"/>
                <w:bCs/>
                <w:color w:val="000000"/>
                <w:sz w:val="24"/>
              </w:rPr>
              <w:t>0.10</w:t>
            </w:r>
            <w:r>
              <w:rPr>
                <w:rFonts w:hint="eastAsia" w:asciiTheme="minorEastAsia" w:hAnsiTheme="minorEastAsia" w:eastAsiaTheme="minorEastAsia"/>
                <w:bCs/>
                <w:color w:val="000000"/>
                <w:sz w:val="24"/>
              </w:rPr>
              <w:t>ｐｓ／√ｋｍ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拉伸</w:t>
            </w:r>
          </w:p>
        </w:tc>
        <w:tc>
          <w:tcPr>
            <w:tcW w:w="4405" w:type="dxa"/>
          </w:tcPr>
          <w:p>
            <w:pPr>
              <w:spacing w:line="44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短期</w:t>
            </w:r>
            <w:r>
              <w:rPr>
                <w:rFonts w:cs="宋体" w:asciiTheme="minorEastAsia" w:hAnsiTheme="minorEastAsia" w:eastAsiaTheme="minorEastAsia"/>
                <w:bCs/>
                <w:kern w:val="0"/>
                <w:sz w:val="24"/>
              </w:rPr>
              <w:t xml:space="preserve">1500N </w:t>
            </w:r>
            <w:r>
              <w:rPr>
                <w:rFonts w:hint="eastAsia" w:cs="宋体" w:asciiTheme="minorEastAsia" w:hAnsiTheme="minorEastAsia" w:eastAsiaTheme="minorEastAsia"/>
                <w:bCs/>
                <w:kern w:val="0"/>
                <w:sz w:val="24"/>
              </w:rPr>
              <w:t>长期</w:t>
            </w:r>
            <w:r>
              <w:rPr>
                <w:rFonts w:cs="宋体" w:asciiTheme="minorEastAsia" w:hAnsiTheme="minorEastAsia" w:eastAsiaTheme="minorEastAsia"/>
                <w:bCs/>
                <w:kern w:val="0"/>
                <w:sz w:val="24"/>
              </w:rPr>
              <w:t>600N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压扁</w:t>
            </w:r>
            <w:r>
              <w:rPr>
                <w:rFonts w:cs="宋体" w:asciiTheme="minorEastAsia" w:hAnsiTheme="minorEastAsia" w:eastAsiaTheme="minorEastAsia"/>
                <w:bCs/>
                <w:kern w:val="0"/>
                <w:sz w:val="24"/>
              </w:rPr>
              <w:t>N/100mm</w:t>
            </w:r>
          </w:p>
        </w:tc>
        <w:tc>
          <w:tcPr>
            <w:tcW w:w="4405" w:type="dxa"/>
          </w:tcPr>
          <w:p>
            <w:pPr>
              <w:spacing w:line="440" w:lineRule="exact"/>
              <w:rPr>
                <w:rFonts w:cs="宋体" w:asciiTheme="minorEastAsia" w:hAnsiTheme="minorEastAsia" w:eastAsiaTheme="minorEastAsia"/>
                <w:bCs/>
                <w:kern w:val="0"/>
                <w:sz w:val="24"/>
              </w:rPr>
            </w:pPr>
            <w:r>
              <w:rPr>
                <w:rFonts w:hint="eastAsia" w:cs="宋体" w:asciiTheme="minorEastAsia" w:hAnsiTheme="minorEastAsia" w:eastAsiaTheme="minorEastAsia"/>
                <w:bCs/>
                <w:kern w:val="0"/>
                <w:sz w:val="24"/>
              </w:rPr>
              <w:t>短期</w:t>
            </w:r>
            <w:r>
              <w:rPr>
                <w:rFonts w:cs="宋体" w:asciiTheme="minorEastAsia" w:hAnsiTheme="minorEastAsia" w:eastAsiaTheme="minorEastAsia"/>
                <w:bCs/>
                <w:kern w:val="0"/>
                <w:sz w:val="24"/>
              </w:rPr>
              <w:t xml:space="preserve">1000N </w:t>
            </w:r>
            <w:r>
              <w:rPr>
                <w:rFonts w:hint="eastAsia" w:cs="宋体" w:asciiTheme="minorEastAsia" w:hAnsiTheme="minorEastAsia" w:eastAsiaTheme="minorEastAsia"/>
                <w:bCs/>
                <w:kern w:val="0"/>
                <w:sz w:val="24"/>
              </w:rPr>
              <w:t>长期</w:t>
            </w:r>
            <w:r>
              <w:rPr>
                <w:rFonts w:cs="宋体" w:asciiTheme="minorEastAsia" w:hAnsiTheme="minorEastAsia" w:eastAsiaTheme="minorEastAsia"/>
                <w:bCs/>
                <w:kern w:val="0"/>
                <w:sz w:val="24"/>
              </w:rPr>
              <w:t xml:space="preserve">300N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使用温度</w:t>
            </w:r>
          </w:p>
        </w:tc>
        <w:tc>
          <w:tcPr>
            <w:tcW w:w="4405" w:type="dxa"/>
          </w:tcPr>
          <w:p>
            <w:pPr>
              <w:spacing w:line="440" w:lineRule="exact"/>
              <w:rPr>
                <w:rFonts w:cs="宋体" w:asciiTheme="minorEastAsia" w:hAnsiTheme="minorEastAsia" w:eastAsiaTheme="minorEastAsia"/>
                <w:kern w:val="0"/>
                <w:sz w:val="24"/>
              </w:rPr>
            </w:pPr>
            <w:r>
              <w:rPr>
                <w:rFonts w:cs="宋体" w:asciiTheme="minorEastAsia" w:hAnsiTheme="minorEastAsia" w:eastAsiaTheme="minorEastAsia"/>
                <w:kern w:val="0"/>
                <w:sz w:val="24"/>
              </w:rPr>
              <w:t>-40</w:t>
            </w:r>
            <w:r>
              <w:rPr>
                <w:rFonts w:hint="eastAsia" w:cs="宋体" w:asciiTheme="minorEastAsia" w:hAnsiTheme="minorEastAsia" w:eastAsiaTheme="minorEastAsia"/>
                <w:kern w:val="0"/>
                <w:sz w:val="24"/>
              </w:rPr>
              <w:t>℃</w:t>
            </w:r>
            <w:r>
              <w:rPr>
                <w:rFonts w:cs="宋体" w:asciiTheme="minorEastAsia" w:hAnsiTheme="minorEastAsia" w:eastAsiaTheme="minorEastAsia"/>
                <w:kern w:val="0"/>
                <w:sz w:val="24"/>
              </w:rPr>
              <w:t>--60</w:t>
            </w:r>
            <w:r>
              <w:rPr>
                <w:rFonts w:hint="eastAsia" w:cs="宋体" w:asciiTheme="minorEastAsia" w:hAnsiTheme="minorEastAsia" w:eastAsiaTheme="minorEastAsia"/>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弯曲半径（静态）</w:t>
            </w:r>
          </w:p>
        </w:tc>
        <w:tc>
          <w:tcPr>
            <w:tcW w:w="4405" w:type="dxa"/>
          </w:tcPr>
          <w:p>
            <w:pPr>
              <w:spacing w:line="440" w:lineRule="exact"/>
              <w:rPr>
                <w:rFonts w:cs="宋体" w:asciiTheme="minorEastAsia" w:hAnsiTheme="minorEastAsia" w:eastAsiaTheme="minorEastAsia"/>
                <w:kern w:val="0"/>
                <w:sz w:val="24"/>
              </w:rPr>
            </w:pPr>
            <w:r>
              <w:rPr>
                <w:rFonts w:cs="宋体" w:asciiTheme="minorEastAsia" w:hAnsiTheme="minorEastAsia" w:eastAsiaTheme="minorEastAsia"/>
                <w:kern w:val="0"/>
                <w:sz w:val="24"/>
              </w:rPr>
              <w:t>10D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4086" w:type="dxa"/>
          </w:tcPr>
          <w:p>
            <w:pPr>
              <w:spacing w:line="44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弯曲半径（动态）</w:t>
            </w:r>
          </w:p>
        </w:tc>
        <w:tc>
          <w:tcPr>
            <w:tcW w:w="4405" w:type="dxa"/>
          </w:tcPr>
          <w:p>
            <w:pPr>
              <w:spacing w:line="440" w:lineRule="exact"/>
              <w:rPr>
                <w:rFonts w:cs="宋体" w:asciiTheme="minorEastAsia" w:hAnsiTheme="minorEastAsia" w:eastAsiaTheme="minorEastAsia"/>
                <w:kern w:val="0"/>
                <w:sz w:val="24"/>
              </w:rPr>
            </w:pPr>
            <w:r>
              <w:rPr>
                <w:rFonts w:cs="宋体" w:asciiTheme="minorEastAsia" w:hAnsiTheme="minorEastAsia" w:eastAsiaTheme="minorEastAsia"/>
                <w:kern w:val="0"/>
                <w:sz w:val="24"/>
              </w:rPr>
              <w:t>20D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4086" w:type="dxa"/>
          </w:tcPr>
          <w:p>
            <w:pPr>
              <w:spacing w:line="440" w:lineRule="exac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耐压</w:t>
            </w:r>
          </w:p>
        </w:tc>
        <w:tc>
          <w:tcPr>
            <w:tcW w:w="4405" w:type="dxa"/>
          </w:tcPr>
          <w:p>
            <w:pPr>
              <w:spacing w:line="440" w:lineRule="exact"/>
              <w:rPr>
                <w:rFonts w:cs="宋体" w:asciiTheme="minorEastAsia" w:hAnsiTheme="minorEastAsia" w:eastAsiaTheme="minorEastAsia"/>
                <w:color w:val="FF0000"/>
                <w:kern w:val="0"/>
                <w:sz w:val="24"/>
              </w:rPr>
            </w:pPr>
            <w:r>
              <w:rPr>
                <w:rFonts w:hint="eastAsia" w:cs="宋体" w:asciiTheme="minorEastAsia" w:hAnsiTheme="minorEastAsia" w:eastAsiaTheme="minorEastAsia"/>
                <w:color w:val="000000" w:themeColor="text1"/>
                <w:kern w:val="0"/>
                <w:sz w:val="24"/>
                <w14:textFill>
                  <w14:solidFill>
                    <w14:schemeClr w14:val="tx1"/>
                  </w14:solidFill>
                </w14:textFill>
              </w:rPr>
              <w:t>直流</w:t>
            </w:r>
            <w:r>
              <w:rPr>
                <w:rFonts w:cs="宋体" w:asciiTheme="minorEastAsia" w:hAnsiTheme="minorEastAsia" w:eastAsiaTheme="minorEastAsia"/>
                <w:color w:val="000000" w:themeColor="text1"/>
                <w:kern w:val="0"/>
                <w:sz w:val="24"/>
                <w14:textFill>
                  <w14:solidFill>
                    <w14:schemeClr w14:val="tx1"/>
                  </w14:solidFill>
                </w14:textFill>
              </w:rPr>
              <w:t xml:space="preserve">15KV </w:t>
            </w:r>
          </w:p>
        </w:tc>
      </w:tr>
    </w:tbl>
    <w:p>
      <w:pPr>
        <w:spacing w:line="440" w:lineRule="exact"/>
        <w:ind w:firstLine="480" w:firstLineChars="200"/>
        <w:rPr>
          <w:rFonts w:cs="宋体" w:asciiTheme="minorEastAsia" w:hAnsiTheme="minorEastAsia" w:eastAsiaTheme="minorEastAsia"/>
          <w:kern w:val="0"/>
          <w:sz w:val="24"/>
        </w:rPr>
      </w:pPr>
    </w:p>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4</w:t>
      </w:r>
      <w:r>
        <w:rPr>
          <w:rFonts w:hint="eastAsia" w:cs="宋体" w:asciiTheme="minorEastAsia" w:hAnsiTheme="minorEastAsia" w:eastAsiaTheme="minorEastAsia"/>
          <w:bCs/>
          <w:kern w:val="0"/>
          <w:sz w:val="24"/>
        </w:rPr>
        <w:t xml:space="preserve">、执行标准: </w:t>
      </w:r>
      <w:r>
        <w:rPr>
          <w:rFonts w:cs="宋体" w:asciiTheme="minorEastAsia" w:hAnsiTheme="minorEastAsia" w:eastAsiaTheme="minorEastAsia"/>
          <w:bCs/>
          <w:kern w:val="0"/>
          <w:sz w:val="24"/>
        </w:rPr>
        <w:t>GY/T130-2010</w:t>
      </w:r>
      <w:r>
        <w:rPr>
          <w:rFonts w:hint="eastAsia" w:cs="宋体" w:asciiTheme="minorEastAsia" w:hAnsiTheme="minorEastAsia" w:eastAsiaTheme="minorEastAsia"/>
          <w:bCs/>
          <w:kern w:val="0"/>
          <w:sz w:val="24"/>
        </w:rPr>
        <w:t>《有线电视系统用室外光缆技术要求和测量方法》。</w:t>
      </w:r>
      <w:r>
        <w:rPr>
          <w:rFonts w:cs="宋体" w:asciiTheme="minorEastAsia" w:hAnsiTheme="minorEastAsia" w:eastAsiaTheme="minorEastAsia"/>
          <w:bCs/>
          <w:kern w:val="0"/>
          <w:sz w:val="24"/>
        </w:rPr>
        <w:br w:type="textWrapping"/>
      </w:r>
    </w:p>
    <w:p>
      <w:pPr>
        <w:spacing w:line="440" w:lineRule="exact"/>
        <w:rPr>
          <w:rFonts w:cs="宋体" w:asciiTheme="minorEastAsia" w:hAnsiTheme="minorEastAsia" w:eastAsiaTheme="minorEastAsia"/>
          <w:bCs/>
          <w:kern w:val="0"/>
          <w:sz w:val="24"/>
        </w:rPr>
      </w:pPr>
      <w:r>
        <w:rPr>
          <w:rFonts w:cs="宋体" w:asciiTheme="minorEastAsia" w:hAnsiTheme="minorEastAsia" w:eastAsiaTheme="minorEastAsia"/>
          <w:bCs/>
          <w:kern w:val="0"/>
          <w:sz w:val="24"/>
        </w:rPr>
        <w:t>5</w:t>
      </w:r>
      <w:r>
        <w:rPr>
          <w:rFonts w:hint="eastAsia" w:cs="宋体" w:asciiTheme="minorEastAsia" w:hAnsiTheme="minorEastAsia" w:eastAsiaTheme="minorEastAsia"/>
          <w:bCs/>
          <w:kern w:val="0"/>
          <w:sz w:val="24"/>
        </w:rPr>
        <w:t>、结构原理图</w:t>
      </w:r>
      <w:r>
        <w:rPr>
          <w:rFonts w:cs="宋体" w:asciiTheme="minorEastAsia" w:hAnsiTheme="minorEastAsia" w:eastAsiaTheme="minorEastAsia"/>
          <w:bCs/>
          <w:kern w:val="0"/>
          <w:sz w:val="24"/>
        </w:rPr>
        <w:t>:</w:t>
      </w:r>
    </w:p>
    <w:p>
      <w:pPr>
        <w:jc w:val="center"/>
        <w:rPr>
          <w:rFonts w:asciiTheme="minorEastAsia" w:hAnsiTheme="minorEastAsia" w:eastAsiaTheme="minorEastAsia"/>
          <w:bCs/>
          <w:sz w:val="24"/>
          <w:u w:val="single"/>
        </w:rPr>
      </w:pPr>
      <w:r>
        <w:rPr>
          <w:rFonts w:asciiTheme="minorEastAsia" w:hAnsiTheme="minorEastAsia" w:eastAsiaTheme="minorEastAsia"/>
          <w:bCs/>
          <w:sz w:val="24"/>
        </w:rPr>
        <w:drawing>
          <wp:inline distT="0" distB="0" distL="0" distR="0">
            <wp:extent cx="4190365" cy="3450590"/>
            <wp:effectExtent l="0" t="0" r="635" b="16510"/>
            <wp:docPr id="166"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32"/>
                    <pic:cNvPicPr>
                      <a:picLocks noChangeAspect="1" noChangeArrowheads="1"/>
                    </pic:cNvPicPr>
                  </pic:nvPicPr>
                  <pic:blipFill>
                    <a:blip r:embed="rId10" cstate="print"/>
                    <a:srcRect/>
                    <a:stretch>
                      <a:fillRect/>
                    </a:stretch>
                  </pic:blipFill>
                  <pic:spPr>
                    <a:xfrm>
                      <a:off x="0" y="0"/>
                      <a:ext cx="4196263" cy="3455122"/>
                    </a:xfrm>
                    <a:prstGeom prst="rect">
                      <a:avLst/>
                    </a:prstGeom>
                    <a:noFill/>
                    <a:ln w="9525">
                      <a:noFill/>
                      <a:miter lim="800000"/>
                      <a:headEnd/>
                      <a:tailEnd/>
                    </a:ln>
                  </pic:spPr>
                </pic:pic>
              </a:graphicData>
            </a:graphic>
          </wp:inline>
        </w:drawing>
      </w:r>
    </w:p>
    <w:p>
      <w:pPr>
        <w:ind w:firstLine="480" w:firstLineChars="200"/>
        <w:rPr>
          <w:rFonts w:asciiTheme="minorEastAsia" w:hAnsiTheme="minorEastAsia" w:eastAsiaTheme="minorEastAsia"/>
          <w:bCs/>
          <w:sz w:val="24"/>
          <w:u w:val="single"/>
        </w:rPr>
      </w:pPr>
    </w:p>
    <w:p>
      <w:pPr>
        <w:ind w:firstLine="480" w:firstLineChars="200"/>
        <w:rPr>
          <w:rFonts w:asciiTheme="minorEastAsia" w:hAnsiTheme="minorEastAsia" w:eastAsiaTheme="minorEastAsia"/>
          <w:bCs/>
          <w:sz w:val="24"/>
        </w:rPr>
      </w:pPr>
      <w:r>
        <w:rPr>
          <w:rFonts w:asciiTheme="minorEastAsia" w:hAnsiTheme="minorEastAsia" w:eastAsiaTheme="minorEastAsia"/>
          <w:bCs/>
          <w:sz w:val="24"/>
        </w:rPr>
        <w:t>6</w:t>
      </w:r>
      <w:r>
        <w:rPr>
          <w:rFonts w:hint="eastAsia" w:asciiTheme="minorEastAsia" w:hAnsiTheme="minorEastAsia" w:eastAsiaTheme="minorEastAsia"/>
          <w:bCs/>
          <w:sz w:val="24"/>
        </w:rPr>
        <w:t>、产品外观照片</w:t>
      </w:r>
    </w:p>
    <w:p>
      <w:pPr>
        <w:ind w:firstLine="480" w:firstLineChars="200"/>
        <w:rPr>
          <w:rFonts w:asciiTheme="minorEastAsia" w:hAnsiTheme="minorEastAsia" w:eastAsiaTheme="minorEastAsia"/>
          <w:bCs/>
          <w:sz w:val="24"/>
          <w:u w:val="single"/>
        </w:rPr>
      </w:pPr>
    </w:p>
    <w:p>
      <w:pPr>
        <w:jc w:val="center"/>
        <w:rPr>
          <w:rFonts w:asciiTheme="minorEastAsia" w:hAnsiTheme="minorEastAsia" w:eastAsiaTheme="minorEastAsia"/>
          <w:bCs/>
          <w:sz w:val="24"/>
          <w:u w:val="single"/>
        </w:rPr>
      </w:pPr>
      <w:r>
        <w:rPr>
          <w:rFonts w:asciiTheme="minorEastAsia" w:hAnsiTheme="minorEastAsia" w:eastAsiaTheme="minorEastAsia"/>
          <w:sz w:val="24"/>
        </w:rPr>
        <w:drawing>
          <wp:inline distT="0" distB="0" distL="0" distR="0">
            <wp:extent cx="4279265" cy="3550920"/>
            <wp:effectExtent l="0" t="0" r="6985" b="11430"/>
            <wp:docPr id="167" name="图片 533" descr="GY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33" descr="GYXTW"/>
                    <pic:cNvPicPr>
                      <a:picLocks noChangeAspect="1" noChangeArrowheads="1"/>
                    </pic:cNvPicPr>
                  </pic:nvPicPr>
                  <pic:blipFill>
                    <a:blip r:embed="rId11" cstate="print"/>
                    <a:srcRect/>
                    <a:stretch>
                      <a:fillRect/>
                    </a:stretch>
                  </pic:blipFill>
                  <pic:spPr>
                    <a:xfrm>
                      <a:off x="0" y="0"/>
                      <a:ext cx="4289320" cy="3558922"/>
                    </a:xfrm>
                    <a:prstGeom prst="rect">
                      <a:avLst/>
                    </a:prstGeom>
                    <a:noFill/>
                    <a:ln w="9525">
                      <a:noFill/>
                      <a:miter lim="800000"/>
                      <a:headEnd/>
                      <a:tailEnd/>
                    </a:ln>
                  </pic:spPr>
                </pic:pic>
              </a:graphicData>
            </a:graphic>
          </wp:inline>
        </w:drawing>
      </w:r>
    </w:p>
    <w:p>
      <w:pPr>
        <w:rPr>
          <w:rFonts w:asciiTheme="minorEastAsia" w:hAnsiTheme="minorEastAsia" w:eastAsiaTheme="minorEastAsia"/>
          <w:sz w:val="24"/>
        </w:rPr>
      </w:pPr>
    </w:p>
    <w:p>
      <w:pPr>
        <w:widowControl/>
        <w:spacing w:line="480" w:lineRule="auto"/>
        <w:ind w:firstLine="482" w:firstLineChars="200"/>
        <w:jc w:val="left"/>
        <w:rPr>
          <w:rFonts w:ascii="宋体" w:hAnsi="宋体"/>
          <w:b/>
          <w:bCs/>
          <w:sz w:val="24"/>
          <w:szCs w:val="24"/>
        </w:rPr>
      </w:pPr>
    </w:p>
    <w:p>
      <w:pPr>
        <w:pStyle w:val="3"/>
        <w:rPr>
          <w:rFonts w:asciiTheme="minorEastAsia" w:hAnsiTheme="minorEastAsia" w:eastAsiaTheme="minorEastAsia"/>
          <w:b w:val="0"/>
          <w:bCs/>
          <w:sz w:val="24"/>
          <w:szCs w:val="18"/>
        </w:rPr>
      </w:pPr>
      <w:bookmarkStart w:id="2" w:name="_Toc518980377"/>
      <w:r>
        <w:rPr>
          <w:rFonts w:hint="eastAsia" w:asciiTheme="minorEastAsia" w:hAnsiTheme="minorEastAsia" w:eastAsiaTheme="minorEastAsia"/>
          <w:b w:val="0"/>
          <w:bCs/>
          <w:sz w:val="24"/>
          <w:szCs w:val="18"/>
        </w:rPr>
        <w:t>（4）光缆所用主要原材料的技术标准</w:t>
      </w:r>
      <w:bookmarkEnd w:id="2"/>
    </w:p>
    <w:p>
      <w:pPr>
        <w:rPr>
          <w:rFonts w:asciiTheme="minorEastAsia" w:hAnsiTheme="minorEastAsia" w:eastAsiaTheme="minorEastAsia"/>
          <w:sz w:val="24"/>
        </w:rPr>
      </w:pPr>
    </w:p>
    <w:tbl>
      <w:tblPr>
        <w:tblStyle w:val="9"/>
        <w:tblW w:w="9045" w:type="dxa"/>
        <w:jc w:val="center"/>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1331"/>
        <w:gridCol w:w="3964"/>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6" w:hRule="atLeast"/>
          <w:jc w:val="center"/>
        </w:trPr>
        <w:tc>
          <w:tcPr>
            <w:tcW w:w="2208" w:type="dxa"/>
            <w:vAlign w:val="center"/>
          </w:tcPr>
          <w:p>
            <w:pPr>
              <w:spacing w:line="440" w:lineRule="exact"/>
              <w:jc w:val="center"/>
              <w:rPr>
                <w:rFonts w:asciiTheme="minorEastAsia" w:hAnsiTheme="minorEastAsia" w:eastAsiaTheme="minorEastAsia"/>
                <w:b/>
                <w:sz w:val="24"/>
              </w:rPr>
            </w:pPr>
            <w:r>
              <w:rPr>
                <w:rFonts w:hint="eastAsia" w:asciiTheme="minorEastAsia" w:hAnsiTheme="minorEastAsia" w:eastAsiaTheme="minorEastAsia"/>
                <w:b/>
                <w:sz w:val="24"/>
              </w:rPr>
              <w:t>材料名称</w:t>
            </w:r>
          </w:p>
        </w:tc>
        <w:tc>
          <w:tcPr>
            <w:tcW w:w="1331" w:type="dxa"/>
            <w:vAlign w:val="center"/>
          </w:tcPr>
          <w:p>
            <w:pPr>
              <w:spacing w:line="440" w:lineRule="exact"/>
              <w:jc w:val="center"/>
              <w:rPr>
                <w:rFonts w:asciiTheme="minorEastAsia" w:hAnsiTheme="minorEastAsia" w:eastAsiaTheme="minorEastAsia"/>
                <w:b/>
                <w:sz w:val="24"/>
              </w:rPr>
            </w:pPr>
            <w:r>
              <w:rPr>
                <w:rFonts w:hint="eastAsia" w:asciiTheme="minorEastAsia" w:hAnsiTheme="minorEastAsia" w:eastAsiaTheme="minorEastAsia"/>
                <w:b/>
                <w:sz w:val="24"/>
              </w:rPr>
              <w:t>品牌</w:t>
            </w:r>
          </w:p>
        </w:tc>
        <w:tc>
          <w:tcPr>
            <w:tcW w:w="3964" w:type="dxa"/>
            <w:vAlign w:val="center"/>
          </w:tcPr>
          <w:p>
            <w:pPr>
              <w:spacing w:line="440" w:lineRule="exact"/>
              <w:jc w:val="center"/>
              <w:rPr>
                <w:rFonts w:asciiTheme="minorEastAsia" w:hAnsiTheme="minorEastAsia" w:eastAsiaTheme="minorEastAsia"/>
                <w:b/>
                <w:sz w:val="24"/>
              </w:rPr>
            </w:pPr>
            <w:r>
              <w:rPr>
                <w:rFonts w:hint="eastAsia" w:asciiTheme="minorEastAsia" w:hAnsiTheme="minorEastAsia" w:eastAsiaTheme="minorEastAsia"/>
                <w:b/>
                <w:sz w:val="24"/>
              </w:rPr>
              <w:t>生产厂家</w:t>
            </w:r>
          </w:p>
        </w:tc>
        <w:tc>
          <w:tcPr>
            <w:tcW w:w="1542" w:type="dxa"/>
            <w:vAlign w:val="center"/>
          </w:tcPr>
          <w:p>
            <w:pPr>
              <w:spacing w:line="440" w:lineRule="exact"/>
              <w:jc w:val="center"/>
              <w:rPr>
                <w:rFonts w:asciiTheme="minorEastAsia" w:hAnsiTheme="minorEastAsia" w:eastAsiaTheme="minorEastAsia"/>
                <w:b/>
                <w:sz w:val="24"/>
              </w:rPr>
            </w:pPr>
            <w:r>
              <w:rPr>
                <w:rFonts w:hint="eastAsia" w:asciiTheme="minorEastAsia" w:hAnsiTheme="minorEastAsia" w:eastAsiaTheme="minorEastAsia"/>
                <w:b/>
                <w:sz w:val="24"/>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2208"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纤芯</w:t>
            </w:r>
          </w:p>
        </w:tc>
        <w:tc>
          <w:tcPr>
            <w:tcW w:w="1331"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长飞</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SID</w:t>
            </w:r>
          </w:p>
        </w:tc>
        <w:tc>
          <w:tcPr>
            <w:tcW w:w="3964"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长飞光纤光缆股份有限公司</w:t>
            </w:r>
          </w:p>
          <w:p>
            <w:pPr>
              <w:spacing w:line="400" w:lineRule="exact"/>
              <w:jc w:val="center"/>
              <w:rPr>
                <w:rFonts w:cs="宋体" w:asciiTheme="minorEastAsia" w:hAnsiTheme="minorEastAsia" w:eastAsiaTheme="minorEastAsia"/>
                <w:sz w:val="24"/>
              </w:rPr>
            </w:pPr>
            <w:r>
              <w:rPr>
                <w:rFonts w:hint="eastAsia" w:cs="宋体" w:asciiTheme="minorEastAsia" w:hAnsiTheme="minorEastAsia" w:eastAsiaTheme="minorEastAsia"/>
                <w:sz w:val="24"/>
              </w:rPr>
              <w:t>SID Trading</w:t>
            </w:r>
          </w:p>
        </w:tc>
        <w:tc>
          <w:tcPr>
            <w:tcW w:w="1542"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中国·武汉</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韩国.釜山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jc w:val="center"/>
        </w:trPr>
        <w:tc>
          <w:tcPr>
            <w:tcW w:w="2208"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加强构件</w:t>
            </w:r>
          </w:p>
        </w:tc>
        <w:tc>
          <w:tcPr>
            <w:tcW w:w="1331"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智达</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弘扬</w:t>
            </w:r>
          </w:p>
        </w:tc>
        <w:tc>
          <w:tcPr>
            <w:tcW w:w="3964"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南通智达光缆材料有限公司</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江苏弘扬科技有限公司</w:t>
            </w:r>
          </w:p>
        </w:tc>
        <w:tc>
          <w:tcPr>
            <w:tcW w:w="1542"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中国.江苏</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中国.江苏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2208"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外护套</w:t>
            </w:r>
          </w:p>
        </w:tc>
        <w:tc>
          <w:tcPr>
            <w:tcW w:w="1331"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万马</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北欧</w:t>
            </w:r>
          </w:p>
        </w:tc>
        <w:tc>
          <w:tcPr>
            <w:tcW w:w="3964"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北欧化工</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浙江万马高分子材料有限公司</w:t>
            </w:r>
          </w:p>
        </w:tc>
        <w:tc>
          <w:tcPr>
            <w:tcW w:w="1542"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奥地利</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中国·浙江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2208"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松套管</w:t>
            </w:r>
          </w:p>
        </w:tc>
        <w:tc>
          <w:tcPr>
            <w:tcW w:w="1331"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中正</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东奇通</w:t>
            </w:r>
          </w:p>
        </w:tc>
        <w:tc>
          <w:tcPr>
            <w:tcW w:w="3964" w:type="dxa"/>
            <w:vAlign w:val="center"/>
          </w:tcPr>
          <w:p>
            <w:pPr>
              <w:spacing w:line="400" w:lineRule="exact"/>
              <w:ind w:left="-107" w:leftChars="-51" w:right="-50" w:rightChars="-24"/>
              <w:jc w:val="center"/>
              <w:rPr>
                <w:rFonts w:asciiTheme="minorEastAsia" w:hAnsiTheme="minorEastAsia" w:eastAsiaTheme="minorEastAsia"/>
                <w:sz w:val="24"/>
              </w:rPr>
            </w:pPr>
            <w:r>
              <w:rPr>
                <w:rFonts w:hint="eastAsia" w:asciiTheme="minorEastAsia" w:hAnsiTheme="minorEastAsia" w:eastAsiaTheme="minorEastAsia"/>
                <w:sz w:val="24"/>
              </w:rPr>
              <w:t>扬州市新城中正塑化有限责任公司</w:t>
            </w:r>
          </w:p>
          <w:p>
            <w:pPr>
              <w:spacing w:line="400" w:lineRule="exact"/>
              <w:ind w:left="-107" w:leftChars="-51" w:right="-50" w:rightChars="-24"/>
              <w:jc w:val="center"/>
              <w:rPr>
                <w:rFonts w:asciiTheme="minorEastAsia" w:hAnsiTheme="minorEastAsia" w:eastAsiaTheme="minorEastAsia"/>
                <w:sz w:val="24"/>
              </w:rPr>
            </w:pPr>
            <w:r>
              <w:rPr>
                <w:rFonts w:hint="eastAsia" w:asciiTheme="minorEastAsia" w:hAnsiTheme="minorEastAsia" w:eastAsiaTheme="minorEastAsia"/>
                <w:sz w:val="24"/>
              </w:rPr>
              <w:t>武汉东奇通光电技术有限公司</w:t>
            </w:r>
          </w:p>
        </w:tc>
        <w:tc>
          <w:tcPr>
            <w:tcW w:w="1542"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中国.江苏</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中国.武汉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jc w:val="center"/>
        </w:trPr>
        <w:tc>
          <w:tcPr>
            <w:tcW w:w="2208"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钢带</w:t>
            </w:r>
          </w:p>
        </w:tc>
        <w:tc>
          <w:tcPr>
            <w:tcW w:w="1331"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吴达</w:t>
            </w:r>
          </w:p>
        </w:tc>
        <w:tc>
          <w:tcPr>
            <w:tcW w:w="3964"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临安昊达通信材料有限公司</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无锡朗盛线缆材料有限公司</w:t>
            </w:r>
          </w:p>
        </w:tc>
        <w:tc>
          <w:tcPr>
            <w:tcW w:w="1542"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中国.杭州</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中国.江苏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2208"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铝带</w:t>
            </w:r>
          </w:p>
        </w:tc>
        <w:tc>
          <w:tcPr>
            <w:tcW w:w="1331"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吴达</w:t>
            </w:r>
          </w:p>
        </w:tc>
        <w:tc>
          <w:tcPr>
            <w:tcW w:w="3964"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临安昊达通信材料有限公司</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无锡朗盛线缆材料有限公司</w:t>
            </w:r>
          </w:p>
        </w:tc>
        <w:tc>
          <w:tcPr>
            <w:tcW w:w="1542"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中国.杭州</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中国.江苏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2208"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填充材料</w:t>
            </w:r>
          </w:p>
        </w:tc>
        <w:tc>
          <w:tcPr>
            <w:tcW w:w="1331"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伟业</w:t>
            </w:r>
          </w:p>
        </w:tc>
        <w:tc>
          <w:tcPr>
            <w:tcW w:w="3964"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杭州伟业通信有限公司</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镇江恒达包装股份有限公司</w:t>
            </w:r>
          </w:p>
        </w:tc>
        <w:tc>
          <w:tcPr>
            <w:tcW w:w="1542"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中国.杭州</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中国.江苏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jc w:val="center"/>
        </w:trPr>
        <w:tc>
          <w:tcPr>
            <w:tcW w:w="2208"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光缆阻水填充油膏</w:t>
            </w:r>
          </w:p>
        </w:tc>
        <w:tc>
          <w:tcPr>
            <w:tcW w:w="1331"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鸿辉</w:t>
            </w:r>
          </w:p>
        </w:tc>
        <w:tc>
          <w:tcPr>
            <w:tcW w:w="3964"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上海鸿辉光通科技股份有限公司</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苏州大源光通信材料有限公司</w:t>
            </w:r>
          </w:p>
        </w:tc>
        <w:tc>
          <w:tcPr>
            <w:tcW w:w="1542"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中国.上海</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中国.江苏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2208"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光纤油膏</w:t>
            </w:r>
          </w:p>
        </w:tc>
        <w:tc>
          <w:tcPr>
            <w:tcW w:w="1331"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鸿辉</w:t>
            </w:r>
          </w:p>
        </w:tc>
        <w:tc>
          <w:tcPr>
            <w:tcW w:w="3964"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上海鸿辉光通科技股份有限公司</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苏州大源光通信材料有限公司</w:t>
            </w:r>
          </w:p>
        </w:tc>
        <w:tc>
          <w:tcPr>
            <w:tcW w:w="1542" w:type="dxa"/>
            <w:vAlign w:val="center"/>
          </w:tcPr>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中国.上海</w:t>
            </w:r>
          </w:p>
          <w:p>
            <w:pPr>
              <w:spacing w:line="400" w:lineRule="exact"/>
              <w:jc w:val="center"/>
              <w:rPr>
                <w:rFonts w:asciiTheme="minorEastAsia" w:hAnsiTheme="minorEastAsia" w:eastAsiaTheme="minorEastAsia"/>
                <w:sz w:val="24"/>
              </w:rPr>
            </w:pPr>
            <w:r>
              <w:rPr>
                <w:rFonts w:hint="eastAsia" w:asciiTheme="minorEastAsia" w:hAnsiTheme="minorEastAsia" w:eastAsiaTheme="minorEastAsia"/>
                <w:sz w:val="24"/>
              </w:rPr>
              <w:t>中国.江苏</w:t>
            </w:r>
          </w:p>
        </w:tc>
      </w:tr>
    </w:tbl>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spacing w:line="400" w:lineRule="exact"/>
        <w:jc w:val="right"/>
        <w:rPr>
          <w:rFonts w:asciiTheme="minorEastAsia" w:hAnsiTheme="minorEastAsia" w:eastAsiaTheme="minorEastAsia"/>
          <w:sz w:val="24"/>
        </w:rPr>
      </w:pPr>
      <w:r>
        <w:rPr>
          <w:rFonts w:hint="eastAsia" w:asciiTheme="minorEastAsia" w:hAnsiTheme="minorEastAsia" w:eastAsiaTheme="minorEastAsia"/>
          <w:sz w:val="24"/>
        </w:rPr>
        <w:t>浙江汉信光电股份有限公司</w:t>
      </w:r>
    </w:p>
    <w:p>
      <w:pPr>
        <w:spacing w:line="400" w:lineRule="exact"/>
        <w:jc w:val="right"/>
        <w:rPr>
          <w:rFonts w:asciiTheme="minorEastAsia" w:hAnsiTheme="minorEastAsia" w:eastAsiaTheme="minorEastAsia"/>
          <w:sz w:val="24"/>
        </w:rPr>
      </w:pPr>
      <w:r>
        <w:rPr>
          <w:rFonts w:hint="eastAsia" w:asciiTheme="minorEastAsia" w:hAnsiTheme="minorEastAsia" w:eastAsiaTheme="minorEastAsia"/>
          <w:sz w:val="24"/>
        </w:rPr>
        <w:t>2018年08月05日</w:t>
      </w:r>
    </w:p>
    <w:p>
      <w:pPr>
        <w:jc w:val="left"/>
        <w:rPr>
          <w:rFonts w:asciiTheme="minorEastAsia" w:hAnsiTheme="minorEastAsia" w:eastAsiaTheme="minorEastAsia"/>
          <w:sz w:val="44"/>
          <w:szCs w:val="44"/>
        </w:rPr>
      </w:pPr>
    </w:p>
    <w:p>
      <w:pPr>
        <w:spacing w:line="600" w:lineRule="exact"/>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附件：</w:t>
      </w: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474335" cy="7671435"/>
            <wp:effectExtent l="38100" t="38100" r="50165" b="43815"/>
            <wp:docPr id="168" name="图片 168" descr="光纤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光纤7"/>
                    <pic:cNvPicPr>
                      <a:picLocks noChangeAspect="1" noChangeArrowheads="1"/>
                    </pic:cNvPicPr>
                  </pic:nvPicPr>
                  <pic:blipFill>
                    <a:blip r:embed="rId12" cstate="print"/>
                    <a:srcRect/>
                    <a:stretch>
                      <a:fillRect/>
                    </a:stretch>
                  </pic:blipFill>
                  <pic:spPr>
                    <a:xfrm>
                      <a:off x="0" y="0"/>
                      <a:ext cx="5474335" cy="7671435"/>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pPr>
      <w:r>
        <w:rPr>
          <w:rFonts w:hint="eastAsia" w:asciiTheme="minorEastAsia" w:hAnsiTheme="minorEastAsia" w:eastAsiaTheme="minorEastAsia"/>
          <w:sz w:val="44"/>
          <w:szCs w:val="44"/>
        </w:rPr>
        <w:drawing>
          <wp:inline distT="0" distB="0" distL="0" distR="0">
            <wp:extent cx="5593080" cy="7694930"/>
            <wp:effectExtent l="38100" t="38100" r="45720" b="39370"/>
            <wp:docPr id="169" name="图片 169" descr="光纤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光纤8"/>
                    <pic:cNvPicPr>
                      <a:picLocks noChangeAspect="1" noChangeArrowheads="1"/>
                    </pic:cNvPicPr>
                  </pic:nvPicPr>
                  <pic:blipFill>
                    <a:blip r:embed="rId13" cstate="print"/>
                    <a:srcRect/>
                    <a:stretch>
                      <a:fillRect/>
                    </a:stretch>
                  </pic:blipFill>
                  <pic:spPr>
                    <a:xfrm>
                      <a:off x="0" y="0"/>
                      <a:ext cx="5593080" cy="7694930"/>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b/>
          <w:sz w:val="44"/>
          <w:szCs w:val="44"/>
        </w:rPr>
      </w:pPr>
      <w:r>
        <w:rPr>
          <w:rFonts w:asciiTheme="minorEastAsia" w:hAnsiTheme="minorEastAsia" w:eastAsiaTheme="minorEastAsia"/>
          <w:b/>
          <w:sz w:val="44"/>
          <w:szCs w:val="44"/>
        </w:rPr>
        <w:drawing>
          <wp:inline distT="0" distB="0" distL="0" distR="0">
            <wp:extent cx="5498465" cy="7766685"/>
            <wp:effectExtent l="38100" t="38100" r="45085" b="43815"/>
            <wp:docPr id="170" name="图片 26" descr="img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6" descr="img356"/>
                    <pic:cNvPicPr>
                      <a:picLocks noChangeAspect="1" noChangeArrowheads="1"/>
                    </pic:cNvPicPr>
                  </pic:nvPicPr>
                  <pic:blipFill>
                    <a:blip r:embed="rId14" cstate="print"/>
                    <a:srcRect/>
                    <a:stretch>
                      <a:fillRect/>
                    </a:stretch>
                  </pic:blipFill>
                  <pic:spPr>
                    <a:xfrm>
                      <a:off x="0" y="0"/>
                      <a:ext cx="5498465" cy="7766685"/>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b/>
          <w:sz w:val="44"/>
          <w:szCs w:val="44"/>
        </w:rPr>
      </w:pPr>
    </w:p>
    <w:p>
      <w:pPr>
        <w:jc w:val="left"/>
        <w:rPr>
          <w:rFonts w:asciiTheme="minorEastAsia" w:hAnsiTheme="minorEastAsia" w:eastAsiaTheme="minorEastAsia"/>
          <w:b/>
          <w:sz w:val="44"/>
          <w:szCs w:val="44"/>
        </w:rPr>
      </w:pPr>
    </w:p>
    <w:p>
      <w:pPr>
        <w:jc w:val="left"/>
        <w:rPr>
          <w:rFonts w:asciiTheme="minorEastAsia" w:hAnsiTheme="minorEastAsia" w:eastAsiaTheme="minorEastAsia"/>
          <w:b/>
          <w:sz w:val="44"/>
          <w:szCs w:val="44"/>
        </w:rPr>
      </w:pPr>
      <w:r>
        <w:rPr>
          <w:rFonts w:asciiTheme="minorEastAsia" w:hAnsiTheme="minorEastAsia" w:eastAsiaTheme="minorEastAsia"/>
          <w:b/>
          <w:sz w:val="44"/>
          <w:szCs w:val="44"/>
        </w:rPr>
        <w:drawing>
          <wp:inline distT="0" distB="0" distL="0" distR="0">
            <wp:extent cx="5509895" cy="7754620"/>
            <wp:effectExtent l="38100" t="38100" r="52705" b="55880"/>
            <wp:docPr id="171" name="图片 25" descr="img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5" descr="img357"/>
                    <pic:cNvPicPr>
                      <a:picLocks noChangeAspect="1" noChangeArrowheads="1"/>
                    </pic:cNvPicPr>
                  </pic:nvPicPr>
                  <pic:blipFill>
                    <a:blip r:embed="rId15" cstate="print"/>
                    <a:srcRect/>
                    <a:stretch>
                      <a:fillRect/>
                    </a:stretch>
                  </pic:blipFill>
                  <pic:spPr>
                    <a:xfrm>
                      <a:off x="0" y="0"/>
                      <a:ext cx="5509895" cy="7754620"/>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b/>
          <w:sz w:val="44"/>
          <w:szCs w:val="44"/>
        </w:rPr>
      </w:pPr>
    </w:p>
    <w:p>
      <w:pPr>
        <w:jc w:val="left"/>
        <w:rPr>
          <w:rFonts w:asciiTheme="minorEastAsia" w:hAnsiTheme="minorEastAsia" w:eastAsiaTheme="minorEastAsia"/>
          <w:b/>
          <w:sz w:val="44"/>
          <w:szCs w:val="44"/>
        </w:rPr>
      </w:pPr>
      <w:r>
        <w:rPr>
          <w:rFonts w:asciiTheme="minorEastAsia" w:hAnsiTheme="minorEastAsia" w:eastAsiaTheme="minorEastAsia"/>
          <w:b/>
          <w:sz w:val="44"/>
          <w:szCs w:val="44"/>
        </w:rPr>
        <w:drawing>
          <wp:inline distT="0" distB="0" distL="0" distR="0">
            <wp:extent cx="5462905" cy="7683500"/>
            <wp:effectExtent l="38100" t="38100" r="42545" b="50800"/>
            <wp:docPr id="172" name="图片 24" descr="img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4" descr="img358"/>
                    <pic:cNvPicPr>
                      <a:picLocks noChangeAspect="1" noChangeArrowheads="1"/>
                    </pic:cNvPicPr>
                  </pic:nvPicPr>
                  <pic:blipFill>
                    <a:blip r:embed="rId16" cstate="print"/>
                    <a:srcRect/>
                    <a:stretch>
                      <a:fillRect/>
                    </a:stretch>
                  </pic:blipFill>
                  <pic:spPr>
                    <a:xfrm>
                      <a:off x="0" y="0"/>
                      <a:ext cx="5462905" cy="7683500"/>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569585" cy="7790180"/>
            <wp:effectExtent l="38100" t="38100" r="50165" b="39370"/>
            <wp:docPr id="173" name="图片 173" descr="钢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钢丝1"/>
                    <pic:cNvPicPr>
                      <a:picLocks noChangeAspect="1" noChangeArrowheads="1"/>
                    </pic:cNvPicPr>
                  </pic:nvPicPr>
                  <pic:blipFill>
                    <a:blip r:embed="rId17" cstate="print"/>
                    <a:srcRect/>
                    <a:stretch>
                      <a:fillRect/>
                    </a:stretch>
                  </pic:blipFill>
                  <pic:spPr>
                    <a:xfrm>
                      <a:off x="0" y="0"/>
                      <a:ext cx="5569585" cy="7790180"/>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521960" cy="7802245"/>
            <wp:effectExtent l="38100" t="38100" r="40640" b="46355"/>
            <wp:docPr id="174" name="图片 174" descr="im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img129"/>
                    <pic:cNvPicPr>
                      <a:picLocks noChangeAspect="1" noChangeArrowheads="1"/>
                    </pic:cNvPicPr>
                  </pic:nvPicPr>
                  <pic:blipFill>
                    <a:blip r:embed="rId18" cstate="print"/>
                    <a:srcRect/>
                    <a:stretch>
                      <a:fillRect/>
                    </a:stretch>
                  </pic:blipFill>
                  <pic:spPr>
                    <a:xfrm>
                      <a:off x="0" y="0"/>
                      <a:ext cx="5521960" cy="7802245"/>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450840" cy="7706995"/>
            <wp:effectExtent l="38100" t="38100" r="54610" b="46355"/>
            <wp:docPr id="175" name="图片 175" descr="护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护套2"/>
                    <pic:cNvPicPr>
                      <a:picLocks noChangeAspect="1" noChangeArrowheads="1"/>
                    </pic:cNvPicPr>
                  </pic:nvPicPr>
                  <pic:blipFill>
                    <a:blip r:embed="rId19" cstate="print"/>
                    <a:srcRect/>
                    <a:stretch>
                      <a:fillRect/>
                    </a:stretch>
                  </pic:blipFill>
                  <pic:spPr>
                    <a:xfrm>
                      <a:off x="0" y="0"/>
                      <a:ext cx="5450840" cy="7706995"/>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260975" cy="7790180"/>
            <wp:effectExtent l="38100" t="38100" r="53975" b="39370"/>
            <wp:docPr id="176" name="图片 176" descr="护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护套"/>
                    <pic:cNvPicPr>
                      <a:picLocks noChangeAspect="1" noChangeArrowheads="1"/>
                    </pic:cNvPicPr>
                  </pic:nvPicPr>
                  <pic:blipFill>
                    <a:blip r:embed="rId20" cstate="print"/>
                    <a:srcRect/>
                    <a:stretch>
                      <a:fillRect/>
                    </a:stretch>
                  </pic:blipFill>
                  <pic:spPr>
                    <a:xfrm>
                      <a:off x="0" y="0"/>
                      <a:ext cx="5260975" cy="7790180"/>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367655" cy="7719060"/>
            <wp:effectExtent l="38100" t="38100" r="42545" b="53340"/>
            <wp:docPr id="177" name="图片 177" descr="松套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松套管1"/>
                    <pic:cNvPicPr>
                      <a:picLocks noChangeAspect="1" noChangeArrowheads="1"/>
                    </pic:cNvPicPr>
                  </pic:nvPicPr>
                  <pic:blipFill>
                    <a:blip r:embed="rId21" cstate="print"/>
                    <a:srcRect/>
                    <a:stretch>
                      <a:fillRect/>
                    </a:stretch>
                  </pic:blipFill>
                  <pic:spPr>
                    <a:xfrm>
                      <a:off x="0" y="0"/>
                      <a:ext cx="5367655" cy="7719060"/>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426710" cy="7719060"/>
            <wp:effectExtent l="38100" t="38100" r="40640" b="53340"/>
            <wp:docPr id="178" name="图片 178" descr="松套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松套管"/>
                    <pic:cNvPicPr>
                      <a:picLocks noChangeAspect="1" noChangeArrowheads="1"/>
                    </pic:cNvPicPr>
                  </pic:nvPicPr>
                  <pic:blipFill>
                    <a:blip r:embed="rId22" cstate="print"/>
                    <a:srcRect/>
                    <a:stretch>
                      <a:fillRect/>
                    </a:stretch>
                  </pic:blipFill>
                  <pic:spPr>
                    <a:xfrm>
                      <a:off x="0" y="0"/>
                      <a:ext cx="5426710" cy="7719060"/>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438775" cy="7766685"/>
            <wp:effectExtent l="38100" t="38100" r="47625" b="43815"/>
            <wp:docPr id="179" name="图片 179" descr="钢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钢带1"/>
                    <pic:cNvPicPr>
                      <a:picLocks noChangeAspect="1" noChangeArrowheads="1"/>
                    </pic:cNvPicPr>
                  </pic:nvPicPr>
                  <pic:blipFill>
                    <a:blip r:embed="rId23" cstate="print"/>
                    <a:srcRect/>
                    <a:stretch>
                      <a:fillRect/>
                    </a:stretch>
                  </pic:blipFill>
                  <pic:spPr>
                    <a:xfrm>
                      <a:off x="0" y="0"/>
                      <a:ext cx="5438775" cy="7766685"/>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450840" cy="7694930"/>
            <wp:effectExtent l="38100" t="38100" r="54610" b="39370"/>
            <wp:docPr id="180" name="图片 180" descr="img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img052"/>
                    <pic:cNvPicPr>
                      <a:picLocks noChangeAspect="1" noChangeArrowheads="1"/>
                    </pic:cNvPicPr>
                  </pic:nvPicPr>
                  <pic:blipFill>
                    <a:blip r:embed="rId24" cstate="print"/>
                    <a:srcRect/>
                    <a:stretch>
                      <a:fillRect/>
                    </a:stretch>
                  </pic:blipFill>
                  <pic:spPr>
                    <a:xfrm>
                      <a:off x="0" y="0"/>
                      <a:ext cx="5450840" cy="7694930"/>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450840" cy="7647940"/>
            <wp:effectExtent l="38100" t="38100" r="54610" b="48260"/>
            <wp:docPr id="18" name="图片 18" descr="填充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填充料1"/>
                    <pic:cNvPicPr>
                      <a:picLocks noChangeAspect="1" noChangeArrowheads="1"/>
                    </pic:cNvPicPr>
                  </pic:nvPicPr>
                  <pic:blipFill>
                    <a:blip r:embed="rId25" cstate="print"/>
                    <a:srcRect/>
                    <a:stretch>
                      <a:fillRect/>
                    </a:stretch>
                  </pic:blipFill>
                  <pic:spPr>
                    <a:xfrm>
                      <a:off x="0" y="0"/>
                      <a:ext cx="5450840" cy="7647940"/>
                    </a:xfrm>
                    <a:prstGeom prst="rect">
                      <a:avLst/>
                    </a:prstGeom>
                    <a:noFill/>
                    <a:ln w="38100" cmpd="thinThick">
                      <a:solidFill>
                        <a:srgbClr val="000000"/>
                      </a:solidFill>
                      <a:miter lim="800000"/>
                      <a:headEnd/>
                      <a:tailEnd/>
                    </a:ln>
                    <a:effectLst/>
                  </pic:spPr>
                </pic:pic>
              </a:graphicData>
            </a:graphic>
          </wp:inline>
        </w:drawing>
      </w:r>
    </w:p>
    <w:p>
      <w:pPr>
        <w:jc w:val="left"/>
        <w:rPr>
          <w:rFonts w:asciiTheme="minorEastAsia" w:hAnsiTheme="minorEastAsia" w:eastAsiaTheme="minorEastAsia"/>
          <w:sz w:val="44"/>
          <w:szCs w:val="44"/>
        </w:rPr>
      </w:pPr>
    </w:p>
    <w:p>
      <w:pPr>
        <w:jc w:val="left"/>
        <w:rPr>
          <w:rFonts w:asciiTheme="minorEastAsia" w:hAnsiTheme="minorEastAsia" w:eastAsiaTheme="minorEastAsia"/>
          <w:sz w:val="44"/>
          <w:szCs w:val="44"/>
        </w:rPr>
      </w:pPr>
      <w:r>
        <w:rPr>
          <w:rFonts w:hint="eastAsia" w:asciiTheme="minorEastAsia" w:hAnsiTheme="minorEastAsia" w:eastAsiaTheme="minorEastAsia"/>
          <w:sz w:val="44"/>
          <w:szCs w:val="44"/>
        </w:rPr>
        <w:drawing>
          <wp:inline distT="0" distB="0" distL="0" distR="0">
            <wp:extent cx="5498465" cy="7719060"/>
            <wp:effectExtent l="38100" t="38100" r="45085" b="53340"/>
            <wp:docPr id="181" name="图片 181" descr="光纤填充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光纤填充膏9"/>
                    <pic:cNvPicPr>
                      <a:picLocks noChangeAspect="1" noChangeArrowheads="1"/>
                    </pic:cNvPicPr>
                  </pic:nvPicPr>
                  <pic:blipFill>
                    <a:blip r:embed="rId26" cstate="print"/>
                    <a:srcRect/>
                    <a:stretch>
                      <a:fillRect/>
                    </a:stretch>
                  </pic:blipFill>
                  <pic:spPr>
                    <a:xfrm>
                      <a:off x="0" y="0"/>
                      <a:ext cx="5498465" cy="7719060"/>
                    </a:xfrm>
                    <a:prstGeom prst="rect">
                      <a:avLst/>
                    </a:prstGeom>
                    <a:noFill/>
                    <a:ln w="38100" cmpd="thinThick">
                      <a:solidFill>
                        <a:srgbClr val="000000"/>
                      </a:solidFill>
                      <a:miter lim="800000"/>
                      <a:headEnd/>
                      <a:tailEnd/>
                    </a:ln>
                    <a:effectLst/>
                  </pic:spPr>
                </pic:pic>
              </a:graphicData>
            </a:graphic>
          </wp:inline>
        </w:drawing>
      </w:r>
    </w:p>
    <w:p>
      <w:pPr>
        <w:pStyle w:val="3"/>
        <w:rPr>
          <w:rFonts w:asciiTheme="minorEastAsia" w:hAnsiTheme="minorEastAsia" w:eastAsiaTheme="minorEastAsia"/>
        </w:rPr>
      </w:pPr>
      <w:bookmarkStart w:id="3" w:name="_Toc518980379"/>
      <w:r>
        <w:rPr>
          <w:rFonts w:hint="eastAsia" w:asciiTheme="minorEastAsia" w:hAnsiTheme="minorEastAsia" w:eastAsiaTheme="minorEastAsia"/>
          <w:b w:val="0"/>
          <w:bCs/>
          <w:sz w:val="24"/>
          <w:szCs w:val="18"/>
        </w:rPr>
        <w:t>（5）保证光缆寿命的有关技术措施</w:t>
      </w:r>
      <w:bookmarkEnd w:id="3"/>
    </w:p>
    <w:p>
      <w:pPr>
        <w:spacing w:line="390" w:lineRule="exact"/>
        <w:ind w:leftChars="-1" w:hanging="2"/>
        <w:rPr>
          <w:rFonts w:asciiTheme="minorEastAsia" w:hAnsiTheme="minorEastAsia" w:eastAsiaTheme="minorEastAsia"/>
          <w:b/>
          <w:szCs w:val="18"/>
        </w:rPr>
      </w:pPr>
      <w:r>
        <w:rPr>
          <w:rFonts w:hint="eastAsia" w:asciiTheme="minorEastAsia" w:hAnsiTheme="minorEastAsia" w:eastAsiaTheme="minorEastAsia"/>
          <w:b/>
          <w:szCs w:val="18"/>
        </w:rPr>
        <w:t>一、光纤寿命的计算公式</w:t>
      </w:r>
    </w:p>
    <w:p>
      <w:pPr>
        <w:spacing w:line="390" w:lineRule="exact"/>
        <w:ind w:left="-1" w:firstLine="420" w:firstLineChars="200"/>
        <w:rPr>
          <w:rFonts w:asciiTheme="minorEastAsia" w:hAnsiTheme="minorEastAsia" w:eastAsiaTheme="minorEastAsia"/>
          <w:szCs w:val="18"/>
        </w:rPr>
      </w:pPr>
      <w:r>
        <w:rPr>
          <w:rFonts w:hint="eastAsia" w:asciiTheme="minorEastAsia" w:hAnsiTheme="minorEastAsia" w:eastAsiaTheme="minorEastAsia"/>
          <w:szCs w:val="18"/>
        </w:rPr>
        <w:t>对光缆中光纤寿命计算，主要从光缆中光纤所受应变来推算，理论计算公式有多种（稍有差别），但其共同结果是：当光纤长期应变（长期工作时所受应变）小于光纤强度筛选应变的1／3 ～ 1／5时就可保证光纤寿命20～30年。我们的光缆设计（实测也说明），光缆中光纤在光缆长期受力（长期工作）时，其光纤应变接近于零，所以光纤寿命30年无问题。光缆寿命计算公式：</w:t>
      </w:r>
    </w:p>
    <w:p>
      <w:pPr>
        <w:spacing w:line="390" w:lineRule="exact"/>
        <w:ind w:leftChars="-1" w:hanging="2"/>
        <w:rPr>
          <w:rFonts w:asciiTheme="minorEastAsia" w:hAnsiTheme="minorEastAsia" w:eastAsiaTheme="minorEastAsia"/>
          <w:szCs w:val="18"/>
        </w:rPr>
      </w:pPr>
      <w:r>
        <w:rPr>
          <w:rFonts w:asciiTheme="minorEastAsia" w:hAnsiTheme="minorEastAsia" w:eastAsiaTheme="minorEastAsia"/>
          <w:szCs w:val="18"/>
        </w:rPr>
        <w:pict>
          <v:shape id="_x0000_s1057" o:spid="_x0000_s1057" o:spt="75" type="#_x0000_t75" style="position:absolute;left:0pt;margin-left:29.85pt;margin-top:4.95pt;height:48.75pt;width:339.25pt;mso-wrap-distance-bottom:0pt;mso-wrap-distance-top:0pt;z-index:251669504;mso-width-relative:page;mso-height-relative:page;" o:ole="t" filled="f" o:preferrelative="t" stroked="f" coordsize="21600,21600">
            <v:path/>
            <v:fill on="f" focussize="0,0"/>
            <v:stroke on="f" joinstyle="miter"/>
            <v:imagedata r:id="rId28" o:title=""/>
            <o:lock v:ext="edit" aspectratio="t"/>
            <w10:wrap type="topAndBottom"/>
          </v:shape>
          <o:OLEObject Type="Embed" ProgID="Equations" ShapeID="_x0000_s1057" DrawAspect="Content" ObjectID="_1468075725" r:id="rId27">
            <o:LockedField>false</o:LockedField>
          </o:OLEObject>
        </w:pict>
      </w:r>
      <w:r>
        <w:rPr>
          <w:rFonts w:hint="eastAsia" w:asciiTheme="minorEastAsia" w:hAnsiTheme="minorEastAsia" w:eastAsiaTheme="minorEastAsia"/>
          <w:szCs w:val="18"/>
        </w:rPr>
        <w:t>式中： S</w:t>
      </w:r>
      <w:r>
        <w:rPr>
          <w:rFonts w:hint="eastAsia" w:asciiTheme="minorEastAsia" w:hAnsiTheme="minorEastAsia" w:eastAsiaTheme="minorEastAsia"/>
          <w:szCs w:val="18"/>
          <w:vertAlign w:val="subscript"/>
        </w:rPr>
        <w:t xml:space="preserve">S  </w:t>
      </w:r>
      <w:r>
        <w:rPr>
          <w:rFonts w:hint="eastAsia" w:asciiTheme="minorEastAsia" w:hAnsiTheme="minorEastAsia" w:eastAsiaTheme="minorEastAsia"/>
          <w:szCs w:val="18"/>
        </w:rPr>
        <w:t xml:space="preserve"> 为光缆中光纤长期服务时所受应变</w:t>
      </w:r>
    </w:p>
    <w:p>
      <w:pPr>
        <w:spacing w:line="390" w:lineRule="exact"/>
        <w:ind w:leftChars="-1" w:hanging="2"/>
        <w:rPr>
          <w:rFonts w:asciiTheme="minorEastAsia" w:hAnsiTheme="minorEastAsia" w:eastAsiaTheme="minorEastAsia"/>
          <w:szCs w:val="18"/>
        </w:rPr>
      </w:pPr>
      <w:r>
        <w:rPr>
          <w:rFonts w:hint="eastAsia" w:asciiTheme="minorEastAsia" w:hAnsiTheme="minorEastAsia" w:eastAsiaTheme="minorEastAsia"/>
          <w:szCs w:val="18"/>
        </w:rPr>
        <w:t xml:space="preserve">        t</w:t>
      </w:r>
      <w:r>
        <w:rPr>
          <w:rFonts w:hint="eastAsia" w:asciiTheme="minorEastAsia" w:hAnsiTheme="minorEastAsia" w:eastAsiaTheme="minorEastAsia"/>
          <w:szCs w:val="18"/>
          <w:vertAlign w:val="subscript"/>
        </w:rPr>
        <w:t>s</w:t>
      </w:r>
      <w:r>
        <w:rPr>
          <w:rFonts w:hint="eastAsia" w:asciiTheme="minorEastAsia" w:hAnsiTheme="minorEastAsia" w:eastAsiaTheme="minorEastAsia"/>
          <w:szCs w:val="18"/>
        </w:rPr>
        <w:t xml:space="preserve">  为光缆中光纤长期服务时间</w:t>
      </w:r>
    </w:p>
    <w:p>
      <w:pPr>
        <w:spacing w:line="390" w:lineRule="exact"/>
        <w:ind w:leftChars="-1" w:hanging="2"/>
        <w:rPr>
          <w:rFonts w:asciiTheme="minorEastAsia" w:hAnsiTheme="minorEastAsia" w:eastAsiaTheme="minorEastAsia"/>
          <w:szCs w:val="18"/>
        </w:rPr>
      </w:pPr>
      <w:r>
        <w:rPr>
          <w:rFonts w:hint="eastAsia" w:asciiTheme="minorEastAsia" w:hAnsiTheme="minorEastAsia" w:eastAsiaTheme="minorEastAsia"/>
          <w:szCs w:val="18"/>
        </w:rPr>
        <w:t xml:space="preserve">        S</w:t>
      </w:r>
      <w:r>
        <w:rPr>
          <w:rFonts w:hint="eastAsia" w:asciiTheme="minorEastAsia" w:hAnsiTheme="minorEastAsia" w:eastAsiaTheme="minorEastAsia"/>
          <w:szCs w:val="18"/>
          <w:vertAlign w:val="subscript"/>
        </w:rPr>
        <w:t>p</w:t>
      </w:r>
      <w:r>
        <w:rPr>
          <w:rFonts w:hint="eastAsia" w:asciiTheme="minorEastAsia" w:hAnsiTheme="minorEastAsia" w:eastAsiaTheme="minorEastAsia"/>
          <w:szCs w:val="18"/>
        </w:rPr>
        <w:t xml:space="preserve">  为光缆中光纤筛选应变</w:t>
      </w:r>
    </w:p>
    <w:p>
      <w:pPr>
        <w:spacing w:line="390" w:lineRule="exact"/>
        <w:ind w:leftChars="-1" w:hanging="2"/>
        <w:rPr>
          <w:rFonts w:asciiTheme="minorEastAsia" w:hAnsiTheme="minorEastAsia" w:eastAsiaTheme="minorEastAsia"/>
          <w:szCs w:val="18"/>
        </w:rPr>
      </w:pPr>
      <w:r>
        <w:rPr>
          <w:rFonts w:hint="eastAsia" w:asciiTheme="minorEastAsia" w:hAnsiTheme="minorEastAsia" w:eastAsiaTheme="minorEastAsia"/>
          <w:szCs w:val="18"/>
        </w:rPr>
        <w:t xml:space="preserve">        t</w:t>
      </w:r>
      <w:r>
        <w:rPr>
          <w:rFonts w:hint="eastAsia" w:asciiTheme="minorEastAsia" w:hAnsiTheme="minorEastAsia" w:eastAsiaTheme="minorEastAsia"/>
          <w:szCs w:val="18"/>
          <w:vertAlign w:val="subscript"/>
        </w:rPr>
        <w:t>p</w:t>
      </w:r>
      <w:r>
        <w:rPr>
          <w:rFonts w:hint="eastAsia" w:asciiTheme="minorEastAsia" w:hAnsiTheme="minorEastAsia" w:eastAsiaTheme="minorEastAsia"/>
          <w:szCs w:val="18"/>
        </w:rPr>
        <w:t xml:space="preserve">  为光缆中光纤筛选加应变时间</w:t>
      </w:r>
    </w:p>
    <w:p>
      <w:pPr>
        <w:spacing w:line="390" w:lineRule="exact"/>
        <w:ind w:leftChars="-1" w:hanging="2"/>
        <w:rPr>
          <w:rFonts w:asciiTheme="minorEastAsia" w:hAnsiTheme="minorEastAsia" w:eastAsiaTheme="minorEastAsia"/>
          <w:szCs w:val="18"/>
        </w:rPr>
      </w:pPr>
      <w:r>
        <w:rPr>
          <w:rFonts w:hint="eastAsia" w:asciiTheme="minorEastAsia" w:hAnsiTheme="minorEastAsia" w:eastAsiaTheme="minorEastAsia"/>
          <w:szCs w:val="18"/>
        </w:rPr>
        <w:t xml:space="preserve">        N</w:t>
      </w:r>
      <w:r>
        <w:rPr>
          <w:rFonts w:hint="eastAsia" w:asciiTheme="minorEastAsia" w:hAnsiTheme="minorEastAsia" w:eastAsiaTheme="minorEastAsia"/>
          <w:szCs w:val="18"/>
          <w:vertAlign w:val="subscript"/>
        </w:rPr>
        <w:t>p</w:t>
      </w:r>
      <w:r>
        <w:rPr>
          <w:rFonts w:hint="eastAsia" w:asciiTheme="minorEastAsia" w:hAnsiTheme="minorEastAsia" w:eastAsiaTheme="minorEastAsia"/>
          <w:szCs w:val="18"/>
        </w:rPr>
        <w:t xml:space="preserve">  为光缆中光纤筛选时每公里光纤断裂次数</w:t>
      </w:r>
    </w:p>
    <w:p>
      <w:pPr>
        <w:spacing w:line="390" w:lineRule="exact"/>
        <w:ind w:leftChars="-1" w:hanging="2"/>
        <w:rPr>
          <w:rFonts w:asciiTheme="minorEastAsia" w:hAnsiTheme="minorEastAsia" w:eastAsiaTheme="minorEastAsia"/>
          <w:szCs w:val="18"/>
        </w:rPr>
      </w:pPr>
      <w:r>
        <w:rPr>
          <w:rFonts w:hint="eastAsia" w:asciiTheme="minorEastAsia" w:hAnsiTheme="minorEastAsia" w:eastAsiaTheme="minorEastAsia"/>
          <w:szCs w:val="18"/>
        </w:rPr>
        <w:t xml:space="preserve">        L  为估算寿命时光缆中光纤总长度</w:t>
      </w:r>
    </w:p>
    <w:p>
      <w:pPr>
        <w:spacing w:line="390" w:lineRule="exact"/>
        <w:ind w:leftChars="-1" w:hanging="2"/>
        <w:rPr>
          <w:rFonts w:asciiTheme="minorEastAsia" w:hAnsiTheme="minorEastAsia" w:eastAsiaTheme="minorEastAsia"/>
          <w:szCs w:val="18"/>
        </w:rPr>
      </w:pPr>
      <w:r>
        <w:rPr>
          <w:rFonts w:hint="eastAsia" w:asciiTheme="minorEastAsia" w:hAnsiTheme="minorEastAsia" w:eastAsiaTheme="minorEastAsia"/>
          <w:szCs w:val="18"/>
        </w:rPr>
        <w:t xml:space="preserve">        m  为韦伯尔曲线的斜率   m=55-60</w:t>
      </w:r>
    </w:p>
    <w:p>
      <w:pPr>
        <w:spacing w:line="390" w:lineRule="exact"/>
        <w:ind w:leftChars="-1" w:hanging="2"/>
        <w:rPr>
          <w:rFonts w:asciiTheme="minorEastAsia" w:hAnsiTheme="minorEastAsia" w:eastAsiaTheme="minorEastAsia"/>
          <w:szCs w:val="18"/>
        </w:rPr>
      </w:pPr>
      <w:r>
        <w:rPr>
          <w:rFonts w:hint="eastAsia" w:asciiTheme="minorEastAsia" w:hAnsiTheme="minorEastAsia" w:eastAsiaTheme="minorEastAsia"/>
          <w:szCs w:val="18"/>
        </w:rPr>
        <w:t>n  为疲劳系数   n=23-29</w:t>
      </w:r>
    </w:p>
    <w:p>
      <w:pPr>
        <w:spacing w:line="390" w:lineRule="exact"/>
        <w:ind w:leftChars="-1" w:hanging="2"/>
        <w:rPr>
          <w:rFonts w:asciiTheme="minorEastAsia" w:hAnsiTheme="minorEastAsia" w:eastAsiaTheme="minorEastAsia"/>
          <w:szCs w:val="18"/>
        </w:rPr>
      </w:pPr>
      <w:r>
        <w:rPr>
          <w:rFonts w:hint="eastAsia" w:asciiTheme="minorEastAsia" w:hAnsiTheme="minorEastAsia" w:eastAsiaTheme="minorEastAsia"/>
          <w:szCs w:val="18"/>
        </w:rPr>
        <w:t>C  为常数（一般取：C=0）</w:t>
      </w:r>
    </w:p>
    <w:p>
      <w:pPr>
        <w:spacing w:line="390" w:lineRule="exact"/>
        <w:ind w:leftChars="-1" w:hanging="2"/>
        <w:rPr>
          <w:rFonts w:asciiTheme="minorEastAsia" w:hAnsiTheme="minorEastAsia" w:eastAsiaTheme="minorEastAsia"/>
          <w:color w:val="FF0000"/>
          <w:szCs w:val="18"/>
        </w:rPr>
      </w:pPr>
      <w:r>
        <w:rPr>
          <w:rFonts w:hint="eastAsia" w:asciiTheme="minorEastAsia" w:hAnsiTheme="minorEastAsia" w:eastAsiaTheme="minorEastAsia"/>
          <w:szCs w:val="18"/>
        </w:rPr>
        <w:t>F  为光缆中光纤断裂根率</w:t>
      </w:r>
    </w:p>
    <w:p>
      <w:pPr>
        <w:spacing w:line="390" w:lineRule="exact"/>
        <w:ind w:leftChars="-1" w:hanging="2"/>
        <w:rPr>
          <w:rFonts w:asciiTheme="minorEastAsia" w:hAnsiTheme="minorEastAsia" w:eastAsiaTheme="minorEastAsia"/>
          <w:b/>
          <w:szCs w:val="18"/>
        </w:rPr>
      </w:pPr>
      <w:r>
        <w:rPr>
          <w:rFonts w:hint="eastAsia" w:asciiTheme="minorEastAsia" w:hAnsiTheme="minorEastAsia" w:eastAsiaTheme="minorEastAsia"/>
          <w:b/>
          <w:szCs w:val="18"/>
        </w:rPr>
        <w:t>二、保证光缆寿命的有关技术措施</w:t>
      </w:r>
    </w:p>
    <w:p>
      <w:pPr>
        <w:spacing w:line="390" w:lineRule="exact"/>
        <w:ind w:firstLine="420" w:firstLineChars="200"/>
        <w:rPr>
          <w:rFonts w:asciiTheme="minorEastAsia" w:hAnsiTheme="minorEastAsia" w:eastAsiaTheme="minorEastAsia"/>
          <w:szCs w:val="18"/>
        </w:rPr>
      </w:pPr>
      <w:r>
        <w:rPr>
          <w:rFonts w:hint="eastAsia" w:asciiTheme="minorEastAsia" w:hAnsiTheme="minorEastAsia" w:eastAsiaTheme="minorEastAsia"/>
          <w:szCs w:val="18"/>
        </w:rPr>
        <w:t>光缆寿命主要决定于光缆所采用的材料和光缆中光纤所受的应变力。为此，我们采取了以下措施：</w:t>
      </w:r>
    </w:p>
    <w:p>
      <w:pPr>
        <w:spacing w:line="390" w:lineRule="exact"/>
        <w:ind w:left="208" w:leftChars="99" w:firstLine="207" w:firstLineChars="99"/>
        <w:rPr>
          <w:rFonts w:asciiTheme="minorEastAsia" w:hAnsiTheme="minorEastAsia" w:eastAsiaTheme="minorEastAsia"/>
          <w:szCs w:val="18"/>
        </w:rPr>
      </w:pPr>
      <w:r>
        <w:rPr>
          <w:rFonts w:hint="eastAsia" w:asciiTheme="minorEastAsia" w:hAnsiTheme="minorEastAsia" w:eastAsiaTheme="minorEastAsia"/>
          <w:szCs w:val="18"/>
        </w:rPr>
        <w:t>1）严格按照ISO9001的要求选取检测原材料，这是保证光缆寿命的前提条件；</w:t>
      </w:r>
    </w:p>
    <w:p>
      <w:pPr>
        <w:spacing w:line="390" w:lineRule="exact"/>
        <w:ind w:left="208" w:leftChars="99" w:firstLine="207" w:firstLineChars="99"/>
        <w:rPr>
          <w:rFonts w:asciiTheme="minorEastAsia" w:hAnsiTheme="minorEastAsia" w:eastAsiaTheme="minorEastAsia"/>
          <w:szCs w:val="18"/>
        </w:rPr>
      </w:pPr>
      <w:r>
        <w:rPr>
          <w:rFonts w:hint="eastAsia" w:asciiTheme="minorEastAsia" w:hAnsiTheme="minorEastAsia" w:eastAsiaTheme="minorEastAsia"/>
          <w:szCs w:val="18"/>
        </w:rPr>
        <w:t>2）选用高强度的线性膨胀系数小的光缆加强构件单元；</w:t>
      </w:r>
    </w:p>
    <w:p>
      <w:pPr>
        <w:spacing w:line="390" w:lineRule="exact"/>
        <w:ind w:left="208" w:leftChars="99" w:firstLine="207" w:firstLineChars="99"/>
        <w:rPr>
          <w:rFonts w:asciiTheme="minorEastAsia" w:hAnsiTheme="minorEastAsia" w:eastAsiaTheme="minorEastAsia"/>
          <w:szCs w:val="18"/>
        </w:rPr>
      </w:pPr>
      <w:r>
        <w:rPr>
          <w:rFonts w:hint="eastAsia" w:asciiTheme="minorEastAsia" w:hAnsiTheme="minorEastAsia" w:eastAsiaTheme="minorEastAsia"/>
          <w:szCs w:val="18"/>
        </w:rPr>
        <w:t>3）选用密封性好的，线性膨胀系数小的耐腐蚀的PBT塑料做内管；</w:t>
      </w:r>
    </w:p>
    <w:p>
      <w:pPr>
        <w:spacing w:line="390" w:lineRule="exact"/>
        <w:ind w:left="208" w:leftChars="99" w:firstLine="207" w:firstLineChars="99"/>
        <w:rPr>
          <w:rFonts w:asciiTheme="minorEastAsia" w:hAnsiTheme="minorEastAsia" w:eastAsiaTheme="minorEastAsia"/>
          <w:szCs w:val="18"/>
        </w:rPr>
      </w:pPr>
      <w:r>
        <w:rPr>
          <w:rFonts w:hint="eastAsia" w:asciiTheme="minorEastAsia" w:hAnsiTheme="minorEastAsia" w:eastAsiaTheme="minorEastAsia"/>
          <w:szCs w:val="18"/>
        </w:rPr>
        <w:t>4）选用先进的超低温油膏作光纤管内用油膏；</w:t>
      </w:r>
    </w:p>
    <w:p>
      <w:pPr>
        <w:spacing w:line="390" w:lineRule="exact"/>
        <w:ind w:left="208" w:leftChars="99" w:firstLine="207" w:firstLineChars="99"/>
        <w:rPr>
          <w:rFonts w:asciiTheme="minorEastAsia" w:hAnsiTheme="minorEastAsia" w:eastAsiaTheme="minorEastAsia"/>
          <w:szCs w:val="18"/>
        </w:rPr>
      </w:pPr>
      <w:r>
        <w:rPr>
          <w:rFonts w:hint="eastAsia" w:asciiTheme="minorEastAsia" w:hAnsiTheme="minorEastAsia" w:eastAsiaTheme="minorEastAsia"/>
          <w:szCs w:val="18"/>
        </w:rPr>
        <w:t>5）选用阻水性能良好的油膏作缆芯用油膏；</w:t>
      </w:r>
    </w:p>
    <w:p>
      <w:pPr>
        <w:spacing w:line="390" w:lineRule="exact"/>
        <w:ind w:left="208" w:leftChars="99" w:firstLine="207" w:firstLineChars="99"/>
        <w:rPr>
          <w:rFonts w:asciiTheme="minorEastAsia" w:hAnsiTheme="minorEastAsia" w:eastAsiaTheme="minorEastAsia"/>
          <w:szCs w:val="18"/>
        </w:rPr>
      </w:pPr>
      <w:r>
        <w:rPr>
          <w:rFonts w:hint="eastAsia" w:asciiTheme="minorEastAsia" w:hAnsiTheme="minorEastAsia" w:eastAsiaTheme="minorEastAsia"/>
          <w:szCs w:val="18"/>
        </w:rPr>
        <w:t>6）选用优良的PE/AT聚乙烯塑料作内护层和外护层；</w:t>
      </w:r>
    </w:p>
    <w:p>
      <w:pPr>
        <w:spacing w:line="390" w:lineRule="exact"/>
        <w:ind w:left="208" w:leftChars="99" w:firstLine="207" w:firstLineChars="99"/>
        <w:rPr>
          <w:rFonts w:asciiTheme="minorEastAsia" w:hAnsiTheme="minorEastAsia" w:eastAsiaTheme="minorEastAsia"/>
          <w:szCs w:val="18"/>
        </w:rPr>
      </w:pPr>
      <w:r>
        <w:rPr>
          <w:rFonts w:hint="eastAsia" w:asciiTheme="minorEastAsia" w:hAnsiTheme="minorEastAsia" w:eastAsiaTheme="minorEastAsia"/>
          <w:szCs w:val="18"/>
        </w:rPr>
        <w:t>7）在纵向上填充高强度Kevlar/Glass，提供足够的张力支持，减少光纤应变；</w:t>
      </w:r>
    </w:p>
    <w:p>
      <w:pPr>
        <w:spacing w:line="390" w:lineRule="exact"/>
        <w:ind w:left="208" w:leftChars="99" w:firstLine="207" w:firstLineChars="99"/>
        <w:rPr>
          <w:rFonts w:asciiTheme="minorEastAsia" w:hAnsiTheme="minorEastAsia" w:eastAsiaTheme="minorEastAsia"/>
          <w:szCs w:val="18"/>
        </w:rPr>
      </w:pPr>
      <w:r>
        <w:rPr>
          <w:rFonts w:hint="eastAsia" w:asciiTheme="minorEastAsia" w:hAnsiTheme="minorEastAsia" w:eastAsiaTheme="minorEastAsia"/>
          <w:szCs w:val="18"/>
        </w:rPr>
        <w:t>8）更重要的是根据光缆使用的地理条件， 在生产工艺软件上安排好控制光纤余长的系数和光纤在光缆内所受的应变力，以保护光纤在缆芯内的安全和衰耗的长期稳定。</w:t>
      </w:r>
    </w:p>
    <w:p>
      <w:pPr>
        <w:spacing w:line="240" w:lineRule="exact"/>
        <w:ind w:left="-2" w:leftChars="-1"/>
        <w:rPr>
          <w:rFonts w:asciiTheme="minorEastAsia" w:hAnsiTheme="minorEastAsia" w:eastAsiaTheme="minorEastAsia"/>
          <w:szCs w:val="18"/>
        </w:rPr>
      </w:pPr>
    </w:p>
    <w:p>
      <w:pPr>
        <w:spacing w:line="390" w:lineRule="exact"/>
        <w:ind w:leftChars="-1" w:hanging="2"/>
        <w:jc w:val="right"/>
        <w:rPr>
          <w:rFonts w:asciiTheme="minorEastAsia" w:hAnsiTheme="minorEastAsia" w:eastAsiaTheme="minorEastAsia"/>
          <w:szCs w:val="18"/>
          <w:u w:val="single"/>
        </w:rPr>
      </w:pPr>
      <w:r>
        <w:rPr>
          <w:rFonts w:hint="eastAsia" w:asciiTheme="minorEastAsia" w:hAnsiTheme="minorEastAsia" w:eastAsiaTheme="minorEastAsia"/>
          <w:szCs w:val="18"/>
        </w:rPr>
        <w:t>浙江汉信光电股份有限公司</w:t>
      </w:r>
    </w:p>
    <w:p>
      <w:pPr>
        <w:jc w:val="right"/>
        <w:rPr>
          <w:rFonts w:asciiTheme="minorEastAsia" w:hAnsiTheme="minorEastAsia" w:eastAsiaTheme="minorEastAsia"/>
          <w:sz w:val="18"/>
          <w:szCs w:val="18"/>
        </w:rPr>
      </w:pPr>
      <w:bookmarkStart w:id="4" w:name="_Toc453317487"/>
      <w:bookmarkStart w:id="5" w:name="_Toc453557010"/>
      <w:r>
        <w:rPr>
          <w:rFonts w:hint="eastAsia" w:asciiTheme="minorEastAsia" w:hAnsiTheme="minorEastAsia" w:eastAsiaTheme="minorEastAsia"/>
          <w:szCs w:val="18"/>
        </w:rPr>
        <w:t>2018年08月05 日</w:t>
      </w:r>
      <w:bookmarkEnd w:id="4"/>
      <w:bookmarkEnd w:id="5"/>
    </w:p>
    <w:p>
      <w:pPr>
        <w:jc w:val="left"/>
        <w:rPr>
          <w:rFonts w:asciiTheme="minorEastAsia" w:hAnsiTheme="minorEastAsia" w:eastAsiaTheme="minorEastAsia"/>
          <w:sz w:val="40"/>
          <w:szCs w:val="40"/>
        </w:rPr>
      </w:pPr>
      <w:r>
        <w:rPr>
          <w:rFonts w:hint="eastAsia" w:asciiTheme="minorEastAsia" w:hAnsiTheme="minorEastAsia" w:eastAsiaTheme="minorEastAsia"/>
          <w:sz w:val="40"/>
          <w:szCs w:val="40"/>
        </w:rPr>
        <w:drawing>
          <wp:inline distT="0" distB="0" distL="114300" distR="114300">
            <wp:extent cx="5538470" cy="7556500"/>
            <wp:effectExtent l="0" t="0" r="5080" b="6350"/>
            <wp:docPr id="182" name="图片 182" descr="G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GYTA"/>
                    <pic:cNvPicPr>
                      <a:picLocks noChangeAspect="1"/>
                    </pic:cNvPicPr>
                  </pic:nvPicPr>
                  <pic:blipFill>
                    <a:blip r:embed="rId29" cstate="print"/>
                    <a:stretch>
                      <a:fillRect/>
                    </a:stretch>
                  </pic:blipFill>
                  <pic:spPr>
                    <a:xfrm>
                      <a:off x="0" y="0"/>
                      <a:ext cx="5538470" cy="7556500"/>
                    </a:xfrm>
                    <a:prstGeom prst="rect">
                      <a:avLst/>
                    </a:prstGeom>
                  </pic:spPr>
                </pic:pic>
              </a:graphicData>
            </a:graphic>
          </wp:inline>
        </w:drawing>
      </w:r>
      <w:r>
        <w:rPr>
          <w:rFonts w:hint="eastAsia" w:asciiTheme="minorEastAsia" w:hAnsiTheme="minorEastAsia" w:eastAsiaTheme="minorEastAsia"/>
          <w:sz w:val="40"/>
          <w:szCs w:val="40"/>
        </w:rPr>
        <w:drawing>
          <wp:inline distT="0" distB="0" distL="114300" distR="114300">
            <wp:extent cx="5538470" cy="7569835"/>
            <wp:effectExtent l="0" t="0" r="5080" b="12065"/>
            <wp:docPr id="183" name="图片 183" descr="GY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GYXTW"/>
                    <pic:cNvPicPr>
                      <a:picLocks noChangeAspect="1"/>
                    </pic:cNvPicPr>
                  </pic:nvPicPr>
                  <pic:blipFill>
                    <a:blip r:embed="rId30" cstate="print"/>
                    <a:stretch>
                      <a:fillRect/>
                    </a:stretch>
                  </pic:blipFill>
                  <pic:spPr>
                    <a:xfrm>
                      <a:off x="0" y="0"/>
                      <a:ext cx="5538470" cy="7569835"/>
                    </a:xfrm>
                    <a:prstGeom prst="rect">
                      <a:avLst/>
                    </a:prstGeom>
                  </pic:spPr>
                </pic:pic>
              </a:graphicData>
            </a:graphic>
          </wp:inline>
        </w:drawing>
      </w:r>
      <w:r>
        <w:rPr>
          <w:rFonts w:hint="eastAsia" w:asciiTheme="minorEastAsia" w:hAnsiTheme="minorEastAsia" w:eastAsiaTheme="minorEastAsia"/>
          <w:sz w:val="40"/>
          <w:szCs w:val="40"/>
        </w:rPr>
        <w:drawing>
          <wp:inline distT="0" distB="0" distL="114300" distR="114300">
            <wp:extent cx="5239385" cy="7907020"/>
            <wp:effectExtent l="0" t="0" r="18415" b="17780"/>
            <wp:docPr id="184" name="图片 184" descr="皮线光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皮线光缆"/>
                    <pic:cNvPicPr>
                      <a:picLocks noChangeAspect="1"/>
                    </pic:cNvPicPr>
                  </pic:nvPicPr>
                  <pic:blipFill>
                    <a:blip r:embed="rId31" cstate="print"/>
                    <a:stretch>
                      <a:fillRect/>
                    </a:stretch>
                  </pic:blipFill>
                  <pic:spPr>
                    <a:xfrm>
                      <a:off x="0" y="0"/>
                      <a:ext cx="5239385" cy="7907020"/>
                    </a:xfrm>
                    <a:prstGeom prst="rect">
                      <a:avLst/>
                    </a:prstGeom>
                  </pic:spPr>
                </pic:pic>
              </a:graphicData>
            </a:graphic>
          </wp:inline>
        </w:drawing>
      </w:r>
    </w:p>
    <w:p>
      <w:pPr>
        <w:pStyle w:val="4"/>
        <w:rPr>
          <w:rFonts w:ascii="宋体" w:hAnsi="宋体"/>
          <w:sz w:val="22"/>
          <w:szCs w:val="22"/>
        </w:rPr>
      </w:pPr>
    </w:p>
    <w:p>
      <w:pPr>
        <w:pStyle w:val="4"/>
        <w:rPr>
          <w:rFonts w:cs="宋体"/>
          <w:sz w:val="22"/>
          <w:szCs w:val="22"/>
        </w:rPr>
      </w:pPr>
      <w:r>
        <w:rPr>
          <w:rFonts w:hint="eastAsia" w:ascii="宋体" w:hAnsi="宋体"/>
          <w:sz w:val="22"/>
          <w:szCs w:val="22"/>
        </w:rPr>
        <w:t>1.蝶形光缆主要技术要求和指标</w:t>
      </w:r>
    </w:p>
    <w:p>
      <w:pPr>
        <w:pStyle w:val="5"/>
        <w:numPr>
          <w:ilvl w:val="3"/>
          <w:numId w:val="3"/>
        </w:numPr>
        <w:rPr>
          <w:rFonts w:ascii="宋体" w:hAnsi="宋体"/>
          <w:color w:val="000000"/>
          <w:sz w:val="21"/>
          <w:szCs w:val="21"/>
        </w:rPr>
      </w:pPr>
      <w:r>
        <w:rPr>
          <w:rFonts w:hint="eastAsia" w:ascii="宋体" w:hAnsi="宋体"/>
          <w:color w:val="000000"/>
          <w:sz w:val="21"/>
          <w:szCs w:val="21"/>
        </w:rPr>
        <w:t>2.1光缆中的光纤</w:t>
      </w:r>
    </w:p>
    <w:p>
      <w:pPr>
        <w:autoSpaceDE w:val="0"/>
        <w:autoSpaceDN w:val="0"/>
        <w:adjustRightInd w:val="0"/>
        <w:spacing w:line="520" w:lineRule="atLeast"/>
        <w:ind w:firstLine="420" w:firstLineChars="200"/>
        <w:rPr>
          <w:rFonts w:ascii="宋体" w:hAnsi="宋体"/>
          <w:kern w:val="0"/>
        </w:rPr>
      </w:pPr>
      <w:r>
        <w:rPr>
          <w:rFonts w:hint="eastAsia" w:ascii="宋体" w:hAnsi="宋体"/>
          <w:kern w:val="0"/>
        </w:rPr>
        <w:t>本次招标的光缆中的光纤符合ITU-T G.657.A2标准。</w:t>
      </w:r>
    </w:p>
    <w:p>
      <w:pPr>
        <w:autoSpaceDE w:val="0"/>
        <w:autoSpaceDN w:val="0"/>
        <w:adjustRightInd w:val="0"/>
        <w:spacing w:line="520" w:lineRule="atLeast"/>
        <w:ind w:firstLine="420" w:firstLineChars="200"/>
        <w:rPr>
          <w:rFonts w:ascii="宋体" w:hAnsi="宋体"/>
          <w:kern w:val="0"/>
        </w:rPr>
      </w:pPr>
      <w:r>
        <w:rPr>
          <w:rFonts w:hint="eastAsia" w:ascii="宋体" w:hAnsi="宋体"/>
          <w:kern w:val="0"/>
        </w:rPr>
        <w:t>本条款中的技术要求基于如下前提：</w:t>
      </w:r>
    </w:p>
    <w:p>
      <w:pPr>
        <w:autoSpaceDE w:val="0"/>
        <w:autoSpaceDN w:val="0"/>
        <w:adjustRightInd w:val="0"/>
        <w:spacing w:line="520" w:lineRule="atLeast"/>
        <w:ind w:firstLine="420" w:firstLineChars="200"/>
        <w:rPr>
          <w:rFonts w:ascii="宋体" w:hAnsi="宋体"/>
          <w:kern w:val="0"/>
        </w:rPr>
      </w:pPr>
      <w:r>
        <w:rPr>
          <w:rFonts w:hint="eastAsia" w:ascii="宋体" w:hAnsi="宋体"/>
          <w:kern w:val="0"/>
        </w:rPr>
        <w:t>除偏振模色散（PMD）及传输衰减等两项指标外，光纤在成缆前后的其他技术参数指标，均不得有任何变化。</w:t>
      </w:r>
    </w:p>
    <w:p>
      <w:pPr>
        <w:autoSpaceDE w:val="0"/>
        <w:autoSpaceDN w:val="0"/>
        <w:adjustRightInd w:val="0"/>
        <w:spacing w:line="520" w:lineRule="atLeast"/>
        <w:ind w:firstLine="420" w:firstLineChars="200"/>
        <w:rPr>
          <w:rFonts w:ascii="宋体" w:hAnsi="宋体"/>
          <w:kern w:val="0"/>
        </w:rPr>
      </w:pPr>
      <w:r>
        <w:rPr>
          <w:rFonts w:hint="eastAsia" w:ascii="宋体" w:hAnsi="宋体"/>
          <w:kern w:val="0"/>
        </w:rPr>
        <w:t>下面，对在成缆过程中有可能对光纤本身传输性能造成附加负面影响的相关项目，提出具体的技术要求。</w:t>
      </w:r>
    </w:p>
    <w:p>
      <w:pPr>
        <w:pStyle w:val="6"/>
        <w:rPr>
          <w:rFonts w:ascii="宋体" w:hAnsi="宋体"/>
          <w:kern w:val="0"/>
          <w:sz w:val="21"/>
        </w:rPr>
      </w:pPr>
      <w:r>
        <w:rPr>
          <w:rFonts w:hint="eastAsia" w:ascii="宋体" w:hAnsi="宋体"/>
          <w:kern w:val="0"/>
          <w:sz w:val="21"/>
        </w:rPr>
        <w:t>2.1.1 G.657A2型光纤</w:t>
      </w:r>
    </w:p>
    <w:p>
      <w:pPr>
        <w:autoSpaceDE w:val="0"/>
        <w:autoSpaceDN w:val="0"/>
        <w:adjustRightInd w:val="0"/>
        <w:spacing w:line="520" w:lineRule="atLeast"/>
        <w:ind w:firstLine="420" w:firstLineChars="200"/>
        <w:rPr>
          <w:rFonts w:ascii="宋体" w:hAnsi="宋体"/>
          <w:kern w:val="0"/>
        </w:rPr>
      </w:pPr>
      <w:r>
        <w:rPr>
          <w:rFonts w:hint="eastAsia" w:ascii="宋体" w:hAnsi="宋体"/>
          <w:kern w:val="0"/>
        </w:rPr>
        <w:t>2.1.1.1每一批次的所有光纤为同一型号和同一来源（同一工厂、同一材料、同一制造方法和同一折射率分布）。</w:t>
      </w:r>
    </w:p>
    <w:p>
      <w:pPr>
        <w:autoSpaceDE w:val="0"/>
        <w:autoSpaceDN w:val="0"/>
        <w:adjustRightInd w:val="0"/>
        <w:spacing w:line="520" w:lineRule="atLeast"/>
        <w:ind w:firstLine="420" w:firstLineChars="200"/>
        <w:rPr>
          <w:rFonts w:ascii="宋体" w:hAnsi="宋体"/>
          <w:kern w:val="0"/>
        </w:rPr>
      </w:pPr>
      <w:r>
        <w:rPr>
          <w:rFonts w:hint="eastAsia" w:ascii="宋体" w:hAnsi="宋体"/>
          <w:kern w:val="0"/>
        </w:rPr>
        <w:t>2.1.1.2 成缆后光纤的衰减系数</w:t>
      </w:r>
    </w:p>
    <w:p>
      <w:pPr>
        <w:autoSpaceDE w:val="0"/>
        <w:autoSpaceDN w:val="0"/>
        <w:adjustRightInd w:val="0"/>
        <w:spacing w:line="520" w:lineRule="atLeast"/>
        <w:ind w:firstLine="420" w:firstLineChars="200"/>
        <w:jc w:val="left"/>
        <w:rPr>
          <w:rFonts w:ascii="宋体" w:hAnsi="宋体"/>
          <w:kern w:val="0"/>
        </w:rPr>
      </w:pPr>
      <w:r>
        <w:rPr>
          <w:rFonts w:hint="eastAsia" w:ascii="宋体" w:hAnsi="宋体"/>
          <w:kern w:val="0"/>
        </w:rPr>
        <w:t>（1）在1310ｎｍ波长上的最大衰减系数为：0.35ｄＢ／ｋｍ</w:t>
      </w:r>
    </w:p>
    <w:p>
      <w:pPr>
        <w:autoSpaceDE w:val="0"/>
        <w:autoSpaceDN w:val="0"/>
        <w:adjustRightInd w:val="0"/>
        <w:spacing w:line="520" w:lineRule="atLeast"/>
        <w:ind w:firstLine="840" w:firstLineChars="400"/>
        <w:jc w:val="left"/>
        <w:rPr>
          <w:rFonts w:ascii="宋体" w:hAnsi="宋体"/>
          <w:kern w:val="0"/>
        </w:rPr>
      </w:pPr>
      <w:r>
        <w:rPr>
          <w:rFonts w:hint="eastAsia" w:ascii="宋体" w:hAnsi="宋体"/>
          <w:kern w:val="0"/>
        </w:rPr>
        <w:t>在1383ｎｍ±3ｎｍ波长上的最大衰减系数小于：0.35ｄＢ／ｋｍ。</w:t>
      </w:r>
    </w:p>
    <w:p>
      <w:pPr>
        <w:autoSpaceDE w:val="0"/>
        <w:autoSpaceDN w:val="0"/>
        <w:adjustRightInd w:val="0"/>
        <w:spacing w:line="520" w:lineRule="atLeast"/>
        <w:ind w:firstLine="840" w:firstLineChars="400"/>
        <w:jc w:val="left"/>
        <w:rPr>
          <w:rFonts w:ascii="宋体" w:hAnsi="宋体"/>
          <w:kern w:val="0"/>
        </w:rPr>
      </w:pPr>
      <w:r>
        <w:rPr>
          <w:rFonts w:hint="eastAsia" w:ascii="宋体" w:hAnsi="宋体"/>
          <w:kern w:val="0"/>
        </w:rPr>
        <w:t>在1550ｎｍ波长上的最大衰减系数不大于0.25(特殊地区0.21)ｄＢ／ｋｍ。</w:t>
      </w:r>
    </w:p>
    <w:p>
      <w:pPr>
        <w:autoSpaceDE w:val="0"/>
        <w:autoSpaceDN w:val="0"/>
        <w:adjustRightInd w:val="0"/>
        <w:spacing w:line="520" w:lineRule="atLeast"/>
        <w:ind w:firstLine="840" w:firstLineChars="400"/>
        <w:jc w:val="left"/>
        <w:rPr>
          <w:rFonts w:ascii="宋体" w:hAnsi="宋体"/>
          <w:kern w:val="0"/>
        </w:rPr>
      </w:pPr>
      <w:r>
        <w:rPr>
          <w:rFonts w:hint="eastAsia" w:ascii="宋体" w:hAnsi="宋体"/>
          <w:kern w:val="0"/>
        </w:rPr>
        <w:t>在1285 ～ 1330ｎｍ波长范围内，任一波长上光纤的衰减系数与1310ｎｍ波长上的衰减系数相比，其差值不超过0.07ｄＢ／ｋｍ。</w:t>
      </w:r>
    </w:p>
    <w:p>
      <w:pPr>
        <w:autoSpaceDE w:val="0"/>
        <w:autoSpaceDN w:val="0"/>
        <w:adjustRightInd w:val="0"/>
        <w:spacing w:line="520" w:lineRule="atLeast"/>
        <w:ind w:firstLine="840" w:firstLineChars="400"/>
        <w:jc w:val="left"/>
        <w:rPr>
          <w:rFonts w:ascii="宋体" w:hAnsi="宋体"/>
          <w:kern w:val="0"/>
        </w:rPr>
      </w:pPr>
      <w:r>
        <w:rPr>
          <w:rFonts w:hint="eastAsia" w:ascii="宋体" w:hAnsi="宋体"/>
          <w:kern w:val="0"/>
        </w:rPr>
        <w:t>在1525 ～ 1575ｎｍ波长范围内，任一波长上光纤的衰减系数与1550ｎｍ波长上的衰减系数相比，其差值不超过0.05ｄＢ／ｋｍ。</w:t>
      </w:r>
    </w:p>
    <w:p>
      <w:pPr>
        <w:autoSpaceDE w:val="0"/>
        <w:autoSpaceDN w:val="0"/>
        <w:adjustRightInd w:val="0"/>
        <w:spacing w:line="520" w:lineRule="atLeast"/>
        <w:ind w:firstLine="840" w:firstLineChars="400"/>
        <w:jc w:val="left"/>
        <w:rPr>
          <w:rFonts w:ascii="宋体" w:hAnsi="宋体"/>
          <w:kern w:val="0"/>
        </w:rPr>
      </w:pPr>
      <w:r>
        <w:rPr>
          <w:rFonts w:hint="eastAsia" w:ascii="宋体" w:hAnsi="宋体"/>
          <w:kern w:val="0"/>
        </w:rPr>
        <w:t>在1575  ～ 1625ｎｍ波长范围内的最大衰减系数不大于为：0.25 ｄＢ／ｋｍ。</w:t>
      </w:r>
    </w:p>
    <w:p>
      <w:pPr>
        <w:autoSpaceDE w:val="0"/>
        <w:autoSpaceDN w:val="0"/>
        <w:adjustRightInd w:val="0"/>
        <w:spacing w:line="520" w:lineRule="atLeast"/>
        <w:ind w:firstLine="630" w:firstLineChars="300"/>
        <w:jc w:val="left"/>
        <w:rPr>
          <w:rFonts w:ascii="宋体" w:hAnsi="宋体"/>
          <w:kern w:val="0"/>
        </w:rPr>
      </w:pPr>
      <w:r>
        <w:rPr>
          <w:rFonts w:hint="eastAsia" w:ascii="宋体" w:hAnsi="宋体"/>
          <w:kern w:val="0"/>
        </w:rPr>
        <w:t>（2）光纤衰减曲线应有良好的线性并且无明显台阶。用OTDR检测任意一根光纤时，在1310ｎｍ和1550ｎｍ处500ｍ光纤的衰减值不大于(</w:t>
      </w:r>
      <w:r>
        <w:rPr>
          <w:rFonts w:ascii="宋体" w:hAnsi="宋体" w:cs="宋体"/>
          <w:kern w:val="0"/>
        </w:rPr>
        <w:t>a</w:t>
      </w:r>
      <w:r>
        <w:rPr>
          <w:rFonts w:hint="eastAsia" w:ascii="宋体" w:hAnsi="宋体"/>
          <w:kern w:val="0"/>
        </w:rPr>
        <w:t xml:space="preserve"> </w:t>
      </w:r>
      <w:r>
        <w:rPr>
          <w:rFonts w:hint="eastAsia" w:ascii="宋体" w:hAnsi="宋体"/>
          <w:kern w:val="0"/>
          <w:vertAlign w:val="subscript"/>
        </w:rPr>
        <w:t xml:space="preserve">mean </w:t>
      </w:r>
      <w:r>
        <w:rPr>
          <w:rFonts w:hint="eastAsia" w:ascii="宋体" w:hAnsi="宋体"/>
          <w:kern w:val="0"/>
        </w:rPr>
        <w:t>+0.10dB)/2，</w:t>
      </w:r>
      <w:r>
        <w:rPr>
          <w:rFonts w:ascii="宋体" w:hAnsi="宋体" w:cs="宋体"/>
          <w:kern w:val="0"/>
        </w:rPr>
        <w:t>a</w:t>
      </w:r>
      <w:r>
        <w:rPr>
          <w:rFonts w:hint="eastAsia" w:ascii="宋体" w:hAnsi="宋体"/>
          <w:kern w:val="0"/>
        </w:rPr>
        <w:t xml:space="preserve"> </w:t>
      </w:r>
      <w:r>
        <w:rPr>
          <w:rFonts w:hint="eastAsia" w:ascii="宋体" w:hAnsi="宋体"/>
          <w:kern w:val="0"/>
          <w:vertAlign w:val="subscript"/>
        </w:rPr>
        <w:t>mean</w:t>
      </w:r>
      <w:r>
        <w:rPr>
          <w:rFonts w:hint="eastAsia" w:ascii="宋体" w:hAnsi="宋体"/>
          <w:kern w:val="0"/>
        </w:rPr>
        <w:t xml:space="preserve"> 是光纤的平均衰减系数。</w:t>
      </w:r>
    </w:p>
    <w:p>
      <w:pPr>
        <w:autoSpaceDE w:val="0"/>
        <w:autoSpaceDN w:val="0"/>
        <w:adjustRightInd w:val="0"/>
        <w:spacing w:line="520" w:lineRule="atLeast"/>
        <w:ind w:firstLine="630" w:firstLineChars="300"/>
        <w:rPr>
          <w:rFonts w:ascii="宋体" w:hAnsi="宋体"/>
          <w:kern w:val="0"/>
        </w:rPr>
      </w:pPr>
      <w:r>
        <w:rPr>
          <w:rFonts w:hint="eastAsia" w:ascii="宋体" w:hAnsi="宋体"/>
          <w:kern w:val="0"/>
        </w:rPr>
        <w:t>2.1.1.3截止波长应满足下述λｃｃ的要求:</w:t>
      </w:r>
    </w:p>
    <w:p>
      <w:pPr>
        <w:autoSpaceDE w:val="0"/>
        <w:autoSpaceDN w:val="0"/>
        <w:adjustRightInd w:val="0"/>
        <w:spacing w:line="520" w:lineRule="atLeast"/>
        <w:rPr>
          <w:rFonts w:ascii="宋体" w:hAnsi="宋体"/>
          <w:kern w:val="0"/>
        </w:rPr>
      </w:pPr>
      <w:r>
        <w:rPr>
          <w:rFonts w:hint="eastAsia" w:ascii="宋体" w:hAnsi="宋体"/>
          <w:kern w:val="0"/>
        </w:rPr>
        <w:t>λｃｃ（在20米光缆＋2米光纤上测试）≤1260ｎｍ</w:t>
      </w:r>
    </w:p>
    <w:p>
      <w:pPr>
        <w:autoSpaceDE w:val="0"/>
        <w:autoSpaceDN w:val="0"/>
        <w:adjustRightInd w:val="0"/>
        <w:spacing w:line="520" w:lineRule="atLeast"/>
        <w:rPr>
          <w:rFonts w:ascii="宋体" w:hAnsi="宋体"/>
          <w:kern w:val="0"/>
        </w:rPr>
      </w:pPr>
      <w:r>
        <w:rPr>
          <w:rFonts w:hint="eastAsia" w:ascii="宋体" w:hAnsi="宋体"/>
          <w:kern w:val="0"/>
        </w:rPr>
        <w:t>2.1.1.4 测试方法： 2.1.1.2 ～ 2.1.1.3项，按照国家标准和ITU-T G.650建议规定的方法测试。</w:t>
      </w:r>
    </w:p>
    <w:p>
      <w:pPr>
        <w:pStyle w:val="5"/>
        <w:numPr>
          <w:ilvl w:val="3"/>
          <w:numId w:val="3"/>
        </w:numPr>
        <w:rPr>
          <w:rFonts w:ascii="宋体" w:hAnsi="宋体"/>
          <w:color w:val="000000"/>
          <w:sz w:val="21"/>
          <w:szCs w:val="21"/>
        </w:rPr>
      </w:pPr>
      <w:r>
        <w:rPr>
          <w:rFonts w:hint="eastAsia" w:ascii="宋体" w:hAnsi="宋体"/>
          <w:color w:val="000000"/>
          <w:sz w:val="21"/>
          <w:szCs w:val="21"/>
        </w:rPr>
        <w:t>2.2  蝶形光缆</w:t>
      </w:r>
    </w:p>
    <w:p>
      <w:pPr>
        <w:pStyle w:val="6"/>
        <w:rPr>
          <w:rFonts w:ascii="宋体" w:hAnsi="宋体"/>
          <w:kern w:val="0"/>
          <w:sz w:val="21"/>
        </w:rPr>
      </w:pPr>
      <w:r>
        <w:rPr>
          <w:rFonts w:hint="eastAsia" w:ascii="宋体" w:hAnsi="宋体"/>
          <w:kern w:val="0"/>
          <w:sz w:val="21"/>
        </w:rPr>
        <w:t>2.2.</w:t>
      </w:r>
      <w:r>
        <w:rPr>
          <w:rFonts w:hint="eastAsia" w:ascii="宋体" w:hAnsi="宋体"/>
          <w:color w:val="000000"/>
          <w:kern w:val="0"/>
          <w:sz w:val="21"/>
        </w:rPr>
        <w:t>1 蝶形光缆的外形结构</w:t>
      </w:r>
    </w:p>
    <w:p>
      <w:pPr>
        <w:autoSpaceDE w:val="0"/>
        <w:autoSpaceDN w:val="0"/>
        <w:adjustRightInd w:val="0"/>
        <w:spacing w:line="520" w:lineRule="atLeast"/>
        <w:rPr>
          <w:rFonts w:ascii="宋体" w:hAnsi="宋体"/>
          <w:kern w:val="0"/>
        </w:rPr>
      </w:pPr>
      <w:r>
        <w:drawing>
          <wp:inline distT="0" distB="0" distL="114300" distR="114300">
            <wp:extent cx="2362200" cy="1656715"/>
            <wp:effectExtent l="0" t="0" r="0" b="635"/>
            <wp:docPr id="127" name="图片 1" descr="wpsE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descr="wpsED76"/>
                    <pic:cNvPicPr>
                      <a:picLocks noChangeAspect="1"/>
                    </pic:cNvPicPr>
                  </pic:nvPicPr>
                  <pic:blipFill>
                    <a:blip r:embed="rId32" cstate="print"/>
                    <a:stretch>
                      <a:fillRect/>
                    </a:stretch>
                  </pic:blipFill>
                  <pic:spPr>
                    <a:xfrm>
                      <a:off x="0" y="0"/>
                      <a:ext cx="2362200" cy="1656715"/>
                    </a:xfrm>
                    <a:prstGeom prst="rect">
                      <a:avLst/>
                    </a:prstGeom>
                    <a:noFill/>
                    <a:ln w="9525">
                      <a:noFill/>
                    </a:ln>
                  </pic:spPr>
                </pic:pic>
              </a:graphicData>
            </a:graphic>
          </wp:inline>
        </w:drawing>
      </w:r>
      <w:r>
        <w:rPr>
          <w:rFonts w:hint="eastAsia" w:ascii="宋体" w:hAnsi="宋体"/>
          <w:kern w:val="0"/>
        </w:rPr>
        <w:t xml:space="preserve"> </w:t>
      </w:r>
    </w:p>
    <w:p>
      <w:pPr>
        <w:autoSpaceDE w:val="0"/>
        <w:autoSpaceDN w:val="0"/>
        <w:adjustRightInd w:val="0"/>
        <w:spacing w:line="520" w:lineRule="atLeast"/>
        <w:rPr>
          <w:rFonts w:ascii="宋体" w:hAnsi="宋体"/>
          <w:kern w:val="0"/>
        </w:rPr>
      </w:pPr>
      <w:r>
        <w:rPr>
          <w:rFonts w:hint="eastAsia" w:ascii="宋体" w:hAnsi="宋体"/>
          <w:kern w:val="0"/>
        </w:rPr>
        <w:t>图1：标准普通蝶形引入光缆结构示意图</w:t>
      </w:r>
    </w:p>
    <w:p>
      <w:pPr>
        <w:autoSpaceDE w:val="0"/>
        <w:autoSpaceDN w:val="0"/>
        <w:adjustRightInd w:val="0"/>
        <w:spacing w:line="520" w:lineRule="atLeast"/>
        <w:rPr>
          <w:rFonts w:ascii="宋体" w:hAnsi="宋体"/>
          <w:kern w:val="0"/>
        </w:rPr>
      </w:pPr>
      <w:r>
        <w:rPr>
          <w:rFonts w:hint="eastAsia" w:ascii="宋体" w:hAnsi="宋体"/>
          <w:kern w:val="0"/>
        </w:rPr>
        <w:t xml:space="preserve"> </w:t>
      </w:r>
    </w:p>
    <w:p>
      <w:pPr>
        <w:autoSpaceDE w:val="0"/>
        <w:autoSpaceDN w:val="0"/>
        <w:adjustRightInd w:val="0"/>
        <w:spacing w:line="520" w:lineRule="atLeast"/>
        <w:rPr>
          <w:rFonts w:ascii="宋体" w:hAnsi="宋体"/>
          <w:kern w:val="0"/>
        </w:rPr>
      </w:pPr>
      <w:r>
        <w:drawing>
          <wp:inline distT="0" distB="0" distL="114300" distR="114300">
            <wp:extent cx="2362200" cy="1733550"/>
            <wp:effectExtent l="0" t="0" r="0" b="0"/>
            <wp:docPr id="126" name="图片 2" descr="wpsE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descr="wpsED86"/>
                    <pic:cNvPicPr>
                      <a:picLocks noChangeAspect="1"/>
                    </pic:cNvPicPr>
                  </pic:nvPicPr>
                  <pic:blipFill>
                    <a:blip r:embed="rId33" cstate="print"/>
                    <a:stretch>
                      <a:fillRect/>
                    </a:stretch>
                  </pic:blipFill>
                  <pic:spPr>
                    <a:xfrm>
                      <a:off x="0" y="0"/>
                      <a:ext cx="2362200" cy="1733550"/>
                    </a:xfrm>
                    <a:prstGeom prst="rect">
                      <a:avLst/>
                    </a:prstGeom>
                    <a:noFill/>
                    <a:ln w="9525">
                      <a:noFill/>
                    </a:ln>
                  </pic:spPr>
                </pic:pic>
              </a:graphicData>
            </a:graphic>
          </wp:inline>
        </w:drawing>
      </w:r>
      <w:r>
        <w:rPr>
          <w:rFonts w:hint="eastAsia" w:ascii="宋体" w:hAnsi="宋体"/>
          <w:kern w:val="0"/>
        </w:rPr>
        <w:t xml:space="preserve"> </w:t>
      </w:r>
    </w:p>
    <w:p>
      <w:pPr>
        <w:autoSpaceDE w:val="0"/>
        <w:autoSpaceDN w:val="0"/>
        <w:adjustRightInd w:val="0"/>
        <w:spacing w:line="520" w:lineRule="atLeast"/>
        <w:rPr>
          <w:rFonts w:ascii="宋体" w:hAnsi="宋体"/>
          <w:kern w:val="0"/>
        </w:rPr>
      </w:pPr>
      <w:r>
        <w:rPr>
          <w:rFonts w:hint="eastAsia" w:ascii="宋体" w:hAnsi="宋体"/>
          <w:kern w:val="0"/>
        </w:rPr>
        <w:t>图2：标准自承式蝶形引入光缆结构示意图</w:t>
      </w:r>
    </w:p>
    <w:p>
      <w:pPr>
        <w:autoSpaceDE w:val="0"/>
        <w:autoSpaceDN w:val="0"/>
        <w:adjustRightInd w:val="0"/>
        <w:spacing w:line="520" w:lineRule="atLeast"/>
        <w:rPr>
          <w:rFonts w:ascii="宋体" w:hAnsi="宋体"/>
          <w:kern w:val="0"/>
        </w:rPr>
      </w:pPr>
      <w:r>
        <w:drawing>
          <wp:inline distT="0" distB="0" distL="114300" distR="114300">
            <wp:extent cx="1810385" cy="2485390"/>
            <wp:effectExtent l="0" t="0" r="0" b="10160"/>
            <wp:docPr id="128" name="图片 3" descr="wpsE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descr="wpsED87"/>
                    <pic:cNvPicPr>
                      <a:picLocks noChangeAspect="1"/>
                    </pic:cNvPicPr>
                  </pic:nvPicPr>
                  <pic:blipFill>
                    <a:blip r:embed="rId34" cstate="print"/>
                    <a:stretch>
                      <a:fillRect/>
                    </a:stretch>
                  </pic:blipFill>
                  <pic:spPr>
                    <a:xfrm>
                      <a:off x="0" y="0"/>
                      <a:ext cx="1810385" cy="2485390"/>
                    </a:xfrm>
                    <a:prstGeom prst="rect">
                      <a:avLst/>
                    </a:prstGeom>
                    <a:noFill/>
                    <a:ln w="9525">
                      <a:noFill/>
                    </a:ln>
                  </pic:spPr>
                </pic:pic>
              </a:graphicData>
            </a:graphic>
          </wp:inline>
        </w:drawing>
      </w:r>
    </w:p>
    <w:p>
      <w:pPr>
        <w:autoSpaceDE w:val="0"/>
        <w:autoSpaceDN w:val="0"/>
        <w:adjustRightInd w:val="0"/>
        <w:spacing w:line="520" w:lineRule="atLeast"/>
        <w:rPr>
          <w:rFonts w:ascii="宋体" w:hAnsi="宋体"/>
          <w:kern w:val="0"/>
        </w:rPr>
      </w:pPr>
      <w:r>
        <w:rPr>
          <w:rFonts w:hint="eastAsia" w:ascii="宋体" w:hAnsi="宋体"/>
          <w:kern w:val="0"/>
        </w:rPr>
        <w:t xml:space="preserve">图3：双蝶形引入分支光缆（单芯1*2组纤模式）结构示意图 </w:t>
      </w:r>
    </w:p>
    <w:p>
      <w:pPr>
        <w:autoSpaceDE w:val="0"/>
        <w:autoSpaceDN w:val="0"/>
        <w:adjustRightInd w:val="0"/>
        <w:spacing w:line="520" w:lineRule="atLeast"/>
        <w:rPr>
          <w:rFonts w:ascii="宋体" w:hAnsi="宋体"/>
          <w:kern w:val="0"/>
        </w:rPr>
      </w:pPr>
      <w:r>
        <w:drawing>
          <wp:inline distT="0" distB="0" distL="114300" distR="114300">
            <wp:extent cx="1475740" cy="2789555"/>
            <wp:effectExtent l="0" t="0" r="0" b="10795"/>
            <wp:docPr id="129" name="图片 4" descr="wpsE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descr="wpsED88"/>
                    <pic:cNvPicPr>
                      <a:picLocks noChangeAspect="1"/>
                    </pic:cNvPicPr>
                  </pic:nvPicPr>
                  <pic:blipFill>
                    <a:blip r:embed="rId35" cstate="print"/>
                    <a:stretch>
                      <a:fillRect/>
                    </a:stretch>
                  </pic:blipFill>
                  <pic:spPr>
                    <a:xfrm>
                      <a:off x="0" y="0"/>
                      <a:ext cx="1475740" cy="2789555"/>
                    </a:xfrm>
                    <a:prstGeom prst="rect">
                      <a:avLst/>
                    </a:prstGeom>
                    <a:noFill/>
                    <a:ln w="9525">
                      <a:noFill/>
                    </a:ln>
                  </pic:spPr>
                </pic:pic>
              </a:graphicData>
            </a:graphic>
          </wp:inline>
        </w:drawing>
      </w:r>
    </w:p>
    <w:p>
      <w:pPr>
        <w:autoSpaceDE w:val="0"/>
        <w:autoSpaceDN w:val="0"/>
        <w:adjustRightInd w:val="0"/>
        <w:spacing w:line="520" w:lineRule="atLeast"/>
        <w:rPr>
          <w:rFonts w:ascii="宋体" w:hAnsi="宋体"/>
          <w:kern w:val="0"/>
        </w:rPr>
      </w:pPr>
      <w:r>
        <w:rPr>
          <w:rFonts w:hint="eastAsia" w:ascii="宋体" w:hAnsi="宋体"/>
          <w:kern w:val="0"/>
        </w:rPr>
        <w:t>图4：自承式双蝶形引入分支光缆（单芯1*2组纤模式）结构示意图</w:t>
      </w:r>
    </w:p>
    <w:p>
      <w:pPr>
        <w:autoSpaceDE w:val="0"/>
        <w:autoSpaceDN w:val="0"/>
        <w:adjustRightInd w:val="0"/>
        <w:spacing w:line="520" w:lineRule="atLeast"/>
        <w:ind w:firstLine="105" w:firstLineChars="50"/>
        <w:jc w:val="left"/>
        <w:rPr>
          <w:rFonts w:ascii="宋体" w:hAnsi="宋体"/>
          <w:b/>
          <w:bCs/>
          <w:kern w:val="0"/>
        </w:rPr>
      </w:pPr>
      <w:r>
        <w:rPr>
          <w:rFonts w:hint="eastAsia" w:ascii="宋体" w:hAnsi="宋体"/>
          <w:b/>
          <w:bCs/>
          <w:color w:val="000000"/>
          <w:kern w:val="0"/>
        </w:rPr>
        <w:t xml:space="preserve">表1：光缆的典型结构尺寸  </w:t>
      </w:r>
      <w:r>
        <w:rPr>
          <w:rFonts w:hint="eastAsia" w:ascii="宋体" w:hAnsi="宋体"/>
          <w:b/>
          <w:bCs/>
          <w:kern w:val="0"/>
        </w:rPr>
        <w:t xml:space="preserve">                                   单位：mm</w:t>
      </w:r>
    </w:p>
    <w:tbl>
      <w:tblPr>
        <w:tblStyle w:val="9"/>
        <w:tblW w:w="8460" w:type="dxa"/>
        <w:jc w:val="center"/>
        <w:tblInd w:w="0" w:type="dxa"/>
        <w:tblLayout w:type="fixed"/>
        <w:tblCellMar>
          <w:top w:w="0" w:type="dxa"/>
          <w:left w:w="108" w:type="dxa"/>
          <w:bottom w:w="0" w:type="dxa"/>
          <w:right w:w="108" w:type="dxa"/>
        </w:tblCellMar>
      </w:tblPr>
      <w:tblGrid>
        <w:gridCol w:w="3240"/>
        <w:gridCol w:w="2960"/>
        <w:gridCol w:w="2260"/>
      </w:tblGrid>
      <w:tr>
        <w:tblPrEx>
          <w:tblLayout w:type="fixed"/>
          <w:tblCellMar>
            <w:top w:w="0" w:type="dxa"/>
            <w:left w:w="108" w:type="dxa"/>
            <w:bottom w:w="0" w:type="dxa"/>
            <w:right w:w="108" w:type="dxa"/>
          </w:tblCellMar>
        </w:tblPrEx>
        <w:trPr>
          <w:trHeight w:val="285" w:hRule="atLeast"/>
          <w:jc w:val="center"/>
        </w:trPr>
        <w:tc>
          <w:tcPr>
            <w:tcW w:w="3240"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光缆类别</w:t>
            </w:r>
          </w:p>
        </w:tc>
        <w:tc>
          <w:tcPr>
            <w:tcW w:w="29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外形尺寸标称值（H×L）</w:t>
            </w:r>
          </w:p>
        </w:tc>
        <w:tc>
          <w:tcPr>
            <w:tcW w:w="22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容差</w:t>
            </w:r>
          </w:p>
        </w:tc>
      </w:tr>
      <w:tr>
        <w:tblPrEx>
          <w:tblLayout w:type="fixed"/>
          <w:tblCellMar>
            <w:top w:w="0" w:type="dxa"/>
            <w:left w:w="108" w:type="dxa"/>
            <w:bottom w:w="0" w:type="dxa"/>
            <w:right w:w="108" w:type="dxa"/>
          </w:tblCellMar>
        </w:tblPrEx>
        <w:trPr>
          <w:trHeight w:val="285" w:hRule="atLeast"/>
          <w:jc w:val="center"/>
        </w:trPr>
        <w:tc>
          <w:tcPr>
            <w:tcW w:w="3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b/>
                <w:bCs/>
                <w:kern w:val="0"/>
              </w:rPr>
            </w:pPr>
          </w:p>
        </w:tc>
        <w:tc>
          <w:tcPr>
            <w:tcW w:w="29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1、2、4芯</w:t>
            </w:r>
          </w:p>
        </w:tc>
        <w:tc>
          <w:tcPr>
            <w:tcW w:w="22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1、2、4芯</w:t>
            </w:r>
          </w:p>
        </w:tc>
      </w:tr>
      <w:tr>
        <w:tblPrEx>
          <w:tblLayout w:type="fixed"/>
          <w:tblCellMar>
            <w:top w:w="0" w:type="dxa"/>
            <w:left w:w="108" w:type="dxa"/>
            <w:bottom w:w="0" w:type="dxa"/>
            <w:right w:w="108" w:type="dxa"/>
          </w:tblCellMar>
        </w:tblPrEx>
        <w:trPr>
          <w:trHeight w:val="285" w:hRule="atLeast"/>
          <w:jc w:val="center"/>
        </w:trPr>
        <w:tc>
          <w:tcPr>
            <w:tcW w:w="32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普通蝶形引入光缆</w:t>
            </w:r>
          </w:p>
        </w:tc>
        <w:tc>
          <w:tcPr>
            <w:tcW w:w="29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2.0×3.0</w:t>
            </w:r>
          </w:p>
        </w:tc>
        <w:tc>
          <w:tcPr>
            <w:tcW w:w="226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±0.1</w:t>
            </w:r>
          </w:p>
        </w:tc>
      </w:tr>
      <w:tr>
        <w:tblPrEx>
          <w:tblLayout w:type="fixed"/>
          <w:tblCellMar>
            <w:top w:w="0" w:type="dxa"/>
            <w:left w:w="108" w:type="dxa"/>
            <w:bottom w:w="0" w:type="dxa"/>
            <w:right w:w="108" w:type="dxa"/>
          </w:tblCellMar>
        </w:tblPrEx>
        <w:trPr>
          <w:trHeight w:val="735" w:hRule="atLeast"/>
          <w:jc w:val="center"/>
        </w:trPr>
        <w:tc>
          <w:tcPr>
            <w:tcW w:w="8460"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rPr>
                <w:rFonts w:ascii="宋体" w:hAnsi="宋体"/>
                <w:kern w:val="0"/>
              </w:rPr>
            </w:pPr>
            <w:r>
              <w:rPr>
                <w:rFonts w:hint="eastAsia" w:ascii="宋体" w:hAnsi="宋体"/>
                <w:kern w:val="0"/>
              </w:rPr>
              <w:t>注1：H表示普通蝶形引入光缆的短轴长，L表示普通型蝶形引入光缆的长轴长。</w:t>
            </w:r>
            <w:r>
              <w:rPr>
                <w:rFonts w:hint="eastAsia" w:ascii="宋体" w:hAnsi="宋体"/>
                <w:kern w:val="0"/>
              </w:rPr>
              <w:br w:type="textWrapping"/>
            </w:r>
            <w:r>
              <w:rPr>
                <w:rFonts w:hint="eastAsia" w:ascii="宋体" w:hAnsi="宋体"/>
                <w:kern w:val="0"/>
              </w:rPr>
              <w:t xml:space="preserve">注2：对于自承式的光缆，除开吊线部分的尺寸应满足该表的规定。 </w:t>
            </w:r>
          </w:p>
        </w:tc>
      </w:tr>
    </w:tbl>
    <w:p>
      <w:pPr>
        <w:autoSpaceDE w:val="0"/>
        <w:autoSpaceDN w:val="0"/>
        <w:adjustRightInd w:val="0"/>
        <w:spacing w:line="520" w:lineRule="atLeast"/>
        <w:rPr>
          <w:rFonts w:ascii="宋体" w:hAnsi="宋体"/>
          <w:kern w:val="0"/>
        </w:rPr>
      </w:pPr>
      <w:r>
        <w:rPr>
          <w:rFonts w:hint="eastAsia" w:ascii="宋体" w:hAnsi="宋体"/>
          <w:kern w:val="0"/>
        </w:rPr>
        <w:t>每条光缆中的光纤应为同批次的光纤，且应平行位于光缆的正中心。</w:t>
      </w:r>
    </w:p>
    <w:p>
      <w:pPr>
        <w:pStyle w:val="6"/>
        <w:rPr>
          <w:rFonts w:ascii="宋体" w:hAnsi="宋体"/>
          <w:kern w:val="0"/>
          <w:sz w:val="21"/>
        </w:rPr>
      </w:pPr>
      <w:r>
        <w:rPr>
          <w:rFonts w:hint="eastAsia" w:ascii="宋体" w:hAnsi="宋体"/>
          <w:kern w:val="0"/>
          <w:sz w:val="21"/>
        </w:rPr>
        <w:t xml:space="preserve">2.2.2 </w:t>
      </w:r>
      <w:r>
        <w:rPr>
          <w:rFonts w:hint="eastAsia" w:ascii="宋体" w:hAnsi="宋体"/>
          <w:color w:val="000000"/>
          <w:kern w:val="0"/>
          <w:sz w:val="21"/>
        </w:rPr>
        <w:t>光纤识别</w:t>
      </w:r>
    </w:p>
    <w:p>
      <w:pPr>
        <w:autoSpaceDE w:val="0"/>
        <w:autoSpaceDN w:val="0"/>
        <w:adjustRightInd w:val="0"/>
        <w:spacing w:line="520" w:lineRule="atLeast"/>
        <w:ind w:firstLine="630" w:firstLineChars="300"/>
        <w:rPr>
          <w:rFonts w:ascii="宋体" w:hAnsi="宋体"/>
          <w:kern w:val="0"/>
        </w:rPr>
      </w:pPr>
      <w:r>
        <w:rPr>
          <w:rFonts w:hint="eastAsia" w:ascii="宋体" w:hAnsi="宋体"/>
          <w:kern w:val="0"/>
        </w:rPr>
        <w:t>光纤涂覆层可着色，着色层颜色应是符合GB 6995.2规定，单纤可为本色或蓝色；2纤的为蓝、橙2色；4纤的为蓝、橙、绿、棕4色。</w:t>
      </w:r>
    </w:p>
    <w:p>
      <w:pPr>
        <w:pStyle w:val="6"/>
        <w:rPr>
          <w:rFonts w:ascii="宋体" w:hAnsi="宋体"/>
          <w:kern w:val="0"/>
          <w:sz w:val="21"/>
        </w:rPr>
      </w:pPr>
      <w:r>
        <w:rPr>
          <w:rFonts w:hint="eastAsia" w:ascii="宋体" w:hAnsi="宋体"/>
          <w:kern w:val="0"/>
          <w:sz w:val="21"/>
        </w:rPr>
        <w:t>2.2.3 加强构件</w:t>
      </w:r>
    </w:p>
    <w:p>
      <w:pPr>
        <w:autoSpaceDE w:val="0"/>
        <w:autoSpaceDN w:val="0"/>
        <w:adjustRightInd w:val="0"/>
        <w:spacing w:line="520" w:lineRule="atLeast"/>
        <w:rPr>
          <w:rFonts w:ascii="宋体" w:hAnsi="宋体"/>
          <w:kern w:val="0"/>
        </w:rPr>
      </w:pPr>
      <w:r>
        <w:rPr>
          <w:rFonts w:hint="eastAsia" w:ascii="宋体" w:hAnsi="宋体"/>
          <w:kern w:val="0"/>
        </w:rPr>
        <w:t>2.2.3.1 光缆中应对称放置两根相同的加强构件。</w:t>
      </w:r>
    </w:p>
    <w:p>
      <w:pPr>
        <w:autoSpaceDE w:val="0"/>
        <w:autoSpaceDN w:val="0"/>
        <w:adjustRightInd w:val="0"/>
        <w:spacing w:line="520" w:lineRule="atLeast"/>
        <w:ind w:firstLine="630" w:firstLineChars="300"/>
        <w:rPr>
          <w:rFonts w:ascii="宋体" w:hAnsi="宋体"/>
          <w:kern w:val="0"/>
        </w:rPr>
      </w:pPr>
      <w:r>
        <w:rPr>
          <w:rFonts w:hint="eastAsia" w:ascii="宋体" w:hAnsi="宋体"/>
          <w:kern w:val="0"/>
        </w:rPr>
        <w:t>如果使用金属加强构件，可采用高强度不锈钢钢丝或磷化钢丝材质，建议使用钢丝结构。投标方应说明采用的材质。</w:t>
      </w:r>
    </w:p>
    <w:p>
      <w:pPr>
        <w:autoSpaceDE w:val="0"/>
        <w:autoSpaceDN w:val="0"/>
        <w:adjustRightInd w:val="0"/>
        <w:spacing w:line="520" w:lineRule="atLeast"/>
        <w:ind w:firstLine="630" w:firstLineChars="300"/>
        <w:rPr>
          <w:rFonts w:ascii="宋体" w:hAnsi="宋体"/>
          <w:kern w:val="0"/>
        </w:rPr>
      </w:pPr>
      <w:r>
        <w:rPr>
          <w:rFonts w:hint="eastAsia" w:ascii="宋体" w:hAnsi="宋体"/>
          <w:kern w:val="0"/>
        </w:rPr>
        <w:t>如果使用非金属材料，投标方应说明选用材质，例如K-FRP，G-FRP，高模量PE等，并具有足够的杨氏模量和弹性应变范围。</w:t>
      </w:r>
    </w:p>
    <w:p>
      <w:pPr>
        <w:autoSpaceDE w:val="0"/>
        <w:autoSpaceDN w:val="0"/>
        <w:adjustRightInd w:val="0"/>
        <w:spacing w:line="520" w:lineRule="atLeast"/>
        <w:ind w:firstLine="630" w:firstLineChars="300"/>
        <w:rPr>
          <w:rFonts w:ascii="宋体" w:hAnsi="宋体"/>
          <w:kern w:val="0"/>
        </w:rPr>
      </w:pPr>
      <w:r>
        <w:rPr>
          <w:rFonts w:hint="eastAsia" w:ascii="宋体" w:hAnsi="宋体"/>
          <w:kern w:val="0"/>
        </w:rPr>
        <w:t>加强构件应嵌入在护套内，不得外露。在光缆制造长度内，加强构件不允许有接头。若使用K-FRP（芳纶纤维增强塑料杆），其定义和技术要求应参照并满足YD/T 1181的第3部分的要求。</w:t>
      </w:r>
    </w:p>
    <w:p>
      <w:pPr>
        <w:autoSpaceDE w:val="0"/>
        <w:autoSpaceDN w:val="0"/>
        <w:adjustRightInd w:val="0"/>
        <w:spacing w:line="520" w:lineRule="atLeast"/>
        <w:rPr>
          <w:rFonts w:ascii="宋体" w:hAnsi="宋体"/>
          <w:kern w:val="0"/>
        </w:rPr>
      </w:pPr>
      <w:r>
        <w:rPr>
          <w:rFonts w:hint="eastAsia" w:ascii="宋体" w:hAnsi="宋体"/>
          <w:kern w:val="0"/>
        </w:rPr>
        <w:t>2.2.3.2 普通型蝶形引入光缆的加强构件应为2根，平行对称于光缆中。</w:t>
      </w:r>
    </w:p>
    <w:p>
      <w:pPr>
        <w:pStyle w:val="6"/>
        <w:rPr>
          <w:rFonts w:ascii="宋体" w:hAnsi="宋体"/>
          <w:kern w:val="0"/>
          <w:sz w:val="21"/>
        </w:rPr>
      </w:pPr>
      <w:r>
        <w:rPr>
          <w:rFonts w:hint="eastAsia" w:ascii="宋体" w:hAnsi="宋体"/>
          <w:kern w:val="0"/>
          <w:sz w:val="21"/>
        </w:rPr>
        <w:t xml:space="preserve">2.2.4 增强构件 </w:t>
      </w:r>
    </w:p>
    <w:p>
      <w:pPr>
        <w:autoSpaceDE w:val="0"/>
        <w:autoSpaceDN w:val="0"/>
        <w:adjustRightInd w:val="0"/>
        <w:spacing w:line="520" w:lineRule="atLeast"/>
        <w:ind w:firstLine="630" w:firstLineChars="300"/>
        <w:rPr>
          <w:rFonts w:ascii="宋体" w:hAnsi="宋体"/>
          <w:kern w:val="0"/>
        </w:rPr>
      </w:pPr>
      <w:r>
        <w:rPr>
          <w:rFonts w:hint="eastAsia" w:ascii="宋体" w:hAnsi="宋体"/>
          <w:kern w:val="0"/>
        </w:rPr>
        <w:t xml:space="preserve">对于自承式蝶形引入的光缆，光缆中除了应放置加强构件外，一般还应放置增强构件。光缆的增强构件宜为吊线，用以架空敷设时承载大部分的张力。吊线为不锈钢钢丝或纤维增强塑料圆杆。在光缆制造长度内，增强构件不允许有接头。 </w:t>
      </w:r>
    </w:p>
    <w:p>
      <w:pPr>
        <w:autoSpaceDE w:val="0"/>
        <w:autoSpaceDN w:val="0"/>
        <w:adjustRightInd w:val="0"/>
        <w:spacing w:line="520" w:lineRule="atLeast"/>
        <w:rPr>
          <w:rFonts w:ascii="宋体" w:hAnsi="宋体"/>
          <w:kern w:val="0"/>
        </w:rPr>
      </w:pPr>
      <w:r>
        <w:rPr>
          <w:rFonts w:hint="eastAsia" w:ascii="宋体" w:hAnsi="宋体"/>
          <w:kern w:val="0"/>
        </w:rPr>
        <w:t>普通蝶形引入光缆无此要求。</w:t>
      </w:r>
    </w:p>
    <w:p>
      <w:pPr>
        <w:pStyle w:val="6"/>
        <w:rPr>
          <w:rFonts w:ascii="宋体" w:hAnsi="宋体"/>
          <w:kern w:val="0"/>
          <w:sz w:val="21"/>
        </w:rPr>
      </w:pPr>
      <w:r>
        <w:rPr>
          <w:rFonts w:hint="eastAsia" w:ascii="宋体" w:hAnsi="宋体"/>
          <w:kern w:val="0"/>
          <w:sz w:val="21"/>
        </w:rPr>
        <w:t>2.2.5 护套</w:t>
      </w:r>
    </w:p>
    <w:p>
      <w:pPr>
        <w:autoSpaceDE w:val="0"/>
        <w:autoSpaceDN w:val="0"/>
        <w:adjustRightInd w:val="0"/>
        <w:spacing w:line="520" w:lineRule="atLeast"/>
        <w:rPr>
          <w:rFonts w:ascii="宋体" w:hAnsi="宋体"/>
          <w:kern w:val="0"/>
        </w:rPr>
      </w:pPr>
      <w:r>
        <w:rPr>
          <w:rFonts w:hint="eastAsia" w:ascii="宋体" w:hAnsi="宋体"/>
          <w:kern w:val="0"/>
        </w:rPr>
        <w:t>2.2.5.1缆芯（和吊线）外应挤包一层具有保护功能的护套，护套材料可采用低烟无卤阻燃聚烯烃材料。对于低烟无卤阻燃聚烯烃护套，护套材料宜符合YD/T 1113规定。</w:t>
      </w:r>
    </w:p>
    <w:p>
      <w:pPr>
        <w:autoSpaceDE w:val="0"/>
        <w:autoSpaceDN w:val="0"/>
        <w:adjustRightInd w:val="0"/>
        <w:spacing w:line="520" w:lineRule="atLeast"/>
        <w:rPr>
          <w:rFonts w:ascii="宋体" w:hAnsi="宋体"/>
          <w:kern w:val="0"/>
        </w:rPr>
      </w:pPr>
      <w:r>
        <w:rPr>
          <w:rFonts w:hint="eastAsia" w:ascii="宋体" w:hAnsi="宋体"/>
          <w:kern w:val="0"/>
        </w:rPr>
        <w:t>2.2.5.2护套的表面应平整光滑，其断面上应无目力可见的裂纹、气泡和砂眼等缺陷。</w:t>
      </w:r>
    </w:p>
    <w:p>
      <w:pPr>
        <w:autoSpaceDE w:val="0"/>
        <w:autoSpaceDN w:val="0"/>
        <w:adjustRightInd w:val="0"/>
        <w:spacing w:line="520" w:lineRule="atLeast"/>
        <w:rPr>
          <w:rFonts w:ascii="宋体" w:hAnsi="宋体"/>
          <w:kern w:val="0"/>
        </w:rPr>
      </w:pPr>
      <w:r>
        <w:rPr>
          <w:rFonts w:hint="eastAsia" w:ascii="宋体" w:hAnsi="宋体"/>
          <w:kern w:val="0"/>
        </w:rPr>
        <w:t>2.2.5.3护套应连续地挤包在光纤、加强构件上。</w:t>
      </w:r>
    </w:p>
    <w:p>
      <w:pPr>
        <w:autoSpaceDE w:val="0"/>
        <w:autoSpaceDN w:val="0"/>
        <w:adjustRightInd w:val="0"/>
        <w:spacing w:line="520" w:lineRule="atLeast"/>
        <w:rPr>
          <w:rFonts w:ascii="宋体" w:hAnsi="宋体"/>
          <w:kern w:val="0"/>
        </w:rPr>
      </w:pPr>
      <w:r>
        <w:rPr>
          <w:rFonts w:hint="eastAsia" w:ascii="宋体" w:hAnsi="宋体"/>
          <w:kern w:val="0"/>
        </w:rPr>
        <w:t>2.2.5.4加强构件外和增强构件外的护套最小厚度均应不小于0.4mm。</w:t>
      </w:r>
    </w:p>
    <w:p>
      <w:pPr>
        <w:autoSpaceDE w:val="0"/>
        <w:autoSpaceDN w:val="0"/>
        <w:adjustRightInd w:val="0"/>
        <w:spacing w:line="520" w:lineRule="atLeast"/>
        <w:rPr>
          <w:rFonts w:ascii="宋体" w:hAnsi="宋体"/>
          <w:kern w:val="0"/>
        </w:rPr>
      </w:pPr>
      <w:r>
        <w:rPr>
          <w:rFonts w:hint="eastAsia" w:ascii="宋体" w:hAnsi="宋体"/>
          <w:kern w:val="0"/>
        </w:rPr>
        <w:t>2.2.5.5护套颜色按照投标方要求的颜色进行生产(用于室内的蝶形引入光缆，护套颜色宜采用白色或投标方要求的颜色；用于室外的光缆，其护套颜色应为黑色，以抗紫外线)。</w:t>
      </w:r>
    </w:p>
    <w:p>
      <w:pPr>
        <w:autoSpaceDE w:val="0"/>
        <w:autoSpaceDN w:val="0"/>
        <w:adjustRightInd w:val="0"/>
        <w:spacing w:line="520" w:lineRule="atLeast"/>
        <w:rPr>
          <w:rFonts w:ascii="宋体" w:hAnsi="宋体"/>
          <w:kern w:val="0"/>
        </w:rPr>
      </w:pPr>
      <w:r>
        <w:rPr>
          <w:rFonts w:hint="eastAsia" w:ascii="宋体" w:hAnsi="宋体"/>
          <w:kern w:val="0"/>
        </w:rPr>
        <w:t xml:space="preserve">2.2.5.6 光缆护套的机械物理特性应符合表2的规定，若有性能更优的其他材料，经同意后也可采用。 </w:t>
      </w:r>
    </w:p>
    <w:p>
      <w:pPr>
        <w:autoSpaceDE w:val="0"/>
        <w:autoSpaceDN w:val="0"/>
        <w:adjustRightInd w:val="0"/>
        <w:spacing w:line="520" w:lineRule="atLeast"/>
        <w:jc w:val="left"/>
        <w:rPr>
          <w:rFonts w:ascii="宋体" w:hAnsi="宋体"/>
          <w:b/>
          <w:bCs/>
          <w:color w:val="000000"/>
          <w:kern w:val="0"/>
        </w:rPr>
      </w:pPr>
      <w:r>
        <w:rPr>
          <w:rFonts w:hint="eastAsia" w:ascii="宋体" w:hAnsi="宋体"/>
          <w:b/>
          <w:bCs/>
          <w:color w:val="000000"/>
          <w:kern w:val="0"/>
        </w:rPr>
        <w:t>表2：护套的机械物理性能</w:t>
      </w:r>
    </w:p>
    <w:tbl>
      <w:tblPr>
        <w:tblStyle w:val="9"/>
        <w:tblW w:w="8323" w:type="dxa"/>
        <w:jc w:val="center"/>
        <w:tblInd w:w="0" w:type="dxa"/>
        <w:tblLayout w:type="fixed"/>
        <w:tblCellMar>
          <w:top w:w="0" w:type="dxa"/>
          <w:left w:w="108" w:type="dxa"/>
          <w:bottom w:w="0" w:type="dxa"/>
          <w:right w:w="108" w:type="dxa"/>
        </w:tblCellMar>
      </w:tblPr>
      <w:tblGrid>
        <w:gridCol w:w="612"/>
        <w:gridCol w:w="4146"/>
        <w:gridCol w:w="730"/>
        <w:gridCol w:w="2835"/>
      </w:tblGrid>
      <w:tr>
        <w:tblPrEx>
          <w:tblLayout w:type="fixed"/>
          <w:tblCellMar>
            <w:top w:w="0" w:type="dxa"/>
            <w:left w:w="108" w:type="dxa"/>
            <w:bottom w:w="0" w:type="dxa"/>
            <w:right w:w="108" w:type="dxa"/>
          </w:tblCellMar>
        </w:tblPrEx>
        <w:trPr>
          <w:trHeight w:val="345" w:hRule="atLeast"/>
          <w:jc w:val="center"/>
        </w:trPr>
        <w:tc>
          <w:tcPr>
            <w:tcW w:w="612" w:type="dxa"/>
            <w:vMerge w:val="restart"/>
            <w:tcBorders>
              <w:top w:val="single" w:color="000000" w:sz="4" w:space="0"/>
              <w:left w:val="single" w:color="000000" w:sz="4" w:space="0"/>
              <w:bottom w:val="nil"/>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序号</w:t>
            </w:r>
          </w:p>
        </w:tc>
        <w:tc>
          <w:tcPr>
            <w:tcW w:w="4146" w:type="dxa"/>
            <w:vMerge w:val="restart"/>
            <w:tcBorders>
              <w:top w:val="single" w:color="000000" w:sz="4" w:space="0"/>
              <w:left w:val="nil"/>
              <w:bottom w:val="nil"/>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项 目</w:t>
            </w:r>
          </w:p>
        </w:tc>
        <w:tc>
          <w:tcPr>
            <w:tcW w:w="730" w:type="dxa"/>
            <w:vMerge w:val="restart"/>
            <w:tcBorders>
              <w:top w:val="single" w:color="000000" w:sz="4" w:space="0"/>
              <w:left w:val="nil"/>
              <w:bottom w:val="nil"/>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单位</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指 标</w:t>
            </w:r>
          </w:p>
        </w:tc>
      </w:tr>
      <w:tr>
        <w:tblPrEx>
          <w:tblLayout w:type="fixed"/>
          <w:tblCellMar>
            <w:top w:w="0" w:type="dxa"/>
            <w:left w:w="108" w:type="dxa"/>
            <w:bottom w:w="0" w:type="dxa"/>
            <w:right w:w="108" w:type="dxa"/>
          </w:tblCellMar>
        </w:tblPrEx>
        <w:trPr>
          <w:trHeight w:val="213" w:hRule="atLeast"/>
          <w:jc w:val="center"/>
        </w:trPr>
        <w:tc>
          <w:tcPr>
            <w:tcW w:w="612" w:type="dxa"/>
            <w:vMerge w:val="continue"/>
            <w:tcBorders>
              <w:top w:val="single" w:color="000000" w:sz="4" w:space="0"/>
              <w:left w:val="single" w:color="000000" w:sz="4" w:space="0"/>
              <w:bottom w:val="nil"/>
              <w:right w:val="single" w:color="000000" w:sz="4" w:space="0"/>
            </w:tcBorders>
            <w:vAlign w:val="center"/>
          </w:tcPr>
          <w:p>
            <w:pPr>
              <w:widowControl/>
              <w:jc w:val="left"/>
              <w:rPr>
                <w:rFonts w:ascii="宋体" w:hAnsi="宋体"/>
                <w:kern w:val="0"/>
              </w:rPr>
            </w:pPr>
          </w:p>
        </w:tc>
        <w:tc>
          <w:tcPr>
            <w:tcW w:w="4146" w:type="dxa"/>
            <w:vMerge w:val="continue"/>
            <w:tcBorders>
              <w:top w:val="single" w:color="000000" w:sz="4" w:space="0"/>
              <w:left w:val="nil"/>
              <w:bottom w:val="nil"/>
              <w:right w:val="single" w:color="000000" w:sz="4" w:space="0"/>
            </w:tcBorders>
            <w:vAlign w:val="center"/>
          </w:tcPr>
          <w:p>
            <w:pPr>
              <w:widowControl/>
              <w:jc w:val="left"/>
              <w:rPr>
                <w:rFonts w:ascii="宋体" w:hAnsi="宋体"/>
                <w:kern w:val="0"/>
              </w:rPr>
            </w:pPr>
          </w:p>
        </w:tc>
        <w:tc>
          <w:tcPr>
            <w:tcW w:w="730" w:type="dxa"/>
            <w:vMerge w:val="continue"/>
            <w:tcBorders>
              <w:top w:val="single" w:color="000000" w:sz="4" w:space="0"/>
              <w:left w:val="nil"/>
              <w:bottom w:val="nil"/>
              <w:right w:val="single" w:color="000000" w:sz="4" w:space="0"/>
            </w:tcBorders>
            <w:vAlign w:val="center"/>
          </w:tcPr>
          <w:p>
            <w:pPr>
              <w:widowControl/>
              <w:jc w:val="left"/>
              <w:rPr>
                <w:rFonts w:ascii="宋体" w:hAnsi="宋体"/>
                <w:kern w:val="0"/>
              </w:rPr>
            </w:pP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阻燃聚烯烃</w:t>
            </w:r>
          </w:p>
        </w:tc>
      </w:tr>
      <w:tr>
        <w:tblPrEx>
          <w:tblLayout w:type="fixed"/>
          <w:tblCellMar>
            <w:top w:w="0" w:type="dxa"/>
            <w:left w:w="108" w:type="dxa"/>
            <w:bottom w:w="0" w:type="dxa"/>
            <w:right w:w="108" w:type="dxa"/>
          </w:tblCellMar>
        </w:tblPrEx>
        <w:trPr>
          <w:trHeight w:val="337" w:hRule="atLeast"/>
          <w:jc w:val="center"/>
        </w:trPr>
        <w:tc>
          <w:tcPr>
            <w:tcW w:w="612" w:type="dxa"/>
            <w:vMerge w:val="restart"/>
            <w:tcBorders>
              <w:top w:val="nil"/>
              <w:left w:val="single" w:color="auto" w:sz="4" w:space="0"/>
              <w:bottom w:val="nil"/>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1</w:t>
            </w:r>
          </w:p>
        </w:tc>
        <w:tc>
          <w:tcPr>
            <w:tcW w:w="4146" w:type="dxa"/>
            <w:tcBorders>
              <w:top w:val="single" w:color="auto" w:sz="4" w:space="0"/>
              <w:left w:val="nil"/>
              <w:bottom w:val="single" w:color="000000" w:sz="4" w:space="0"/>
              <w:right w:val="single" w:color="auto" w:sz="4" w:space="0"/>
            </w:tcBorders>
            <w:vAlign w:val="center"/>
          </w:tcPr>
          <w:p>
            <w:pPr>
              <w:autoSpaceDE w:val="0"/>
              <w:autoSpaceDN w:val="0"/>
              <w:adjustRightInd w:val="0"/>
              <w:jc w:val="center"/>
              <w:rPr>
                <w:rFonts w:ascii="宋体" w:hAnsi="宋体"/>
                <w:kern w:val="0"/>
              </w:rPr>
            </w:pPr>
            <w:r>
              <w:rPr>
                <w:rFonts w:hint="eastAsia" w:ascii="宋体" w:hAnsi="宋体"/>
                <w:kern w:val="0"/>
              </w:rPr>
              <w:t>抗拉强度 热老化处理前 （最小值）</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MPa</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10.0</w:t>
            </w:r>
          </w:p>
        </w:tc>
      </w:tr>
      <w:tr>
        <w:tblPrEx>
          <w:tblLayout w:type="fixed"/>
          <w:tblCellMar>
            <w:top w:w="0" w:type="dxa"/>
            <w:left w:w="108" w:type="dxa"/>
            <w:bottom w:w="0" w:type="dxa"/>
            <w:right w:w="108" w:type="dxa"/>
          </w:tblCellMar>
        </w:tblPrEx>
        <w:trPr>
          <w:trHeight w:val="335" w:hRule="atLeast"/>
          <w:jc w:val="center"/>
        </w:trPr>
        <w:tc>
          <w:tcPr>
            <w:tcW w:w="612" w:type="dxa"/>
            <w:vMerge w:val="continue"/>
            <w:tcBorders>
              <w:top w:val="nil"/>
              <w:left w:val="single" w:color="auto" w:sz="4" w:space="0"/>
              <w:bottom w:val="nil"/>
              <w:right w:val="single" w:color="000000" w:sz="4" w:space="0"/>
            </w:tcBorders>
            <w:vAlign w:val="center"/>
          </w:tcPr>
          <w:p>
            <w:pPr>
              <w:widowControl/>
              <w:jc w:val="left"/>
              <w:rPr>
                <w:rFonts w:ascii="宋体" w:hAnsi="宋体"/>
                <w:kern w:val="0"/>
              </w:rPr>
            </w:pPr>
          </w:p>
        </w:tc>
        <w:tc>
          <w:tcPr>
            <w:tcW w:w="4146" w:type="dxa"/>
            <w:tcBorders>
              <w:top w:val="single" w:color="000000" w:sz="4" w:space="0"/>
              <w:left w:val="nil"/>
              <w:bottom w:val="single" w:color="auto" w:sz="4" w:space="0"/>
              <w:right w:val="single" w:color="auto" w:sz="4" w:space="0"/>
            </w:tcBorders>
            <w:vAlign w:val="center"/>
          </w:tcPr>
          <w:p>
            <w:pPr>
              <w:autoSpaceDE w:val="0"/>
              <w:autoSpaceDN w:val="0"/>
              <w:adjustRightInd w:val="0"/>
              <w:jc w:val="center"/>
              <w:rPr>
                <w:rFonts w:ascii="宋体" w:hAnsi="宋体"/>
                <w:kern w:val="0"/>
              </w:rPr>
            </w:pPr>
            <w:r>
              <w:rPr>
                <w:rFonts w:hint="eastAsia" w:ascii="宋体" w:hAnsi="宋体"/>
                <w:kern w:val="0"/>
              </w:rPr>
              <w:t>热老化处理后变化率∣TS∣ （最大值）</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20</w:t>
            </w:r>
          </w:p>
        </w:tc>
      </w:tr>
      <w:tr>
        <w:tblPrEx>
          <w:tblLayout w:type="fixed"/>
          <w:tblCellMar>
            <w:top w:w="0" w:type="dxa"/>
            <w:left w:w="108" w:type="dxa"/>
            <w:bottom w:w="0" w:type="dxa"/>
            <w:right w:w="108" w:type="dxa"/>
          </w:tblCellMar>
        </w:tblPrEx>
        <w:trPr>
          <w:trHeight w:val="335" w:hRule="atLeast"/>
          <w:jc w:val="center"/>
        </w:trPr>
        <w:tc>
          <w:tcPr>
            <w:tcW w:w="612" w:type="dxa"/>
            <w:vMerge w:val="continue"/>
            <w:tcBorders>
              <w:top w:val="nil"/>
              <w:left w:val="single" w:color="auto" w:sz="4" w:space="0"/>
              <w:bottom w:val="nil"/>
              <w:right w:val="single" w:color="000000" w:sz="4" w:space="0"/>
            </w:tcBorders>
            <w:vAlign w:val="center"/>
          </w:tcPr>
          <w:p>
            <w:pPr>
              <w:widowControl/>
              <w:jc w:val="left"/>
              <w:rPr>
                <w:rFonts w:ascii="宋体" w:hAnsi="宋体"/>
                <w:kern w:val="0"/>
              </w:rPr>
            </w:pPr>
          </w:p>
        </w:tc>
        <w:tc>
          <w:tcPr>
            <w:tcW w:w="4146" w:type="dxa"/>
            <w:tcBorders>
              <w:top w:val="single" w:color="auto"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热老化处理温度</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ºC</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100±2</w:t>
            </w:r>
          </w:p>
        </w:tc>
      </w:tr>
      <w:tr>
        <w:tblPrEx>
          <w:tblLayout w:type="fixed"/>
          <w:tblCellMar>
            <w:top w:w="0" w:type="dxa"/>
            <w:left w:w="108" w:type="dxa"/>
            <w:bottom w:w="0" w:type="dxa"/>
            <w:right w:w="108" w:type="dxa"/>
          </w:tblCellMar>
        </w:tblPrEx>
        <w:trPr>
          <w:trHeight w:val="335" w:hRule="atLeast"/>
          <w:jc w:val="center"/>
        </w:trPr>
        <w:tc>
          <w:tcPr>
            <w:tcW w:w="612" w:type="dxa"/>
            <w:vMerge w:val="continue"/>
            <w:tcBorders>
              <w:top w:val="nil"/>
              <w:left w:val="single" w:color="auto" w:sz="4" w:space="0"/>
              <w:bottom w:val="nil"/>
              <w:right w:val="single" w:color="000000" w:sz="4" w:space="0"/>
            </w:tcBorders>
            <w:vAlign w:val="center"/>
          </w:tcPr>
          <w:p>
            <w:pPr>
              <w:widowControl/>
              <w:jc w:val="left"/>
              <w:rPr>
                <w:rFonts w:ascii="宋体" w:hAnsi="宋体"/>
                <w:kern w:val="0"/>
              </w:rPr>
            </w:pP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热老化处理时间</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h</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24×10</w:t>
            </w:r>
          </w:p>
        </w:tc>
      </w:tr>
      <w:tr>
        <w:tblPrEx>
          <w:tblLayout w:type="fixed"/>
          <w:tblCellMar>
            <w:top w:w="0" w:type="dxa"/>
            <w:left w:w="108" w:type="dxa"/>
            <w:bottom w:w="0" w:type="dxa"/>
            <w:right w:w="108" w:type="dxa"/>
          </w:tblCellMar>
        </w:tblPrEx>
        <w:trPr>
          <w:trHeight w:val="335" w:hRule="atLeast"/>
          <w:jc w:val="center"/>
        </w:trPr>
        <w:tc>
          <w:tcPr>
            <w:tcW w:w="612" w:type="dxa"/>
            <w:vMerge w:val="restart"/>
            <w:tcBorders>
              <w:top w:val="nil"/>
              <w:left w:val="single" w:color="000000" w:sz="4" w:space="0"/>
              <w:bottom w:val="nil"/>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2</w:t>
            </w: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断裂伸长率 热老化处理前 （最小值）</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125</w:t>
            </w:r>
          </w:p>
        </w:tc>
      </w:tr>
      <w:tr>
        <w:tblPrEx>
          <w:tblLayout w:type="fixed"/>
          <w:tblCellMar>
            <w:top w:w="0" w:type="dxa"/>
            <w:left w:w="108" w:type="dxa"/>
            <w:bottom w:w="0" w:type="dxa"/>
            <w:right w:w="108" w:type="dxa"/>
          </w:tblCellMar>
        </w:tblPrEx>
        <w:trPr>
          <w:trHeight w:val="335" w:hRule="atLeast"/>
          <w:jc w:val="center"/>
        </w:trPr>
        <w:tc>
          <w:tcPr>
            <w:tcW w:w="612" w:type="dxa"/>
            <w:vMerge w:val="continue"/>
            <w:tcBorders>
              <w:top w:val="nil"/>
              <w:left w:val="single" w:color="000000" w:sz="4" w:space="0"/>
              <w:bottom w:val="nil"/>
              <w:right w:val="single" w:color="000000" w:sz="4" w:space="0"/>
            </w:tcBorders>
            <w:vAlign w:val="center"/>
          </w:tcPr>
          <w:p>
            <w:pPr>
              <w:widowControl/>
              <w:jc w:val="left"/>
              <w:rPr>
                <w:rFonts w:ascii="宋体" w:hAnsi="宋体"/>
                <w:kern w:val="0"/>
              </w:rPr>
            </w:pP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热老化处理后 （最小值）</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100</w:t>
            </w:r>
          </w:p>
        </w:tc>
      </w:tr>
      <w:tr>
        <w:tblPrEx>
          <w:tblLayout w:type="fixed"/>
          <w:tblCellMar>
            <w:top w:w="0" w:type="dxa"/>
            <w:left w:w="108" w:type="dxa"/>
            <w:bottom w:w="0" w:type="dxa"/>
            <w:right w:w="108" w:type="dxa"/>
          </w:tblCellMar>
        </w:tblPrEx>
        <w:trPr>
          <w:trHeight w:val="337" w:hRule="atLeast"/>
          <w:jc w:val="center"/>
        </w:trPr>
        <w:tc>
          <w:tcPr>
            <w:tcW w:w="612" w:type="dxa"/>
            <w:vMerge w:val="continue"/>
            <w:tcBorders>
              <w:top w:val="nil"/>
              <w:left w:val="single" w:color="000000" w:sz="4" w:space="0"/>
              <w:bottom w:val="nil"/>
              <w:right w:val="single" w:color="000000" w:sz="4" w:space="0"/>
            </w:tcBorders>
            <w:vAlign w:val="center"/>
          </w:tcPr>
          <w:p>
            <w:pPr>
              <w:widowControl/>
              <w:jc w:val="left"/>
              <w:rPr>
                <w:rFonts w:ascii="宋体" w:hAnsi="宋体"/>
                <w:kern w:val="0"/>
              </w:rPr>
            </w:pP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热老化前后变化率∣EB∣ （最大值）</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20</w:t>
            </w:r>
          </w:p>
        </w:tc>
      </w:tr>
      <w:tr>
        <w:tblPrEx>
          <w:tblLayout w:type="fixed"/>
          <w:tblCellMar>
            <w:top w:w="0" w:type="dxa"/>
            <w:left w:w="108" w:type="dxa"/>
            <w:bottom w:w="0" w:type="dxa"/>
            <w:right w:w="108" w:type="dxa"/>
          </w:tblCellMar>
        </w:tblPrEx>
        <w:trPr>
          <w:trHeight w:val="335" w:hRule="atLeast"/>
          <w:jc w:val="center"/>
        </w:trPr>
        <w:tc>
          <w:tcPr>
            <w:tcW w:w="612" w:type="dxa"/>
            <w:vMerge w:val="continue"/>
            <w:tcBorders>
              <w:top w:val="nil"/>
              <w:left w:val="single" w:color="000000" w:sz="4" w:space="0"/>
              <w:bottom w:val="nil"/>
              <w:right w:val="single" w:color="000000" w:sz="4" w:space="0"/>
            </w:tcBorders>
            <w:vAlign w:val="center"/>
          </w:tcPr>
          <w:p>
            <w:pPr>
              <w:widowControl/>
              <w:jc w:val="left"/>
              <w:rPr>
                <w:rFonts w:ascii="宋体" w:hAnsi="宋体"/>
                <w:kern w:val="0"/>
              </w:rPr>
            </w:pP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热老化处理温度</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ºC</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100±2</w:t>
            </w:r>
          </w:p>
        </w:tc>
      </w:tr>
      <w:tr>
        <w:tblPrEx>
          <w:tblLayout w:type="fixed"/>
          <w:tblCellMar>
            <w:top w:w="0" w:type="dxa"/>
            <w:left w:w="108" w:type="dxa"/>
            <w:bottom w:w="0" w:type="dxa"/>
            <w:right w:w="108" w:type="dxa"/>
          </w:tblCellMar>
        </w:tblPrEx>
        <w:trPr>
          <w:trHeight w:val="335" w:hRule="atLeast"/>
          <w:jc w:val="center"/>
        </w:trPr>
        <w:tc>
          <w:tcPr>
            <w:tcW w:w="612" w:type="dxa"/>
            <w:vMerge w:val="continue"/>
            <w:tcBorders>
              <w:top w:val="nil"/>
              <w:left w:val="single" w:color="000000" w:sz="4" w:space="0"/>
              <w:bottom w:val="nil"/>
              <w:right w:val="single" w:color="000000" w:sz="4" w:space="0"/>
            </w:tcBorders>
            <w:vAlign w:val="center"/>
          </w:tcPr>
          <w:p>
            <w:pPr>
              <w:widowControl/>
              <w:jc w:val="left"/>
              <w:rPr>
                <w:rFonts w:ascii="宋体" w:hAnsi="宋体"/>
                <w:kern w:val="0"/>
              </w:rPr>
            </w:pP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热老化处理时间</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h</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24×10</w:t>
            </w:r>
          </w:p>
        </w:tc>
      </w:tr>
      <w:tr>
        <w:tblPrEx>
          <w:tblLayout w:type="fixed"/>
          <w:tblCellMar>
            <w:top w:w="0" w:type="dxa"/>
            <w:left w:w="108" w:type="dxa"/>
            <w:bottom w:w="0" w:type="dxa"/>
            <w:right w:w="108" w:type="dxa"/>
          </w:tblCellMar>
        </w:tblPrEx>
        <w:trPr>
          <w:trHeight w:val="335" w:hRule="atLeast"/>
          <w:jc w:val="center"/>
        </w:trPr>
        <w:tc>
          <w:tcPr>
            <w:tcW w:w="612" w:type="dxa"/>
            <w:vMerge w:val="restart"/>
            <w:tcBorders>
              <w:top w:val="nil"/>
              <w:left w:val="single" w:color="000000" w:sz="4" w:space="0"/>
              <w:bottom w:val="nil"/>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3</w:t>
            </w: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耐热冲击</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w:t>
            </w:r>
          </w:p>
        </w:tc>
      </w:tr>
      <w:tr>
        <w:tblPrEx>
          <w:tblLayout w:type="fixed"/>
          <w:tblCellMar>
            <w:top w:w="0" w:type="dxa"/>
            <w:left w:w="108" w:type="dxa"/>
            <w:bottom w:w="0" w:type="dxa"/>
            <w:right w:w="108" w:type="dxa"/>
          </w:tblCellMar>
        </w:tblPrEx>
        <w:trPr>
          <w:trHeight w:val="335" w:hRule="atLeast"/>
          <w:jc w:val="center"/>
        </w:trPr>
        <w:tc>
          <w:tcPr>
            <w:tcW w:w="612" w:type="dxa"/>
            <w:vMerge w:val="continue"/>
            <w:tcBorders>
              <w:top w:val="nil"/>
              <w:left w:val="single" w:color="000000" w:sz="4" w:space="0"/>
              <w:bottom w:val="nil"/>
              <w:right w:val="single" w:color="000000" w:sz="4" w:space="0"/>
            </w:tcBorders>
            <w:vAlign w:val="center"/>
          </w:tcPr>
          <w:p>
            <w:pPr>
              <w:widowControl/>
              <w:jc w:val="left"/>
              <w:rPr>
                <w:rFonts w:ascii="宋体" w:hAnsi="宋体"/>
                <w:kern w:val="0"/>
              </w:rPr>
            </w:pP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热处理温度</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ºC</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w:t>
            </w:r>
          </w:p>
        </w:tc>
      </w:tr>
      <w:tr>
        <w:tblPrEx>
          <w:tblLayout w:type="fixed"/>
          <w:tblCellMar>
            <w:top w:w="0" w:type="dxa"/>
            <w:left w:w="108" w:type="dxa"/>
            <w:bottom w:w="0" w:type="dxa"/>
            <w:right w:w="108" w:type="dxa"/>
          </w:tblCellMar>
        </w:tblPrEx>
        <w:trPr>
          <w:trHeight w:val="335" w:hRule="atLeast"/>
          <w:jc w:val="center"/>
        </w:trPr>
        <w:tc>
          <w:tcPr>
            <w:tcW w:w="612" w:type="dxa"/>
            <w:vMerge w:val="continue"/>
            <w:tcBorders>
              <w:top w:val="nil"/>
              <w:left w:val="single" w:color="000000" w:sz="4" w:space="0"/>
              <w:bottom w:val="nil"/>
              <w:right w:val="single" w:color="000000" w:sz="4" w:space="0"/>
            </w:tcBorders>
            <w:vAlign w:val="center"/>
          </w:tcPr>
          <w:p>
            <w:pPr>
              <w:widowControl/>
              <w:jc w:val="left"/>
              <w:rPr>
                <w:rFonts w:ascii="宋体" w:hAnsi="宋体"/>
                <w:kern w:val="0"/>
              </w:rPr>
            </w:pP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热处理时间</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h</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p>
        </w:tc>
      </w:tr>
      <w:tr>
        <w:tblPrEx>
          <w:tblLayout w:type="fixed"/>
          <w:tblCellMar>
            <w:top w:w="0" w:type="dxa"/>
            <w:left w:w="108" w:type="dxa"/>
            <w:bottom w:w="0" w:type="dxa"/>
            <w:right w:w="108" w:type="dxa"/>
          </w:tblCellMar>
        </w:tblPrEx>
        <w:trPr>
          <w:trHeight w:val="340" w:hRule="atLeast"/>
          <w:jc w:val="center"/>
        </w:trPr>
        <w:tc>
          <w:tcPr>
            <w:tcW w:w="6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4</w:t>
            </w:r>
          </w:p>
        </w:tc>
        <w:tc>
          <w:tcPr>
            <w:tcW w:w="4146"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耐环境应力开裂（50ºC，96h）</w:t>
            </w:r>
          </w:p>
        </w:tc>
        <w:tc>
          <w:tcPr>
            <w:tcW w:w="730"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个</w:t>
            </w:r>
          </w:p>
        </w:tc>
        <w:tc>
          <w:tcPr>
            <w:tcW w:w="2835" w:type="dxa"/>
            <w:tcBorders>
              <w:top w:val="single" w:color="000000" w:sz="4" w:space="0"/>
              <w:left w:val="nil"/>
              <w:bottom w:val="single" w:color="000000" w:sz="4" w:space="0"/>
              <w:right w:val="single" w:color="000000" w:sz="4" w:space="0"/>
            </w:tcBorders>
            <w:vAlign w:val="center"/>
          </w:tcPr>
          <w:p>
            <w:pPr>
              <w:autoSpaceDE w:val="0"/>
              <w:autoSpaceDN w:val="0"/>
              <w:adjustRightInd w:val="0"/>
              <w:jc w:val="center"/>
              <w:rPr>
                <w:rFonts w:ascii="宋体" w:hAnsi="宋体"/>
                <w:kern w:val="0"/>
              </w:rPr>
            </w:pPr>
            <w:r>
              <w:rPr>
                <w:rFonts w:hint="eastAsia" w:ascii="宋体" w:hAnsi="宋体"/>
                <w:kern w:val="0"/>
              </w:rPr>
              <w:t>0/10</w:t>
            </w:r>
          </w:p>
        </w:tc>
      </w:tr>
    </w:tbl>
    <w:p>
      <w:pPr>
        <w:autoSpaceDE w:val="0"/>
        <w:autoSpaceDN w:val="0"/>
        <w:adjustRightInd w:val="0"/>
        <w:spacing w:line="520" w:lineRule="atLeast"/>
        <w:rPr>
          <w:rFonts w:ascii="宋体" w:hAnsi="宋体"/>
          <w:kern w:val="0"/>
        </w:rPr>
      </w:pPr>
      <w:r>
        <w:rPr>
          <w:rFonts w:hint="eastAsia" w:ascii="宋体" w:hAnsi="宋体"/>
          <w:kern w:val="0"/>
        </w:rPr>
        <w:t>2.2.6 蝶形引入光缆机械特性指标（见表3）</w:t>
      </w:r>
    </w:p>
    <w:p>
      <w:pPr>
        <w:autoSpaceDE w:val="0"/>
        <w:autoSpaceDN w:val="0"/>
        <w:adjustRightInd w:val="0"/>
        <w:spacing w:line="520" w:lineRule="atLeast"/>
        <w:rPr>
          <w:rFonts w:ascii="宋体" w:hAnsi="宋体"/>
          <w:b/>
          <w:bCs/>
          <w:kern w:val="0"/>
        </w:rPr>
      </w:pPr>
      <w:r>
        <w:rPr>
          <w:rFonts w:hint="eastAsia" w:ascii="宋体" w:hAnsi="宋体"/>
          <w:b/>
          <w:bCs/>
          <w:kern w:val="0"/>
        </w:rPr>
        <w:t>表3：蝶形引入光缆机械特性指标</w:t>
      </w:r>
    </w:p>
    <w:tbl>
      <w:tblPr>
        <w:tblStyle w:val="9"/>
        <w:tblW w:w="8536" w:type="dxa"/>
        <w:jc w:val="center"/>
        <w:tblInd w:w="0" w:type="dxa"/>
        <w:tblLayout w:type="fixed"/>
        <w:tblCellMar>
          <w:top w:w="0" w:type="dxa"/>
          <w:left w:w="108" w:type="dxa"/>
          <w:bottom w:w="0" w:type="dxa"/>
          <w:right w:w="108" w:type="dxa"/>
        </w:tblCellMar>
      </w:tblPr>
      <w:tblGrid>
        <w:gridCol w:w="867"/>
        <w:gridCol w:w="2401"/>
        <w:gridCol w:w="939"/>
        <w:gridCol w:w="1009"/>
        <w:gridCol w:w="883"/>
        <w:gridCol w:w="927"/>
        <w:gridCol w:w="1490"/>
        <w:gridCol w:w="20"/>
      </w:tblGrid>
      <w:tr>
        <w:tblPrEx>
          <w:tblLayout w:type="fixed"/>
          <w:tblCellMar>
            <w:top w:w="0" w:type="dxa"/>
            <w:left w:w="108" w:type="dxa"/>
            <w:bottom w:w="0" w:type="dxa"/>
            <w:right w:w="108" w:type="dxa"/>
          </w:tblCellMar>
        </w:tblPrEx>
        <w:trPr>
          <w:trHeight w:val="285" w:hRule="atLeast"/>
          <w:jc w:val="center"/>
        </w:trPr>
        <w:tc>
          <w:tcPr>
            <w:tcW w:w="326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73" w:lineRule="auto"/>
              <w:jc w:val="center"/>
              <w:rPr>
                <w:rFonts w:ascii="宋体" w:hAnsi="宋体"/>
                <w:b/>
                <w:bCs/>
                <w:kern w:val="0"/>
              </w:rPr>
            </w:pPr>
            <w:r>
              <w:rPr>
                <w:rFonts w:hint="eastAsia" w:ascii="宋体" w:hAnsi="宋体"/>
                <w:b/>
                <w:bCs/>
                <w:kern w:val="0"/>
              </w:rPr>
              <w:t>受力时间</w:t>
            </w:r>
          </w:p>
        </w:tc>
        <w:tc>
          <w:tcPr>
            <w:tcW w:w="1948"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spacing w:line="273" w:lineRule="auto"/>
              <w:jc w:val="center"/>
              <w:rPr>
                <w:rFonts w:ascii="宋体" w:hAnsi="宋体"/>
                <w:b/>
                <w:bCs/>
                <w:kern w:val="0"/>
              </w:rPr>
            </w:pPr>
            <w:r>
              <w:rPr>
                <w:rFonts w:hint="eastAsia" w:ascii="宋体" w:hAnsi="宋体"/>
                <w:b/>
                <w:bCs/>
                <w:kern w:val="0"/>
              </w:rPr>
              <w:t>拉伸力(N)</w:t>
            </w:r>
          </w:p>
        </w:tc>
        <w:tc>
          <w:tcPr>
            <w:tcW w:w="1810"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spacing w:line="273" w:lineRule="auto"/>
              <w:jc w:val="center"/>
              <w:rPr>
                <w:rFonts w:ascii="宋体" w:hAnsi="宋体"/>
                <w:b/>
                <w:bCs/>
                <w:kern w:val="0"/>
              </w:rPr>
            </w:pPr>
            <w:r>
              <w:rPr>
                <w:rFonts w:hint="eastAsia" w:ascii="宋体" w:hAnsi="宋体"/>
                <w:b/>
                <w:bCs/>
                <w:kern w:val="0"/>
              </w:rPr>
              <w:t>压扁力(N/100mm)</w:t>
            </w:r>
          </w:p>
        </w:tc>
        <w:tc>
          <w:tcPr>
            <w:tcW w:w="1510"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spacing w:line="273" w:lineRule="auto"/>
              <w:jc w:val="center"/>
              <w:rPr>
                <w:rFonts w:ascii="宋体" w:hAnsi="宋体"/>
                <w:b/>
                <w:bCs/>
                <w:kern w:val="0"/>
              </w:rPr>
            </w:pPr>
            <w:r>
              <w:rPr>
                <w:rFonts w:hint="eastAsia" w:ascii="宋体" w:hAnsi="宋体"/>
                <w:b/>
                <w:bCs/>
                <w:kern w:val="0"/>
              </w:rPr>
              <w:t>适用护层形式</w:t>
            </w:r>
          </w:p>
        </w:tc>
      </w:tr>
      <w:tr>
        <w:tblPrEx>
          <w:tblLayout w:type="fixed"/>
          <w:tblCellMar>
            <w:top w:w="0" w:type="dxa"/>
            <w:left w:w="108" w:type="dxa"/>
            <w:bottom w:w="0" w:type="dxa"/>
            <w:right w:w="108" w:type="dxa"/>
          </w:tblCellMar>
        </w:tblPrEx>
        <w:trPr>
          <w:gridAfter w:val="1"/>
          <w:wAfter w:w="20" w:type="dxa"/>
          <w:trHeight w:val="285" w:hRule="atLeast"/>
          <w:jc w:val="center"/>
        </w:trPr>
        <w:tc>
          <w:tcPr>
            <w:tcW w:w="326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p>
        </w:tc>
        <w:tc>
          <w:tcPr>
            <w:tcW w:w="939"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短期</w:t>
            </w:r>
          </w:p>
        </w:tc>
        <w:tc>
          <w:tcPr>
            <w:tcW w:w="1009"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长期</w:t>
            </w:r>
          </w:p>
        </w:tc>
        <w:tc>
          <w:tcPr>
            <w:tcW w:w="8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短期</w:t>
            </w:r>
          </w:p>
        </w:tc>
        <w:tc>
          <w:tcPr>
            <w:tcW w:w="927"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长期</w:t>
            </w:r>
          </w:p>
        </w:tc>
        <w:tc>
          <w:tcPr>
            <w:tcW w:w="149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p>
        </w:tc>
      </w:tr>
      <w:tr>
        <w:tblPrEx>
          <w:tblLayout w:type="fixed"/>
          <w:tblCellMar>
            <w:top w:w="0" w:type="dxa"/>
            <w:left w:w="108" w:type="dxa"/>
            <w:bottom w:w="0" w:type="dxa"/>
            <w:right w:w="108" w:type="dxa"/>
          </w:tblCellMar>
        </w:tblPrEx>
        <w:trPr>
          <w:trHeight w:val="285" w:hRule="atLeast"/>
          <w:jc w:val="center"/>
        </w:trPr>
        <w:tc>
          <w:tcPr>
            <w:tcW w:w="867" w:type="dxa"/>
            <w:vMerge w:val="restart"/>
            <w:tcBorders>
              <w:top w:val="nil"/>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室内</w:t>
            </w:r>
          </w:p>
        </w:tc>
        <w:tc>
          <w:tcPr>
            <w:tcW w:w="2401"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非金属加强件</w:t>
            </w:r>
          </w:p>
        </w:tc>
        <w:tc>
          <w:tcPr>
            <w:tcW w:w="939"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80</w:t>
            </w:r>
          </w:p>
        </w:tc>
        <w:tc>
          <w:tcPr>
            <w:tcW w:w="1009"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40</w:t>
            </w:r>
          </w:p>
        </w:tc>
        <w:tc>
          <w:tcPr>
            <w:tcW w:w="8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1000</w:t>
            </w:r>
          </w:p>
        </w:tc>
        <w:tc>
          <w:tcPr>
            <w:tcW w:w="927"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500</w:t>
            </w:r>
          </w:p>
        </w:tc>
        <w:tc>
          <w:tcPr>
            <w:tcW w:w="1510" w:type="dxa"/>
            <w:gridSpan w:val="2"/>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H</w:t>
            </w:r>
          </w:p>
        </w:tc>
      </w:tr>
      <w:tr>
        <w:tblPrEx>
          <w:tblLayout w:type="fixed"/>
          <w:tblCellMar>
            <w:top w:w="0" w:type="dxa"/>
            <w:left w:w="108" w:type="dxa"/>
            <w:bottom w:w="0" w:type="dxa"/>
            <w:right w:w="108" w:type="dxa"/>
          </w:tblCellMar>
        </w:tblPrEx>
        <w:trPr>
          <w:gridAfter w:val="1"/>
          <w:wAfter w:w="20" w:type="dxa"/>
          <w:trHeight w:val="285" w:hRule="atLeast"/>
          <w:jc w:val="center"/>
        </w:trPr>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rPr>
            </w:pPr>
          </w:p>
        </w:tc>
        <w:tc>
          <w:tcPr>
            <w:tcW w:w="2401"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金属加强件</w:t>
            </w:r>
          </w:p>
        </w:tc>
        <w:tc>
          <w:tcPr>
            <w:tcW w:w="939"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200</w:t>
            </w:r>
          </w:p>
        </w:tc>
        <w:tc>
          <w:tcPr>
            <w:tcW w:w="1009"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100</w:t>
            </w:r>
          </w:p>
        </w:tc>
        <w:tc>
          <w:tcPr>
            <w:tcW w:w="8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2200</w:t>
            </w:r>
          </w:p>
        </w:tc>
        <w:tc>
          <w:tcPr>
            <w:tcW w:w="927"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1000</w:t>
            </w:r>
          </w:p>
        </w:tc>
        <w:tc>
          <w:tcPr>
            <w:tcW w:w="1490"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H</w:t>
            </w:r>
          </w:p>
        </w:tc>
      </w:tr>
      <w:tr>
        <w:tblPrEx>
          <w:tblLayout w:type="fixed"/>
          <w:tblCellMar>
            <w:top w:w="0" w:type="dxa"/>
            <w:left w:w="108" w:type="dxa"/>
            <w:bottom w:w="0" w:type="dxa"/>
            <w:right w:w="108" w:type="dxa"/>
          </w:tblCellMar>
        </w:tblPrEx>
        <w:trPr>
          <w:gridAfter w:val="1"/>
          <w:wAfter w:w="20" w:type="dxa"/>
          <w:trHeight w:val="285" w:hRule="atLeast"/>
          <w:jc w:val="center"/>
        </w:trPr>
        <w:tc>
          <w:tcPr>
            <w:tcW w:w="326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自承蝶形引入光缆</w:t>
            </w:r>
          </w:p>
        </w:tc>
        <w:tc>
          <w:tcPr>
            <w:tcW w:w="939"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600</w:t>
            </w:r>
          </w:p>
        </w:tc>
        <w:tc>
          <w:tcPr>
            <w:tcW w:w="1009"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300</w:t>
            </w:r>
          </w:p>
        </w:tc>
        <w:tc>
          <w:tcPr>
            <w:tcW w:w="8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2200</w:t>
            </w:r>
          </w:p>
        </w:tc>
        <w:tc>
          <w:tcPr>
            <w:tcW w:w="927"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1000</w:t>
            </w:r>
          </w:p>
        </w:tc>
        <w:tc>
          <w:tcPr>
            <w:tcW w:w="1490"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H</w:t>
            </w:r>
          </w:p>
        </w:tc>
      </w:tr>
    </w:tbl>
    <w:p>
      <w:pPr>
        <w:pStyle w:val="6"/>
        <w:rPr>
          <w:rFonts w:ascii="宋体" w:hAnsi="宋体"/>
          <w:kern w:val="0"/>
          <w:sz w:val="21"/>
        </w:rPr>
      </w:pPr>
      <w:r>
        <w:rPr>
          <w:rFonts w:hint="eastAsia" w:ascii="宋体" w:hAnsi="宋体"/>
          <w:kern w:val="0"/>
          <w:sz w:val="21"/>
        </w:rPr>
        <w:t>2.2.7  蝶形引入光缆温度特性（见表4）</w:t>
      </w:r>
    </w:p>
    <w:p>
      <w:pPr>
        <w:autoSpaceDE w:val="0"/>
        <w:autoSpaceDN w:val="0"/>
        <w:adjustRightInd w:val="0"/>
        <w:spacing w:line="520" w:lineRule="atLeast"/>
        <w:rPr>
          <w:rFonts w:ascii="宋体" w:hAnsi="宋体"/>
          <w:b/>
          <w:bCs/>
          <w:kern w:val="0"/>
        </w:rPr>
      </w:pPr>
      <w:r>
        <w:rPr>
          <w:rFonts w:hint="eastAsia" w:ascii="宋体" w:hAnsi="宋体"/>
          <w:b/>
          <w:bCs/>
          <w:kern w:val="0"/>
        </w:rPr>
        <w:t>表4：蝶形引入光缆温度特性</w:t>
      </w:r>
    </w:p>
    <w:tbl>
      <w:tblPr>
        <w:tblStyle w:val="9"/>
        <w:tblW w:w="8946" w:type="dxa"/>
        <w:jc w:val="center"/>
        <w:tblInd w:w="0" w:type="dxa"/>
        <w:tblLayout w:type="fixed"/>
        <w:tblCellMar>
          <w:top w:w="0" w:type="dxa"/>
          <w:left w:w="108" w:type="dxa"/>
          <w:bottom w:w="0" w:type="dxa"/>
          <w:right w:w="108" w:type="dxa"/>
        </w:tblCellMar>
      </w:tblPr>
      <w:tblGrid>
        <w:gridCol w:w="719"/>
        <w:gridCol w:w="716"/>
        <w:gridCol w:w="1623"/>
        <w:gridCol w:w="1907"/>
        <w:gridCol w:w="1991"/>
        <w:gridCol w:w="1990"/>
      </w:tblGrid>
      <w:tr>
        <w:tblPrEx>
          <w:tblLayout w:type="fixed"/>
          <w:tblCellMar>
            <w:top w:w="0" w:type="dxa"/>
            <w:left w:w="108" w:type="dxa"/>
            <w:bottom w:w="0" w:type="dxa"/>
            <w:right w:w="108" w:type="dxa"/>
          </w:tblCellMar>
        </w:tblPrEx>
        <w:trPr>
          <w:trHeight w:val="335" w:hRule="atLeast"/>
          <w:jc w:val="center"/>
        </w:trPr>
        <w:tc>
          <w:tcPr>
            <w:tcW w:w="143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分级代号</w:t>
            </w:r>
          </w:p>
        </w:tc>
        <w:tc>
          <w:tcPr>
            <w:tcW w:w="3530"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适用温度范围（摄氏度）</w:t>
            </w:r>
          </w:p>
        </w:tc>
        <w:tc>
          <w:tcPr>
            <w:tcW w:w="3981" w:type="dxa"/>
            <w:gridSpan w:val="2"/>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允许光纤附加衰耗（dB/km）</w:t>
            </w:r>
          </w:p>
        </w:tc>
      </w:tr>
      <w:tr>
        <w:tblPrEx>
          <w:tblLayout w:type="fixed"/>
          <w:tblCellMar>
            <w:top w:w="0" w:type="dxa"/>
            <w:left w:w="108" w:type="dxa"/>
            <w:bottom w:w="0" w:type="dxa"/>
            <w:right w:w="108" w:type="dxa"/>
          </w:tblCellMar>
        </w:tblPrEx>
        <w:trPr>
          <w:trHeight w:val="335" w:hRule="atLeast"/>
          <w:jc w:val="center"/>
        </w:trPr>
        <w:tc>
          <w:tcPr>
            <w:tcW w:w="1435" w:type="dxa"/>
            <w:gridSpan w:val="2"/>
            <w:tcBorders>
              <w:top w:val="nil"/>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级别</w:t>
            </w:r>
          </w:p>
        </w:tc>
        <w:tc>
          <w:tcPr>
            <w:tcW w:w="162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底限</w:t>
            </w:r>
          </w:p>
        </w:tc>
        <w:tc>
          <w:tcPr>
            <w:tcW w:w="1907"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高限</w:t>
            </w:r>
          </w:p>
        </w:tc>
        <w:tc>
          <w:tcPr>
            <w:tcW w:w="1991"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1310nm</w:t>
            </w:r>
          </w:p>
        </w:tc>
        <w:tc>
          <w:tcPr>
            <w:tcW w:w="1990"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1550nm</w:t>
            </w:r>
          </w:p>
        </w:tc>
      </w:tr>
      <w:tr>
        <w:tblPrEx>
          <w:tblLayout w:type="fixed"/>
          <w:tblCellMar>
            <w:top w:w="0" w:type="dxa"/>
            <w:left w:w="108" w:type="dxa"/>
            <w:bottom w:w="0" w:type="dxa"/>
            <w:right w:w="108" w:type="dxa"/>
          </w:tblCellMar>
        </w:tblPrEx>
        <w:trPr>
          <w:trHeight w:val="335"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室内</w:t>
            </w:r>
          </w:p>
        </w:tc>
        <w:tc>
          <w:tcPr>
            <w:tcW w:w="716"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A</w:t>
            </w:r>
          </w:p>
        </w:tc>
        <w:tc>
          <w:tcPr>
            <w:tcW w:w="162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-10</w:t>
            </w:r>
          </w:p>
        </w:tc>
        <w:tc>
          <w:tcPr>
            <w:tcW w:w="190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+50</w:t>
            </w:r>
          </w:p>
        </w:tc>
        <w:tc>
          <w:tcPr>
            <w:tcW w:w="1991"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≤0.1</w:t>
            </w:r>
          </w:p>
        </w:tc>
        <w:tc>
          <w:tcPr>
            <w:tcW w:w="199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≤0.1</w:t>
            </w:r>
          </w:p>
        </w:tc>
      </w:tr>
      <w:tr>
        <w:tblPrEx>
          <w:tblLayout w:type="fixed"/>
          <w:tblCellMar>
            <w:top w:w="0" w:type="dxa"/>
            <w:left w:w="108" w:type="dxa"/>
            <w:bottom w:w="0" w:type="dxa"/>
            <w:right w:w="108" w:type="dxa"/>
          </w:tblCellMar>
        </w:tblPrEx>
        <w:trPr>
          <w:trHeight w:val="335"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室外</w:t>
            </w:r>
          </w:p>
        </w:tc>
        <w:tc>
          <w:tcPr>
            <w:tcW w:w="716"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B</w:t>
            </w:r>
          </w:p>
        </w:tc>
        <w:tc>
          <w:tcPr>
            <w:tcW w:w="162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-20</w:t>
            </w:r>
          </w:p>
        </w:tc>
        <w:tc>
          <w:tcPr>
            <w:tcW w:w="190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+60</w:t>
            </w:r>
          </w:p>
        </w:tc>
        <w:tc>
          <w:tcPr>
            <w:tcW w:w="1991"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≤0.2</w:t>
            </w:r>
          </w:p>
        </w:tc>
        <w:tc>
          <w:tcPr>
            <w:tcW w:w="199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≤0.2</w:t>
            </w:r>
          </w:p>
        </w:tc>
      </w:tr>
      <w:tr>
        <w:tblPrEx>
          <w:tblLayout w:type="fixed"/>
          <w:tblCellMar>
            <w:top w:w="0" w:type="dxa"/>
            <w:left w:w="108" w:type="dxa"/>
            <w:bottom w:w="0" w:type="dxa"/>
            <w:right w:w="108" w:type="dxa"/>
          </w:tblCellMar>
        </w:tblPrEx>
        <w:trPr>
          <w:trHeight w:val="335"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室外</w:t>
            </w:r>
          </w:p>
        </w:tc>
        <w:tc>
          <w:tcPr>
            <w:tcW w:w="716"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C</w:t>
            </w:r>
          </w:p>
        </w:tc>
        <w:tc>
          <w:tcPr>
            <w:tcW w:w="162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-40</w:t>
            </w:r>
          </w:p>
        </w:tc>
        <w:tc>
          <w:tcPr>
            <w:tcW w:w="190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+70</w:t>
            </w:r>
          </w:p>
        </w:tc>
        <w:tc>
          <w:tcPr>
            <w:tcW w:w="1991"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≤0.3</w:t>
            </w:r>
          </w:p>
        </w:tc>
        <w:tc>
          <w:tcPr>
            <w:tcW w:w="1990"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≤0.3</w:t>
            </w:r>
          </w:p>
        </w:tc>
      </w:tr>
      <w:tr>
        <w:tblPrEx>
          <w:tblLayout w:type="fixed"/>
          <w:tblCellMar>
            <w:top w:w="0" w:type="dxa"/>
            <w:left w:w="108" w:type="dxa"/>
            <w:bottom w:w="0" w:type="dxa"/>
            <w:right w:w="108" w:type="dxa"/>
          </w:tblCellMar>
        </w:tblPrEx>
        <w:trPr>
          <w:trHeight w:val="335" w:hRule="atLeast"/>
          <w:jc w:val="center"/>
        </w:trPr>
        <w:tc>
          <w:tcPr>
            <w:tcW w:w="8946" w:type="dxa"/>
            <w:gridSpan w:val="6"/>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rPr>
                <w:rFonts w:ascii="宋体" w:hAnsi="宋体"/>
                <w:kern w:val="0"/>
              </w:rPr>
            </w:pPr>
            <w:r>
              <w:rPr>
                <w:rFonts w:hint="eastAsia" w:ascii="宋体" w:hAnsi="宋体"/>
                <w:kern w:val="0"/>
              </w:rPr>
              <w:t>注：光缆温度附加衰减为适用温度下相对于20ºC的光纤衰减差。</w:t>
            </w:r>
          </w:p>
        </w:tc>
      </w:tr>
    </w:tbl>
    <w:p>
      <w:pPr>
        <w:pStyle w:val="6"/>
        <w:rPr>
          <w:rFonts w:ascii="宋体" w:hAnsi="宋体"/>
          <w:kern w:val="0"/>
          <w:sz w:val="21"/>
        </w:rPr>
      </w:pPr>
      <w:r>
        <w:rPr>
          <w:rFonts w:hint="eastAsia" w:ascii="宋体" w:hAnsi="宋体"/>
          <w:kern w:val="0"/>
          <w:sz w:val="21"/>
        </w:rPr>
        <w:t>2.2.8 可分离性</w:t>
      </w:r>
    </w:p>
    <w:p>
      <w:pPr>
        <w:autoSpaceDE w:val="0"/>
        <w:autoSpaceDN w:val="0"/>
        <w:adjustRightInd w:val="0"/>
        <w:spacing w:line="520" w:lineRule="atLeast"/>
        <w:rPr>
          <w:rFonts w:ascii="宋体" w:hAnsi="宋体"/>
          <w:kern w:val="0"/>
        </w:rPr>
      </w:pPr>
      <w:r>
        <w:rPr>
          <w:rFonts w:hint="eastAsia" w:ascii="宋体" w:hAnsi="宋体"/>
          <w:kern w:val="0"/>
        </w:rPr>
        <w:t>2.2.8.1该条款指蝶形引入光缆部分进行检验；</w:t>
      </w:r>
    </w:p>
    <w:p>
      <w:pPr>
        <w:autoSpaceDE w:val="0"/>
        <w:autoSpaceDN w:val="0"/>
        <w:adjustRightInd w:val="0"/>
        <w:spacing w:line="520" w:lineRule="atLeast"/>
        <w:rPr>
          <w:rFonts w:ascii="宋体" w:hAnsi="宋体"/>
          <w:kern w:val="0"/>
        </w:rPr>
      </w:pPr>
      <w:r>
        <w:rPr>
          <w:rFonts w:hint="eastAsia" w:ascii="宋体" w:hAnsi="宋体"/>
          <w:kern w:val="0"/>
        </w:rPr>
        <w:t>2.2.8.2应能从光缆分离口处较容易地将光缆分离200mm，其撕裂力的最小值应不低于5N，最大值应不大于15N；</w:t>
      </w:r>
    </w:p>
    <w:p>
      <w:pPr>
        <w:autoSpaceDE w:val="0"/>
        <w:autoSpaceDN w:val="0"/>
        <w:adjustRightInd w:val="0"/>
        <w:spacing w:line="520" w:lineRule="atLeast"/>
        <w:rPr>
          <w:rFonts w:ascii="宋体" w:hAnsi="宋体"/>
          <w:kern w:val="0"/>
        </w:rPr>
      </w:pPr>
      <w:r>
        <w:rPr>
          <w:rFonts w:hint="eastAsia" w:ascii="宋体" w:hAnsi="宋体"/>
          <w:kern w:val="0"/>
        </w:rPr>
        <w:t>2.2.8.3分离后，光纤应能完全裸露出来，且着色层无明显剥落，分离出来的光纤应不能从剩余的光缆中用手抽动出来；加强构件处的护套应保持完整，无裂纹。</w:t>
      </w:r>
    </w:p>
    <w:p>
      <w:pPr>
        <w:pStyle w:val="6"/>
        <w:rPr>
          <w:rFonts w:ascii="宋体" w:hAnsi="宋体"/>
          <w:kern w:val="0"/>
          <w:sz w:val="21"/>
        </w:rPr>
      </w:pPr>
      <w:r>
        <w:rPr>
          <w:rFonts w:hint="eastAsia" w:ascii="宋体" w:hAnsi="宋体"/>
          <w:kern w:val="0"/>
          <w:sz w:val="21"/>
        </w:rPr>
        <w:t>2.2.9 阻燃蝶形引入光缆的燃烧性能</w:t>
      </w:r>
    </w:p>
    <w:p>
      <w:pPr>
        <w:autoSpaceDE w:val="0"/>
        <w:autoSpaceDN w:val="0"/>
        <w:adjustRightInd w:val="0"/>
        <w:spacing w:line="520" w:lineRule="atLeast"/>
        <w:rPr>
          <w:rFonts w:ascii="宋体" w:hAnsi="宋体"/>
          <w:kern w:val="0"/>
        </w:rPr>
      </w:pPr>
      <w:r>
        <w:rPr>
          <w:rFonts w:hint="eastAsia" w:ascii="宋体" w:hAnsi="宋体"/>
          <w:kern w:val="0"/>
        </w:rPr>
        <w:t>阻燃蝶形引入光缆的燃烧性能应满足下列要求。</w:t>
      </w:r>
    </w:p>
    <w:p>
      <w:pPr>
        <w:autoSpaceDE w:val="0"/>
        <w:autoSpaceDN w:val="0"/>
        <w:adjustRightInd w:val="0"/>
        <w:spacing w:line="520" w:lineRule="atLeast"/>
        <w:rPr>
          <w:rFonts w:ascii="宋体" w:hAnsi="宋体"/>
          <w:kern w:val="0"/>
        </w:rPr>
      </w:pPr>
      <w:r>
        <w:rPr>
          <w:rFonts w:hint="eastAsia" w:ascii="宋体" w:hAnsi="宋体"/>
          <w:kern w:val="0"/>
        </w:rPr>
        <w:t>2.2.9.1 阻燃性：按用户要求，应能通过单根垂直燃烧试验或成束燃烧试验。</w:t>
      </w:r>
    </w:p>
    <w:p>
      <w:pPr>
        <w:autoSpaceDE w:val="0"/>
        <w:autoSpaceDN w:val="0"/>
        <w:adjustRightInd w:val="0"/>
        <w:spacing w:line="520" w:lineRule="atLeast"/>
        <w:rPr>
          <w:rFonts w:ascii="宋体" w:hAnsi="宋体"/>
          <w:kern w:val="0"/>
        </w:rPr>
      </w:pPr>
      <w:r>
        <w:rPr>
          <w:rFonts w:hint="eastAsia" w:ascii="宋体" w:hAnsi="宋体"/>
          <w:kern w:val="0"/>
        </w:rPr>
        <w:t>2.2.9.2 腐蚀性：光缆燃烧时产生气体的PH值应不小于4.3，电导率应不大于10μS/mm。</w:t>
      </w:r>
    </w:p>
    <w:p>
      <w:pPr>
        <w:pStyle w:val="6"/>
        <w:rPr>
          <w:rFonts w:ascii="宋体" w:hAnsi="宋体"/>
          <w:kern w:val="0"/>
          <w:sz w:val="21"/>
        </w:rPr>
      </w:pPr>
      <w:r>
        <w:rPr>
          <w:rFonts w:hint="eastAsia" w:ascii="宋体" w:hAnsi="宋体"/>
          <w:kern w:val="0"/>
          <w:sz w:val="21"/>
        </w:rPr>
        <w:t>2.2.10 低温下卷绕性能</w:t>
      </w:r>
    </w:p>
    <w:p>
      <w:pPr>
        <w:autoSpaceDE w:val="0"/>
        <w:autoSpaceDN w:val="0"/>
        <w:adjustRightInd w:val="0"/>
        <w:spacing w:line="520" w:lineRule="atLeast"/>
        <w:ind w:firstLine="630" w:firstLineChars="300"/>
        <w:rPr>
          <w:rFonts w:ascii="宋体" w:hAnsi="宋体"/>
          <w:kern w:val="0"/>
        </w:rPr>
      </w:pPr>
      <w:r>
        <w:rPr>
          <w:rFonts w:hint="eastAsia" w:ascii="宋体" w:hAnsi="宋体"/>
          <w:kern w:val="0"/>
        </w:rPr>
        <w:t>光缆应具有耐-15℃低温下卷绕的能力，试验完成后，光纤应不断裂，护套应无目视可见开裂。</w:t>
      </w:r>
    </w:p>
    <w:p>
      <w:pPr>
        <w:autoSpaceDE w:val="0"/>
        <w:autoSpaceDN w:val="0"/>
        <w:adjustRightInd w:val="0"/>
        <w:spacing w:line="520" w:lineRule="atLeast"/>
        <w:rPr>
          <w:rFonts w:ascii="宋体" w:hAnsi="宋体"/>
          <w:kern w:val="0"/>
        </w:rPr>
      </w:pPr>
      <w:r>
        <w:rPr>
          <w:rFonts w:hint="eastAsia" w:ascii="宋体" w:hAnsi="宋体"/>
          <w:kern w:val="0"/>
        </w:rPr>
        <w:t>请描述光缆低温下卷绕性能。</w:t>
      </w:r>
    </w:p>
    <w:p>
      <w:pPr>
        <w:pStyle w:val="6"/>
        <w:rPr>
          <w:rFonts w:ascii="宋体" w:hAnsi="宋体"/>
          <w:kern w:val="0"/>
          <w:sz w:val="21"/>
        </w:rPr>
      </w:pPr>
      <w:r>
        <w:rPr>
          <w:rFonts w:hint="eastAsia" w:ascii="宋体" w:hAnsi="宋体"/>
          <w:kern w:val="0"/>
          <w:sz w:val="21"/>
        </w:rPr>
        <w:t>2.2.11 标志</w:t>
      </w:r>
    </w:p>
    <w:p>
      <w:pPr>
        <w:autoSpaceDE w:val="0"/>
        <w:autoSpaceDN w:val="0"/>
        <w:adjustRightInd w:val="0"/>
        <w:spacing w:line="520" w:lineRule="atLeast"/>
        <w:rPr>
          <w:rFonts w:ascii="宋体" w:hAnsi="宋体"/>
          <w:kern w:val="0"/>
        </w:rPr>
      </w:pPr>
      <w:r>
        <w:rPr>
          <w:rFonts w:hint="eastAsia" w:ascii="宋体" w:hAnsi="宋体"/>
          <w:kern w:val="0"/>
        </w:rPr>
        <w:t>2.2.11.1光缆应在护套表面作永久标志，标志应不影响光缆的任何性能，相邻标志始点间的间隔距离为1米。</w:t>
      </w:r>
    </w:p>
    <w:p>
      <w:pPr>
        <w:autoSpaceDE w:val="0"/>
        <w:autoSpaceDN w:val="0"/>
        <w:adjustRightInd w:val="0"/>
        <w:spacing w:line="520" w:lineRule="atLeast"/>
        <w:rPr>
          <w:rFonts w:ascii="宋体" w:hAnsi="宋体"/>
          <w:kern w:val="0"/>
        </w:rPr>
      </w:pPr>
      <w:r>
        <w:rPr>
          <w:rFonts w:hint="eastAsia" w:ascii="宋体" w:hAnsi="宋体"/>
          <w:kern w:val="0"/>
        </w:rPr>
        <w:t xml:space="preserve">2.2.11.2光缆护套表面应印有: </w:t>
      </w:r>
    </w:p>
    <w:p>
      <w:pPr>
        <w:autoSpaceDE w:val="0"/>
        <w:autoSpaceDN w:val="0"/>
        <w:adjustRightInd w:val="0"/>
        <w:spacing w:line="520" w:lineRule="atLeast"/>
        <w:rPr>
          <w:rFonts w:ascii="宋体" w:hAnsi="宋体"/>
          <w:kern w:val="0"/>
        </w:rPr>
      </w:pPr>
      <w:r>
        <w:rPr>
          <w:rFonts w:hint="eastAsia" w:ascii="宋体" w:hAnsi="宋体"/>
          <w:kern w:val="0"/>
        </w:rPr>
        <w:t>(1) 纵长米</w:t>
      </w:r>
    </w:p>
    <w:p>
      <w:pPr>
        <w:autoSpaceDE w:val="0"/>
        <w:autoSpaceDN w:val="0"/>
        <w:adjustRightInd w:val="0"/>
        <w:spacing w:line="520" w:lineRule="atLeast"/>
        <w:rPr>
          <w:rFonts w:ascii="宋体" w:hAnsi="宋体"/>
          <w:kern w:val="0"/>
        </w:rPr>
      </w:pPr>
      <w:r>
        <w:rPr>
          <w:rFonts w:hint="eastAsia" w:ascii="宋体" w:hAnsi="宋体"/>
          <w:kern w:val="0"/>
        </w:rPr>
        <w:t>(2) 光缆型号、规格</w:t>
      </w:r>
    </w:p>
    <w:p>
      <w:pPr>
        <w:autoSpaceDE w:val="0"/>
        <w:autoSpaceDN w:val="0"/>
        <w:adjustRightInd w:val="0"/>
        <w:spacing w:line="520" w:lineRule="atLeast"/>
        <w:rPr>
          <w:rFonts w:ascii="宋体" w:hAnsi="宋体"/>
          <w:kern w:val="0"/>
        </w:rPr>
      </w:pPr>
      <w:r>
        <w:rPr>
          <w:rFonts w:hint="eastAsia" w:ascii="宋体" w:hAnsi="宋体"/>
          <w:kern w:val="0"/>
        </w:rPr>
        <w:t>(3) 制造厂家（英文名缩写）</w:t>
      </w:r>
    </w:p>
    <w:p>
      <w:pPr>
        <w:autoSpaceDE w:val="0"/>
        <w:autoSpaceDN w:val="0"/>
        <w:adjustRightInd w:val="0"/>
        <w:spacing w:line="520" w:lineRule="atLeast"/>
        <w:rPr>
          <w:rFonts w:ascii="宋体" w:hAnsi="宋体" w:cs="宋体"/>
          <w:kern w:val="0"/>
        </w:rPr>
        <w:sectPr>
          <w:pgSz w:w="11906" w:h="16838"/>
          <w:pgMar w:top="1440" w:right="1588" w:bottom="2183" w:left="1588" w:header="720" w:footer="720" w:gutter="0"/>
          <w:cols w:space="720" w:num="1"/>
          <w:docGrid w:type="lines" w:linePitch="312" w:charSpace="0"/>
        </w:sectPr>
      </w:pPr>
      <w:r>
        <w:rPr>
          <w:rFonts w:hint="eastAsia" w:ascii="宋体" w:hAnsi="宋体"/>
          <w:kern w:val="0"/>
        </w:rPr>
        <w:t>以上标志必须是永久和清晰的（在光缆的寿命期间内）。尺码的精确度应优于每100m±0.2m</w:t>
      </w:r>
    </w:p>
    <w:p>
      <w:pPr>
        <w:autoSpaceDE w:val="0"/>
        <w:autoSpaceDN w:val="0"/>
        <w:adjustRightInd w:val="0"/>
        <w:spacing w:line="520" w:lineRule="atLeast"/>
        <w:rPr>
          <w:rFonts w:ascii="宋体" w:hAnsi="宋体"/>
          <w:kern w:val="0"/>
        </w:rPr>
      </w:pPr>
    </w:p>
    <w:p>
      <w:pPr>
        <w:autoSpaceDE w:val="0"/>
        <w:autoSpaceDN w:val="0"/>
        <w:adjustRightInd w:val="0"/>
        <w:spacing w:line="520" w:lineRule="atLeast"/>
        <w:rPr>
          <w:rFonts w:ascii="宋体" w:hAnsi="宋体"/>
          <w:kern w:val="0"/>
        </w:rPr>
      </w:pPr>
      <w:r>
        <w:rPr>
          <w:rFonts w:hint="eastAsia" w:ascii="宋体" w:hAnsi="宋体"/>
          <w:kern w:val="0"/>
        </w:rPr>
        <w:t>2.2.11.3 产品型号编制方法为：</w:t>
      </w:r>
    </w:p>
    <w:p>
      <w:pPr>
        <w:autoSpaceDE w:val="0"/>
        <w:autoSpaceDN w:val="0"/>
        <w:adjustRightInd w:val="0"/>
        <w:spacing w:line="520" w:lineRule="atLeast"/>
        <w:rPr>
          <w:rFonts w:ascii="宋体" w:hAnsi="宋体"/>
          <w:b/>
          <w:bCs/>
          <w:kern w:val="0"/>
        </w:rPr>
      </w:pPr>
      <w:r>
        <w:rPr>
          <w:rFonts w:hint="eastAsia" w:ascii="宋体" w:hAnsi="宋体"/>
          <w:b/>
          <w:bCs/>
          <w:kern w:val="0"/>
        </w:rPr>
        <w:t>表5：标准蝶形引入光缆产品编号表</w:t>
      </w:r>
    </w:p>
    <w:tbl>
      <w:tblPr>
        <w:tblStyle w:val="9"/>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5004"/>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73" w:lineRule="auto"/>
              <w:jc w:val="center"/>
              <w:rPr>
                <w:rFonts w:ascii="宋体" w:hAnsi="宋体"/>
                <w:b/>
                <w:bCs/>
                <w:kern w:val="0"/>
              </w:rPr>
            </w:pPr>
            <w:r>
              <w:rPr>
                <w:rFonts w:hint="eastAsia" w:ascii="宋体" w:hAnsi="宋体"/>
                <w:b/>
                <w:bCs/>
                <w:kern w:val="0"/>
              </w:rPr>
              <w:t>结构型式</w:t>
            </w:r>
          </w:p>
        </w:tc>
        <w:tc>
          <w:tcPr>
            <w:tcW w:w="500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73" w:lineRule="auto"/>
              <w:jc w:val="center"/>
              <w:rPr>
                <w:rFonts w:ascii="宋体" w:hAnsi="宋体"/>
                <w:b/>
                <w:bCs/>
                <w:kern w:val="0"/>
              </w:rPr>
            </w:pPr>
            <w:r>
              <w:rPr>
                <w:rFonts w:hint="eastAsia" w:ascii="宋体" w:hAnsi="宋体"/>
                <w:b/>
                <w:bCs/>
                <w:kern w:val="0"/>
              </w:rPr>
              <w:t>名称</w:t>
            </w:r>
          </w:p>
        </w:tc>
        <w:tc>
          <w:tcPr>
            <w:tcW w:w="2027" w:type="dxa"/>
            <w:tcBorders>
              <w:top w:val="single" w:color="auto" w:sz="4" w:space="0"/>
              <w:left w:val="nil"/>
              <w:bottom w:val="single" w:color="auto" w:sz="4" w:space="0"/>
              <w:right w:val="single" w:color="auto" w:sz="4" w:space="0"/>
            </w:tcBorders>
            <w:vAlign w:val="center"/>
          </w:tcPr>
          <w:p>
            <w:pPr>
              <w:autoSpaceDE w:val="0"/>
              <w:autoSpaceDN w:val="0"/>
              <w:adjustRightInd w:val="0"/>
              <w:spacing w:line="273" w:lineRule="auto"/>
              <w:jc w:val="center"/>
              <w:rPr>
                <w:rFonts w:ascii="宋体" w:hAnsi="宋体"/>
                <w:b/>
                <w:bCs/>
                <w:kern w:val="0"/>
              </w:rPr>
            </w:pPr>
            <w:r>
              <w:rPr>
                <w:rFonts w:hint="eastAsia" w:ascii="宋体" w:hAnsi="宋体"/>
                <w:b/>
                <w:bCs/>
                <w:kern w:val="0"/>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73" w:lineRule="auto"/>
              <w:jc w:val="center"/>
              <w:rPr>
                <w:rFonts w:ascii="宋体" w:hAnsi="宋体"/>
                <w:kern w:val="0"/>
              </w:rPr>
            </w:pPr>
            <w:r>
              <w:rPr>
                <w:rFonts w:hint="eastAsia" w:ascii="宋体" w:hAnsi="宋体"/>
                <w:kern w:val="0"/>
              </w:rPr>
              <w:t>GJXH</w:t>
            </w:r>
          </w:p>
        </w:tc>
        <w:tc>
          <w:tcPr>
            <w:tcW w:w="500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73" w:lineRule="auto"/>
              <w:rPr>
                <w:rFonts w:ascii="宋体" w:hAnsi="宋体"/>
                <w:kern w:val="0"/>
              </w:rPr>
            </w:pPr>
            <w:r>
              <w:rPr>
                <w:rFonts w:hint="eastAsia" w:ascii="宋体" w:hAnsi="宋体"/>
                <w:kern w:val="0"/>
              </w:rPr>
              <w:t>金属加强件、低烟无卤护套、蝶形引入光缆</w:t>
            </w:r>
          </w:p>
        </w:tc>
        <w:tc>
          <w:tcPr>
            <w:tcW w:w="2027" w:type="dxa"/>
            <w:vMerge w:val="restart"/>
            <w:tcBorders>
              <w:top w:val="nil"/>
              <w:left w:val="nil"/>
              <w:bottom w:val="single" w:color="auto" w:sz="4" w:space="0"/>
              <w:right w:val="single" w:color="auto" w:sz="4" w:space="0"/>
            </w:tcBorders>
            <w:vAlign w:val="center"/>
          </w:tcPr>
          <w:p>
            <w:pPr>
              <w:autoSpaceDE w:val="0"/>
              <w:autoSpaceDN w:val="0"/>
              <w:adjustRightInd w:val="0"/>
              <w:spacing w:line="273" w:lineRule="auto"/>
              <w:jc w:val="center"/>
              <w:rPr>
                <w:rFonts w:ascii="宋体" w:hAnsi="宋体"/>
                <w:kern w:val="0"/>
              </w:rPr>
            </w:pPr>
            <w:r>
              <w:rPr>
                <w:rFonts w:hint="eastAsia" w:ascii="宋体" w:hAnsi="宋体"/>
                <w:kern w:val="0"/>
              </w:rPr>
              <w:t>室内布线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73" w:lineRule="auto"/>
              <w:jc w:val="center"/>
              <w:rPr>
                <w:rFonts w:ascii="宋体" w:hAnsi="宋体"/>
                <w:kern w:val="0"/>
              </w:rPr>
            </w:pPr>
            <w:r>
              <w:rPr>
                <w:rFonts w:hint="eastAsia" w:ascii="宋体" w:hAnsi="宋体"/>
                <w:kern w:val="0"/>
              </w:rPr>
              <w:t>GJXFH</w:t>
            </w:r>
          </w:p>
        </w:tc>
        <w:tc>
          <w:tcPr>
            <w:tcW w:w="500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73" w:lineRule="auto"/>
              <w:rPr>
                <w:rFonts w:ascii="宋体" w:hAnsi="宋体"/>
                <w:kern w:val="0"/>
              </w:rPr>
            </w:pPr>
            <w:r>
              <w:rPr>
                <w:rFonts w:hint="eastAsia" w:ascii="宋体" w:hAnsi="宋体"/>
                <w:kern w:val="0"/>
              </w:rPr>
              <w:t>非金属加强件、低烟无卤护套、蝶形引入光缆缆</w:t>
            </w:r>
          </w:p>
        </w:tc>
        <w:tc>
          <w:tcPr>
            <w:tcW w:w="2027" w:type="dxa"/>
            <w:vMerge w:val="continue"/>
            <w:tcBorders>
              <w:top w:val="nil"/>
              <w:left w:val="nil"/>
              <w:bottom w:val="single" w:color="auto" w:sz="4" w:space="0"/>
              <w:right w:val="single" w:color="auto" w:sz="4" w:space="0"/>
            </w:tcBorders>
            <w:vAlign w:val="center"/>
          </w:tcPr>
          <w:p>
            <w:pPr>
              <w:widowControl/>
              <w:jc w:val="left"/>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73" w:lineRule="auto"/>
              <w:jc w:val="center"/>
              <w:rPr>
                <w:rFonts w:ascii="宋体" w:hAnsi="宋体"/>
                <w:kern w:val="0"/>
              </w:rPr>
            </w:pPr>
            <w:r>
              <w:rPr>
                <w:rFonts w:hint="eastAsia" w:ascii="宋体" w:hAnsi="宋体"/>
                <w:kern w:val="0"/>
              </w:rPr>
              <w:t>GJYXCH</w:t>
            </w:r>
          </w:p>
        </w:tc>
        <w:tc>
          <w:tcPr>
            <w:tcW w:w="500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73" w:lineRule="auto"/>
              <w:rPr>
                <w:rFonts w:ascii="宋体" w:hAnsi="宋体"/>
                <w:kern w:val="0"/>
              </w:rPr>
            </w:pPr>
            <w:r>
              <w:rPr>
                <w:rFonts w:hint="eastAsia" w:ascii="宋体" w:hAnsi="宋体"/>
                <w:kern w:val="0"/>
              </w:rPr>
              <w:t>金属加强件、低烟无卤护套、自承式蝶形引入光缆</w:t>
            </w:r>
          </w:p>
        </w:tc>
        <w:tc>
          <w:tcPr>
            <w:tcW w:w="2027" w:type="dxa"/>
            <w:vMerge w:val="restart"/>
            <w:tcBorders>
              <w:top w:val="nil"/>
              <w:left w:val="nil"/>
              <w:bottom w:val="single" w:color="auto" w:sz="4" w:space="0"/>
              <w:right w:val="single" w:color="auto" w:sz="4" w:space="0"/>
            </w:tcBorders>
            <w:vAlign w:val="center"/>
          </w:tcPr>
          <w:p>
            <w:pPr>
              <w:autoSpaceDE w:val="0"/>
              <w:autoSpaceDN w:val="0"/>
              <w:adjustRightInd w:val="0"/>
              <w:spacing w:line="273" w:lineRule="auto"/>
              <w:jc w:val="center"/>
              <w:rPr>
                <w:rFonts w:ascii="宋体" w:hAnsi="宋体"/>
                <w:kern w:val="0"/>
              </w:rPr>
            </w:pPr>
            <w:r>
              <w:rPr>
                <w:rFonts w:hint="eastAsia" w:ascii="宋体" w:hAnsi="宋体"/>
                <w:kern w:val="0"/>
              </w:rPr>
              <w:t>室(内)外架空引入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73" w:lineRule="auto"/>
              <w:jc w:val="center"/>
              <w:rPr>
                <w:rFonts w:ascii="宋体" w:hAnsi="宋体"/>
                <w:kern w:val="0"/>
              </w:rPr>
            </w:pPr>
            <w:r>
              <w:rPr>
                <w:rFonts w:hint="eastAsia" w:ascii="宋体" w:hAnsi="宋体"/>
                <w:kern w:val="0"/>
              </w:rPr>
              <w:t>GJYXFCH</w:t>
            </w:r>
          </w:p>
        </w:tc>
        <w:tc>
          <w:tcPr>
            <w:tcW w:w="500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73" w:lineRule="auto"/>
              <w:rPr>
                <w:rFonts w:ascii="宋体" w:hAnsi="宋体"/>
                <w:kern w:val="0"/>
              </w:rPr>
            </w:pPr>
            <w:r>
              <w:rPr>
                <w:rFonts w:hint="eastAsia" w:ascii="宋体" w:hAnsi="宋体"/>
                <w:kern w:val="0"/>
              </w:rPr>
              <w:t>非金属加强件、低烟无卤内护套、自承式蝶形引入光缆</w:t>
            </w:r>
          </w:p>
        </w:tc>
        <w:tc>
          <w:tcPr>
            <w:tcW w:w="2027" w:type="dxa"/>
            <w:vMerge w:val="continue"/>
            <w:tcBorders>
              <w:top w:val="nil"/>
              <w:left w:val="nil"/>
              <w:bottom w:val="single" w:color="auto" w:sz="4" w:space="0"/>
              <w:right w:val="single" w:color="auto" w:sz="4" w:space="0"/>
            </w:tcBorders>
            <w:vAlign w:val="center"/>
          </w:tcPr>
          <w:p>
            <w:pPr>
              <w:widowControl/>
              <w:jc w:val="left"/>
              <w:rPr>
                <w:rFonts w:ascii="宋体" w:hAns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3" w:hRule="atLeast"/>
          <w:jc w:val="center"/>
        </w:trPr>
        <w:tc>
          <w:tcPr>
            <w:tcW w:w="894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73" w:lineRule="auto"/>
              <w:rPr>
                <w:rFonts w:ascii="宋体" w:hAnsi="宋体"/>
                <w:kern w:val="0"/>
              </w:rPr>
            </w:pPr>
            <w:r>
              <w:rPr>
                <w:rFonts w:hint="eastAsia" w:ascii="宋体" w:hAnsi="宋体"/>
                <w:kern w:val="0"/>
              </w:rPr>
              <w:t>标准蝶形引入光缆(俗称皮线光缆)按YD/T 908的规定划分型式、规格和编制型号。其中，分类代号中增加了符号：</w:t>
            </w:r>
          </w:p>
          <w:p>
            <w:pPr>
              <w:autoSpaceDE w:val="0"/>
              <w:autoSpaceDN w:val="0"/>
              <w:adjustRightInd w:val="0"/>
              <w:spacing w:line="273" w:lineRule="auto"/>
              <w:rPr>
                <w:rFonts w:ascii="宋体" w:hAnsi="宋体"/>
                <w:kern w:val="0"/>
              </w:rPr>
            </w:pPr>
            <w:bookmarkStart w:id="6" w:name="OLE_LINK4"/>
            <w:r>
              <w:rPr>
                <w:rFonts w:hint="eastAsia" w:ascii="宋体" w:hAnsi="宋体"/>
                <w:kern w:val="0"/>
              </w:rPr>
              <w:t>GJX</w:t>
            </w:r>
            <w:bookmarkEnd w:id="6"/>
            <w:r>
              <w:rPr>
                <w:rFonts w:hint="eastAsia" w:ascii="宋体" w:hAnsi="宋体"/>
                <w:kern w:val="0"/>
              </w:rPr>
              <w:t>——蝶形引入光缆；</w:t>
            </w:r>
          </w:p>
          <w:p>
            <w:pPr>
              <w:autoSpaceDE w:val="0"/>
              <w:autoSpaceDN w:val="0"/>
              <w:adjustRightInd w:val="0"/>
              <w:spacing w:line="273" w:lineRule="auto"/>
              <w:rPr>
                <w:rFonts w:ascii="宋体" w:hAnsi="宋体"/>
                <w:kern w:val="0"/>
              </w:rPr>
            </w:pPr>
            <w:r>
              <w:rPr>
                <w:rFonts w:hint="eastAsia" w:ascii="宋体" w:hAnsi="宋体"/>
                <w:kern w:val="0"/>
              </w:rPr>
              <w:t>GJYX——室外（内）蝶形引入光缆。</w:t>
            </w:r>
          </w:p>
        </w:tc>
      </w:tr>
    </w:tbl>
    <w:p>
      <w:pPr>
        <w:autoSpaceDE w:val="0"/>
        <w:autoSpaceDN w:val="0"/>
        <w:adjustRightInd w:val="0"/>
        <w:spacing w:line="520" w:lineRule="atLeast"/>
        <w:rPr>
          <w:rFonts w:ascii="宋体" w:hAnsi="宋体"/>
          <w:kern w:val="0"/>
        </w:rPr>
      </w:pPr>
      <w:r>
        <w:rPr>
          <w:rFonts w:hint="eastAsia" w:ascii="宋体" w:hAnsi="宋体"/>
          <w:kern w:val="0"/>
        </w:rPr>
        <w:t>2.2.11.4 标志应清晰，并与护套粘贴牢固，经擦拭后应仍可辨认。</w:t>
      </w:r>
    </w:p>
    <w:p>
      <w:pPr>
        <w:autoSpaceDE w:val="0"/>
        <w:autoSpaceDN w:val="0"/>
        <w:adjustRightInd w:val="0"/>
        <w:spacing w:line="520" w:lineRule="atLeast"/>
        <w:rPr>
          <w:rFonts w:ascii="宋体" w:hAnsi="宋体"/>
          <w:kern w:val="0"/>
        </w:rPr>
      </w:pPr>
      <w:r>
        <w:rPr>
          <w:rFonts w:hint="eastAsia" w:ascii="宋体" w:hAnsi="宋体"/>
          <w:kern w:val="0"/>
        </w:rPr>
        <w:t>2.2.11.5 加工订货时应标明光缆产品标记, 它由光缆的型号组成。</w:t>
      </w:r>
    </w:p>
    <w:p>
      <w:pPr>
        <w:autoSpaceDE w:val="0"/>
        <w:autoSpaceDN w:val="0"/>
        <w:adjustRightInd w:val="0"/>
        <w:spacing w:line="520" w:lineRule="atLeast"/>
        <w:rPr>
          <w:rFonts w:ascii="宋体" w:hAnsi="宋体"/>
          <w:kern w:val="0"/>
        </w:rPr>
      </w:pPr>
      <w:r>
        <w:rPr>
          <w:rFonts w:hint="eastAsia" w:ascii="宋体" w:hAnsi="宋体"/>
          <w:kern w:val="0"/>
        </w:rPr>
        <w:t>例如：非金属加强件、低烟无卤护套、蝶形引入光缆，包含2根B6类光纤，则产品的标记为：GJXFH 2 B6</w:t>
      </w:r>
    </w:p>
    <w:p>
      <w:pPr>
        <w:pStyle w:val="6"/>
        <w:rPr>
          <w:rFonts w:ascii="宋体" w:hAnsi="宋体"/>
          <w:kern w:val="0"/>
          <w:sz w:val="21"/>
        </w:rPr>
      </w:pPr>
      <w:r>
        <w:rPr>
          <w:rFonts w:hint="eastAsia" w:ascii="宋体" w:hAnsi="宋体"/>
          <w:kern w:val="0"/>
          <w:sz w:val="21"/>
        </w:rPr>
        <w:t>2.2.12 交货长度</w:t>
      </w:r>
    </w:p>
    <w:p>
      <w:pPr>
        <w:autoSpaceDE w:val="0"/>
        <w:autoSpaceDN w:val="0"/>
        <w:adjustRightInd w:val="0"/>
        <w:spacing w:line="520" w:lineRule="atLeast"/>
        <w:ind w:firstLine="630" w:firstLineChars="300"/>
        <w:rPr>
          <w:rFonts w:ascii="宋体" w:hAnsi="宋体"/>
          <w:kern w:val="0"/>
        </w:rPr>
      </w:pPr>
      <w:r>
        <w:rPr>
          <w:rFonts w:hint="eastAsia" w:ascii="宋体" w:hAnsi="宋体"/>
          <w:kern w:val="0"/>
        </w:rPr>
        <w:t>光缆成卷交货长度为2000m (负偏差为0)或按要求定制，也可根据供需双方的商定来制定交货长度。光缆交货长度宜为标准制造长度，光缆在交货长度上不应有光纤接头：</w:t>
      </w:r>
    </w:p>
    <w:p>
      <w:pPr>
        <w:autoSpaceDE w:val="0"/>
        <w:autoSpaceDN w:val="0"/>
        <w:adjustRightInd w:val="0"/>
        <w:spacing w:line="520" w:lineRule="atLeast"/>
        <w:rPr>
          <w:rFonts w:ascii="宋体" w:hAnsi="宋体"/>
          <w:b/>
          <w:bCs/>
          <w:kern w:val="0"/>
        </w:rPr>
      </w:pPr>
      <w:r>
        <w:rPr>
          <w:rFonts w:hint="eastAsia" w:ascii="宋体" w:hAnsi="宋体"/>
          <w:b/>
          <w:bCs/>
          <w:kern w:val="0"/>
        </w:rPr>
        <w:t>表7：光缆标准制造长度</w:t>
      </w:r>
    </w:p>
    <w:tbl>
      <w:tblPr>
        <w:tblStyle w:val="9"/>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7"/>
        <w:gridCol w:w="3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标称值（m）</w:t>
            </w:r>
          </w:p>
        </w:tc>
        <w:tc>
          <w:tcPr>
            <w:tcW w:w="3979"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容差（%）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2000（室内布线）</w:t>
            </w:r>
          </w:p>
        </w:tc>
        <w:tc>
          <w:tcPr>
            <w:tcW w:w="3979" w:type="dxa"/>
            <w:vMerge w:val="restart"/>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2000（室外架空）</w:t>
            </w:r>
          </w:p>
        </w:tc>
        <w:tc>
          <w:tcPr>
            <w:tcW w:w="3979" w:type="dxa"/>
            <w:vMerge w:val="continue"/>
            <w:tcBorders>
              <w:top w:val="nil"/>
              <w:left w:val="nil"/>
              <w:bottom w:val="single" w:color="auto" w:sz="4" w:space="0"/>
              <w:right w:val="single" w:color="auto" w:sz="4" w:space="0"/>
            </w:tcBorders>
            <w:vAlign w:val="center"/>
          </w:tcPr>
          <w:p>
            <w:pPr>
              <w:widowControl/>
              <w:jc w:val="left"/>
              <w:rPr>
                <w:rFonts w:ascii="宋体" w:hAnsi="宋体"/>
                <w:kern w:val="0"/>
              </w:rPr>
            </w:pPr>
          </w:p>
        </w:tc>
      </w:tr>
    </w:tbl>
    <w:p>
      <w:pPr>
        <w:pStyle w:val="6"/>
        <w:rPr>
          <w:rFonts w:ascii="宋体" w:hAnsi="宋体"/>
          <w:kern w:val="0"/>
          <w:sz w:val="21"/>
        </w:rPr>
      </w:pPr>
      <w:bookmarkStart w:id="7" w:name="束管直径"/>
      <w:bookmarkEnd w:id="7"/>
      <w:r>
        <w:rPr>
          <w:rFonts w:hint="eastAsia" w:ascii="宋体" w:hAnsi="宋体"/>
          <w:kern w:val="0"/>
          <w:sz w:val="21"/>
        </w:rPr>
        <w:t>2.2.13 环保性能</w:t>
      </w:r>
    </w:p>
    <w:p>
      <w:pPr>
        <w:autoSpaceDE w:val="0"/>
        <w:autoSpaceDN w:val="0"/>
        <w:adjustRightInd w:val="0"/>
        <w:spacing w:line="520" w:lineRule="atLeast"/>
        <w:ind w:firstLine="630" w:firstLineChars="300"/>
        <w:rPr>
          <w:rFonts w:ascii="宋体" w:hAnsi="宋体"/>
          <w:kern w:val="0"/>
        </w:rPr>
      </w:pPr>
      <w:r>
        <w:rPr>
          <w:rFonts w:hint="eastAsia" w:ascii="宋体" w:hAnsi="宋体"/>
          <w:kern w:val="0"/>
        </w:rPr>
        <w:t>光缆组成材料应根据SJ/T 11363-2006中的规定进行分类。光缆用均一材料（EIP-A类）中禁用的有毒有害物质限量应符合表8规定。其它分类材料中禁用物质的限量应符合SJ/T 11363-2006中的相关规定。</w:t>
      </w:r>
    </w:p>
    <w:p>
      <w:pPr>
        <w:autoSpaceDE w:val="0"/>
        <w:autoSpaceDN w:val="0"/>
        <w:adjustRightInd w:val="0"/>
        <w:spacing w:line="520" w:lineRule="atLeast"/>
        <w:rPr>
          <w:rFonts w:ascii="宋体" w:hAnsi="宋体"/>
          <w:b/>
          <w:bCs/>
          <w:kern w:val="0"/>
        </w:rPr>
      </w:pPr>
      <w:r>
        <w:rPr>
          <w:rFonts w:hint="eastAsia" w:ascii="宋体" w:hAnsi="宋体"/>
          <w:b/>
          <w:bCs/>
          <w:kern w:val="0"/>
        </w:rPr>
        <w:t xml:space="preserve">表8：光缆材料中禁用物质的含量限值         </w:t>
      </w:r>
    </w:p>
    <w:tbl>
      <w:tblPr>
        <w:tblStyle w:val="9"/>
        <w:tblW w:w="8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9"/>
        <w:gridCol w:w="2993"/>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种类</w:t>
            </w:r>
          </w:p>
        </w:tc>
        <w:tc>
          <w:tcPr>
            <w:tcW w:w="29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物  质</w:t>
            </w:r>
          </w:p>
        </w:tc>
        <w:tc>
          <w:tcPr>
            <w:tcW w:w="2984"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b/>
                <w:bCs/>
                <w:kern w:val="0"/>
              </w:rPr>
            </w:pPr>
            <w:r>
              <w:rPr>
                <w:rFonts w:hint="eastAsia" w:ascii="宋体" w:hAnsi="宋体"/>
                <w:b/>
                <w:bCs/>
                <w:kern w:val="0"/>
              </w:rPr>
              <w:t>含量限值(ppm)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69" w:type="dxa"/>
            <w:vMerge w:val="restart"/>
            <w:tcBorders>
              <w:top w:val="nil"/>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重金属</w:t>
            </w:r>
          </w:p>
        </w:tc>
        <w:tc>
          <w:tcPr>
            <w:tcW w:w="29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铅及其化合物</w:t>
            </w:r>
          </w:p>
        </w:tc>
        <w:tc>
          <w:tcPr>
            <w:tcW w:w="2984"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rPr>
            </w:pPr>
          </w:p>
        </w:tc>
        <w:tc>
          <w:tcPr>
            <w:tcW w:w="29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镉及其化合物</w:t>
            </w:r>
          </w:p>
        </w:tc>
        <w:tc>
          <w:tcPr>
            <w:tcW w:w="2984"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rPr>
            </w:pPr>
          </w:p>
        </w:tc>
        <w:tc>
          <w:tcPr>
            <w:tcW w:w="29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汞及其化合物</w:t>
            </w:r>
          </w:p>
        </w:tc>
        <w:tc>
          <w:tcPr>
            <w:tcW w:w="2984"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rPr>
            </w:pPr>
          </w:p>
        </w:tc>
        <w:tc>
          <w:tcPr>
            <w:tcW w:w="29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6价镉的化合物</w:t>
            </w:r>
          </w:p>
        </w:tc>
        <w:tc>
          <w:tcPr>
            <w:tcW w:w="2984"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69" w:type="dxa"/>
            <w:vMerge w:val="restart"/>
            <w:tcBorders>
              <w:top w:val="nil"/>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有机溴化物</w:t>
            </w:r>
          </w:p>
        </w:tc>
        <w:tc>
          <w:tcPr>
            <w:tcW w:w="29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多溴联笨（PBB）</w:t>
            </w:r>
          </w:p>
        </w:tc>
        <w:tc>
          <w:tcPr>
            <w:tcW w:w="2984"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rPr>
            </w:pPr>
          </w:p>
        </w:tc>
        <w:tc>
          <w:tcPr>
            <w:tcW w:w="29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多溴二笨醚(PBDE)</w:t>
            </w:r>
          </w:p>
        </w:tc>
        <w:tc>
          <w:tcPr>
            <w:tcW w:w="2984"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≤800</w:t>
            </w:r>
          </w:p>
        </w:tc>
      </w:tr>
    </w:tbl>
    <w:p>
      <w:pPr>
        <w:pStyle w:val="6"/>
        <w:rPr>
          <w:rFonts w:ascii="宋体" w:hAnsi="宋体"/>
          <w:kern w:val="0"/>
          <w:sz w:val="21"/>
        </w:rPr>
      </w:pPr>
      <w:r>
        <w:rPr>
          <w:rFonts w:hint="eastAsia" w:ascii="宋体" w:hAnsi="宋体"/>
          <w:kern w:val="0"/>
          <w:sz w:val="21"/>
        </w:rPr>
        <w:t>2.2.14  皮线光缆预制成端跳线功能需求</w:t>
      </w:r>
    </w:p>
    <w:p>
      <w:pPr>
        <w:autoSpaceDE w:val="0"/>
        <w:autoSpaceDN w:val="0"/>
        <w:adjustRightInd w:val="0"/>
        <w:spacing w:line="520" w:lineRule="atLeast"/>
        <w:rPr>
          <w:rFonts w:ascii="宋体" w:hAnsi="宋体"/>
          <w:kern w:val="0"/>
        </w:rPr>
      </w:pPr>
      <w:r>
        <w:rPr>
          <w:rFonts w:hint="eastAsia" w:ascii="宋体" w:hAnsi="宋体"/>
          <w:kern w:val="0"/>
        </w:rPr>
        <w:t>2.2.14.1 预制成端皮线光缆结构、长度依照招标方订货合同要求。</w:t>
      </w:r>
    </w:p>
    <w:p>
      <w:pPr>
        <w:autoSpaceDE w:val="0"/>
        <w:autoSpaceDN w:val="0"/>
        <w:adjustRightInd w:val="0"/>
        <w:spacing w:line="520" w:lineRule="atLeast"/>
        <w:rPr>
          <w:rFonts w:ascii="宋体" w:hAnsi="宋体"/>
          <w:kern w:val="0"/>
        </w:rPr>
      </w:pPr>
      <w:r>
        <w:rPr>
          <w:rFonts w:hint="eastAsia" w:ascii="宋体" w:hAnsi="宋体"/>
          <w:kern w:val="0"/>
        </w:rPr>
        <w:t>2.2.14.2 皮线光缆预制成端分纤的要求，以GJYXCH-2B6皮线光缆为例，ONU侧预制成端头均使用SC/PC（蓝色），入户型光机侧预制成端头一个使用SC/APC（绿色）。</w:t>
      </w:r>
    </w:p>
    <w:p>
      <w:pPr>
        <w:autoSpaceDE w:val="0"/>
        <w:autoSpaceDN w:val="0"/>
        <w:adjustRightInd w:val="0"/>
        <w:spacing w:line="520" w:lineRule="atLeast"/>
        <w:rPr>
          <w:rFonts w:ascii="宋体" w:hAnsi="宋体"/>
          <w:kern w:val="0"/>
        </w:rPr>
      </w:pPr>
      <w:r>
        <w:rPr>
          <w:rFonts w:hint="eastAsia" w:ascii="宋体" w:hAnsi="宋体"/>
          <w:kern w:val="0"/>
        </w:rPr>
        <w:t>2.2.14.3 单模插芯要求</w:t>
      </w:r>
    </w:p>
    <w:p>
      <w:pPr>
        <w:autoSpaceDE w:val="0"/>
        <w:autoSpaceDN w:val="0"/>
        <w:adjustRightInd w:val="0"/>
        <w:spacing w:line="520" w:lineRule="atLeast"/>
        <w:rPr>
          <w:rFonts w:ascii="宋体" w:hAnsi="宋体"/>
          <w:kern w:val="0"/>
        </w:rPr>
      </w:pPr>
      <w:r>
        <w:rPr>
          <w:rFonts w:hint="eastAsia" w:ascii="宋体" w:hAnsi="宋体"/>
          <w:b/>
          <w:bCs/>
          <w:kern w:val="0"/>
        </w:rPr>
        <w:t>表9：单模插芯技术参数表</w:t>
      </w:r>
    </w:p>
    <w:tbl>
      <w:tblPr>
        <w:tblStyle w:val="9"/>
        <w:tblW w:w="8575" w:type="dxa"/>
        <w:jc w:val="center"/>
        <w:tblInd w:w="0" w:type="dxa"/>
        <w:tblLayout w:type="fixed"/>
        <w:tblCellMar>
          <w:top w:w="0" w:type="dxa"/>
          <w:left w:w="108" w:type="dxa"/>
          <w:bottom w:w="0" w:type="dxa"/>
          <w:right w:w="108" w:type="dxa"/>
        </w:tblCellMar>
      </w:tblPr>
      <w:tblGrid>
        <w:gridCol w:w="3294"/>
        <w:gridCol w:w="2583"/>
        <w:gridCol w:w="2698"/>
      </w:tblGrid>
      <w:tr>
        <w:tblPrEx>
          <w:tblLayout w:type="fixed"/>
          <w:tblCellMar>
            <w:top w:w="0" w:type="dxa"/>
            <w:left w:w="108" w:type="dxa"/>
            <w:bottom w:w="0" w:type="dxa"/>
            <w:right w:w="108" w:type="dxa"/>
          </w:tblCellMar>
        </w:tblPrEx>
        <w:trPr>
          <w:trHeight w:val="261" w:hRule="atLeast"/>
          <w:jc w:val="center"/>
        </w:trPr>
        <w:tc>
          <w:tcPr>
            <w:tcW w:w="3294" w:type="dxa"/>
            <w:tcBorders>
              <w:top w:val="single" w:color="auto" w:sz="8" w:space="0"/>
              <w:left w:val="single" w:color="auto" w:sz="8"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项目</w:t>
            </w:r>
          </w:p>
        </w:tc>
        <w:tc>
          <w:tcPr>
            <w:tcW w:w="5281" w:type="dxa"/>
            <w:gridSpan w:val="2"/>
            <w:tcBorders>
              <w:top w:val="single" w:color="auto" w:sz="8" w:space="0"/>
              <w:left w:val="nil"/>
              <w:bottom w:val="single" w:color="auto" w:sz="4" w:space="0"/>
              <w:right w:val="single" w:color="000000" w:sz="8"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要求</w:t>
            </w:r>
          </w:p>
        </w:tc>
      </w:tr>
      <w:tr>
        <w:tblPrEx>
          <w:tblLayout w:type="fixed"/>
          <w:tblCellMar>
            <w:top w:w="0" w:type="dxa"/>
            <w:left w:w="108" w:type="dxa"/>
            <w:bottom w:w="0" w:type="dxa"/>
            <w:right w:w="108" w:type="dxa"/>
          </w:tblCellMar>
        </w:tblPrEx>
        <w:trPr>
          <w:trHeight w:val="261" w:hRule="atLeast"/>
          <w:jc w:val="center"/>
        </w:trPr>
        <w:tc>
          <w:tcPr>
            <w:tcW w:w="3294" w:type="dxa"/>
            <w:tcBorders>
              <w:top w:val="nil"/>
              <w:left w:val="single" w:color="auto" w:sz="8"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插芯型号</w:t>
            </w:r>
          </w:p>
        </w:tc>
        <w:tc>
          <w:tcPr>
            <w:tcW w:w="25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SC/PC 单模</w:t>
            </w:r>
          </w:p>
        </w:tc>
        <w:tc>
          <w:tcPr>
            <w:tcW w:w="2698" w:type="dxa"/>
            <w:tcBorders>
              <w:top w:val="nil"/>
              <w:left w:val="nil"/>
              <w:bottom w:val="single" w:color="auto" w:sz="4" w:space="0"/>
              <w:right w:val="single" w:color="auto" w:sz="8"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SC/APC 单模</w:t>
            </w:r>
          </w:p>
        </w:tc>
      </w:tr>
      <w:tr>
        <w:tblPrEx>
          <w:tblLayout w:type="fixed"/>
          <w:tblCellMar>
            <w:top w:w="0" w:type="dxa"/>
            <w:left w:w="108" w:type="dxa"/>
            <w:bottom w:w="0" w:type="dxa"/>
            <w:right w:w="108" w:type="dxa"/>
          </w:tblCellMar>
        </w:tblPrEx>
        <w:trPr>
          <w:trHeight w:val="494" w:hRule="atLeast"/>
          <w:jc w:val="center"/>
        </w:trPr>
        <w:tc>
          <w:tcPr>
            <w:tcW w:w="3294" w:type="dxa"/>
            <w:tcBorders>
              <w:top w:val="nil"/>
              <w:left w:val="single" w:color="auto" w:sz="8"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插芯外径Φ（±0.0005mm）</w:t>
            </w:r>
          </w:p>
        </w:tc>
        <w:tc>
          <w:tcPr>
            <w:tcW w:w="25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2.499</w:t>
            </w:r>
          </w:p>
        </w:tc>
        <w:tc>
          <w:tcPr>
            <w:tcW w:w="2698" w:type="dxa"/>
            <w:tcBorders>
              <w:top w:val="nil"/>
              <w:left w:val="nil"/>
              <w:bottom w:val="single" w:color="auto" w:sz="4" w:space="0"/>
              <w:right w:val="single" w:color="auto" w:sz="8"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2.499</w:t>
            </w:r>
          </w:p>
        </w:tc>
      </w:tr>
      <w:tr>
        <w:tblPrEx>
          <w:tblLayout w:type="fixed"/>
          <w:tblCellMar>
            <w:top w:w="0" w:type="dxa"/>
            <w:left w:w="108" w:type="dxa"/>
            <w:bottom w:w="0" w:type="dxa"/>
            <w:right w:w="108" w:type="dxa"/>
          </w:tblCellMar>
        </w:tblPrEx>
        <w:trPr>
          <w:trHeight w:val="261" w:hRule="atLeast"/>
          <w:jc w:val="center"/>
        </w:trPr>
        <w:tc>
          <w:tcPr>
            <w:tcW w:w="3294" w:type="dxa"/>
            <w:tcBorders>
              <w:top w:val="nil"/>
              <w:left w:val="single" w:color="auto" w:sz="8"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插芯内径Φ（±0.001mm）</w:t>
            </w:r>
          </w:p>
        </w:tc>
        <w:tc>
          <w:tcPr>
            <w:tcW w:w="25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0.125</w:t>
            </w:r>
          </w:p>
        </w:tc>
        <w:tc>
          <w:tcPr>
            <w:tcW w:w="2698" w:type="dxa"/>
            <w:tcBorders>
              <w:top w:val="nil"/>
              <w:left w:val="nil"/>
              <w:bottom w:val="single" w:color="auto" w:sz="4" w:space="0"/>
              <w:right w:val="single" w:color="auto" w:sz="8"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0.125</w:t>
            </w:r>
          </w:p>
        </w:tc>
      </w:tr>
      <w:tr>
        <w:tblPrEx>
          <w:tblLayout w:type="fixed"/>
          <w:tblCellMar>
            <w:top w:w="0" w:type="dxa"/>
            <w:left w:w="108" w:type="dxa"/>
            <w:bottom w:w="0" w:type="dxa"/>
            <w:right w:w="108" w:type="dxa"/>
          </w:tblCellMar>
        </w:tblPrEx>
        <w:trPr>
          <w:trHeight w:val="261" w:hRule="atLeast"/>
          <w:jc w:val="center"/>
        </w:trPr>
        <w:tc>
          <w:tcPr>
            <w:tcW w:w="3294" w:type="dxa"/>
            <w:tcBorders>
              <w:top w:val="nil"/>
              <w:left w:val="single" w:color="auto" w:sz="8"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含尾座插芯长度（mm）</w:t>
            </w:r>
          </w:p>
        </w:tc>
        <w:tc>
          <w:tcPr>
            <w:tcW w:w="25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16±0.1</w:t>
            </w:r>
          </w:p>
        </w:tc>
        <w:tc>
          <w:tcPr>
            <w:tcW w:w="2698" w:type="dxa"/>
            <w:tcBorders>
              <w:top w:val="nil"/>
              <w:left w:val="nil"/>
              <w:bottom w:val="single" w:color="auto" w:sz="4" w:space="0"/>
              <w:right w:val="single" w:color="auto" w:sz="8"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16±0.1</w:t>
            </w:r>
          </w:p>
        </w:tc>
      </w:tr>
      <w:tr>
        <w:tblPrEx>
          <w:tblLayout w:type="fixed"/>
          <w:tblCellMar>
            <w:top w:w="0" w:type="dxa"/>
            <w:left w:w="108" w:type="dxa"/>
            <w:bottom w:w="0" w:type="dxa"/>
            <w:right w:w="108" w:type="dxa"/>
          </w:tblCellMar>
        </w:tblPrEx>
        <w:trPr>
          <w:trHeight w:val="261" w:hRule="atLeast"/>
          <w:jc w:val="center"/>
        </w:trPr>
        <w:tc>
          <w:tcPr>
            <w:tcW w:w="3294" w:type="dxa"/>
            <w:tcBorders>
              <w:top w:val="nil"/>
              <w:left w:val="single" w:color="auto" w:sz="8"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插芯同心度（um）</w:t>
            </w:r>
          </w:p>
        </w:tc>
        <w:tc>
          <w:tcPr>
            <w:tcW w:w="25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≤1.0</w:t>
            </w:r>
          </w:p>
        </w:tc>
        <w:tc>
          <w:tcPr>
            <w:tcW w:w="2698" w:type="dxa"/>
            <w:tcBorders>
              <w:top w:val="nil"/>
              <w:left w:val="nil"/>
              <w:bottom w:val="single" w:color="auto" w:sz="4" w:space="0"/>
              <w:right w:val="single" w:color="auto" w:sz="8"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≤1.0</w:t>
            </w:r>
          </w:p>
        </w:tc>
      </w:tr>
      <w:tr>
        <w:tblPrEx>
          <w:tblLayout w:type="fixed"/>
          <w:tblCellMar>
            <w:top w:w="0" w:type="dxa"/>
            <w:left w:w="108" w:type="dxa"/>
            <w:bottom w:w="0" w:type="dxa"/>
            <w:right w:w="108" w:type="dxa"/>
          </w:tblCellMar>
        </w:tblPrEx>
        <w:trPr>
          <w:trHeight w:val="261" w:hRule="atLeast"/>
          <w:jc w:val="center"/>
        </w:trPr>
        <w:tc>
          <w:tcPr>
            <w:tcW w:w="3294" w:type="dxa"/>
            <w:tcBorders>
              <w:top w:val="nil"/>
              <w:left w:val="single" w:color="auto" w:sz="8"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插芯曲率半径（mm）</w:t>
            </w:r>
          </w:p>
        </w:tc>
        <w:tc>
          <w:tcPr>
            <w:tcW w:w="2583" w:type="dxa"/>
            <w:tcBorders>
              <w:top w:val="nil"/>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10~25</w:t>
            </w:r>
          </w:p>
        </w:tc>
        <w:tc>
          <w:tcPr>
            <w:tcW w:w="2698" w:type="dxa"/>
            <w:tcBorders>
              <w:top w:val="nil"/>
              <w:left w:val="nil"/>
              <w:bottom w:val="single" w:color="auto" w:sz="4" w:space="0"/>
              <w:right w:val="single" w:color="auto" w:sz="8"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5~15</w:t>
            </w:r>
          </w:p>
        </w:tc>
      </w:tr>
      <w:tr>
        <w:tblPrEx>
          <w:tblLayout w:type="fixed"/>
          <w:tblCellMar>
            <w:top w:w="0" w:type="dxa"/>
            <w:left w:w="108" w:type="dxa"/>
            <w:bottom w:w="0" w:type="dxa"/>
            <w:right w:w="108" w:type="dxa"/>
          </w:tblCellMar>
        </w:tblPrEx>
        <w:trPr>
          <w:trHeight w:val="276" w:hRule="atLeast"/>
          <w:jc w:val="center"/>
        </w:trPr>
        <w:tc>
          <w:tcPr>
            <w:tcW w:w="3294" w:type="dxa"/>
            <w:tcBorders>
              <w:top w:val="nil"/>
              <w:left w:val="single" w:color="auto" w:sz="8" w:space="0"/>
              <w:bottom w:val="single" w:color="auto" w:sz="8"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角度（±3°）</w:t>
            </w:r>
          </w:p>
        </w:tc>
        <w:tc>
          <w:tcPr>
            <w:tcW w:w="2583" w:type="dxa"/>
            <w:tcBorders>
              <w:top w:val="nil"/>
              <w:left w:val="nil"/>
              <w:bottom w:val="single" w:color="auto" w:sz="8"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NA</w:t>
            </w:r>
          </w:p>
        </w:tc>
        <w:tc>
          <w:tcPr>
            <w:tcW w:w="2698" w:type="dxa"/>
            <w:tcBorders>
              <w:top w:val="nil"/>
              <w:left w:val="nil"/>
              <w:bottom w:val="single" w:color="auto" w:sz="8" w:space="0"/>
              <w:right w:val="single" w:color="auto" w:sz="8"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8</w:t>
            </w:r>
          </w:p>
        </w:tc>
      </w:tr>
    </w:tbl>
    <w:p>
      <w:pPr>
        <w:autoSpaceDE w:val="0"/>
        <w:autoSpaceDN w:val="0"/>
        <w:adjustRightInd w:val="0"/>
        <w:spacing w:line="520" w:lineRule="atLeast"/>
        <w:rPr>
          <w:rFonts w:ascii="宋体" w:hAnsi="宋体"/>
          <w:kern w:val="0"/>
        </w:rPr>
      </w:pPr>
      <w:r>
        <w:rPr>
          <w:rFonts w:hint="eastAsia" w:ascii="宋体" w:hAnsi="宋体"/>
          <w:kern w:val="0"/>
        </w:rPr>
        <w:t xml:space="preserve"> </w:t>
      </w:r>
    </w:p>
    <w:p>
      <w:pPr>
        <w:autoSpaceDE w:val="0"/>
        <w:autoSpaceDN w:val="0"/>
        <w:adjustRightInd w:val="0"/>
        <w:spacing w:line="520" w:lineRule="atLeast"/>
        <w:rPr>
          <w:rFonts w:hint="eastAsia" w:ascii="宋体" w:hAnsi="宋体"/>
          <w:kern w:val="0"/>
        </w:rPr>
      </w:pPr>
    </w:p>
    <w:p>
      <w:pPr>
        <w:autoSpaceDE w:val="0"/>
        <w:autoSpaceDN w:val="0"/>
        <w:adjustRightInd w:val="0"/>
        <w:spacing w:line="520" w:lineRule="atLeast"/>
        <w:rPr>
          <w:rFonts w:hint="eastAsia" w:ascii="宋体" w:hAnsi="宋体"/>
          <w:kern w:val="0"/>
        </w:rPr>
      </w:pPr>
    </w:p>
    <w:p>
      <w:pPr>
        <w:autoSpaceDE w:val="0"/>
        <w:autoSpaceDN w:val="0"/>
        <w:adjustRightInd w:val="0"/>
        <w:spacing w:line="520" w:lineRule="atLeast"/>
        <w:rPr>
          <w:rFonts w:hint="eastAsia" w:ascii="宋体" w:hAnsi="宋体"/>
          <w:kern w:val="0"/>
        </w:rPr>
      </w:pPr>
    </w:p>
    <w:p>
      <w:pPr>
        <w:autoSpaceDE w:val="0"/>
        <w:autoSpaceDN w:val="0"/>
        <w:adjustRightInd w:val="0"/>
        <w:spacing w:line="520" w:lineRule="atLeast"/>
        <w:rPr>
          <w:rFonts w:ascii="宋体" w:hAnsi="宋体"/>
          <w:kern w:val="0"/>
        </w:rPr>
      </w:pPr>
      <w:r>
        <w:rPr>
          <w:rFonts w:hint="eastAsia" w:ascii="宋体" w:hAnsi="宋体"/>
          <w:kern w:val="0"/>
        </w:rPr>
        <w:t>2.2.14.4 散件要求表</w:t>
      </w:r>
    </w:p>
    <w:p>
      <w:pPr>
        <w:autoSpaceDE w:val="0"/>
        <w:autoSpaceDN w:val="0"/>
        <w:adjustRightInd w:val="0"/>
        <w:spacing w:line="520" w:lineRule="atLeast"/>
        <w:rPr>
          <w:rFonts w:ascii="宋体" w:hAnsi="宋体"/>
          <w:b/>
          <w:bCs/>
          <w:kern w:val="0"/>
        </w:rPr>
      </w:pPr>
      <w:r>
        <w:rPr>
          <w:rFonts w:hint="eastAsia" w:ascii="宋体" w:hAnsi="宋体"/>
          <w:b/>
          <w:bCs/>
          <w:kern w:val="0"/>
        </w:rPr>
        <w:t>表10：单模散件技术要求表</w:t>
      </w:r>
    </w:p>
    <w:tbl>
      <w:tblPr>
        <w:tblStyle w:val="9"/>
        <w:tblW w:w="88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1556"/>
        <w:gridCol w:w="1767"/>
        <w:gridCol w:w="1768"/>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型号</w:t>
            </w:r>
          </w:p>
        </w:tc>
        <w:tc>
          <w:tcPr>
            <w:tcW w:w="1556"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形式</w:t>
            </w:r>
          </w:p>
        </w:tc>
        <w:tc>
          <w:tcPr>
            <w:tcW w:w="176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尾套颜色</w:t>
            </w:r>
          </w:p>
        </w:tc>
        <w:tc>
          <w:tcPr>
            <w:tcW w:w="1768"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外壳颜色</w:t>
            </w:r>
          </w:p>
        </w:tc>
        <w:tc>
          <w:tcPr>
            <w:tcW w:w="1768"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防尘帽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SC/PC</w:t>
            </w:r>
          </w:p>
        </w:tc>
        <w:tc>
          <w:tcPr>
            <w:tcW w:w="1556"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卡接</w:t>
            </w:r>
          </w:p>
        </w:tc>
        <w:tc>
          <w:tcPr>
            <w:tcW w:w="176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蓝色</w:t>
            </w:r>
          </w:p>
        </w:tc>
        <w:tc>
          <w:tcPr>
            <w:tcW w:w="1768"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蓝色</w:t>
            </w:r>
          </w:p>
        </w:tc>
        <w:tc>
          <w:tcPr>
            <w:tcW w:w="1768"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透明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SC/APC</w:t>
            </w:r>
          </w:p>
        </w:tc>
        <w:tc>
          <w:tcPr>
            <w:tcW w:w="1556"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卡接</w:t>
            </w:r>
          </w:p>
        </w:tc>
        <w:tc>
          <w:tcPr>
            <w:tcW w:w="176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绿色</w:t>
            </w:r>
          </w:p>
        </w:tc>
        <w:tc>
          <w:tcPr>
            <w:tcW w:w="1768"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绿色</w:t>
            </w:r>
          </w:p>
        </w:tc>
        <w:tc>
          <w:tcPr>
            <w:tcW w:w="1768"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9" w:hRule="atLeast"/>
          <w:jc w:val="center"/>
        </w:trPr>
        <w:tc>
          <w:tcPr>
            <w:tcW w:w="8838"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rPr>
                <w:rFonts w:ascii="宋体" w:hAnsi="宋体"/>
                <w:kern w:val="0"/>
              </w:rPr>
            </w:pPr>
            <w:r>
              <w:rPr>
                <w:rFonts w:hint="eastAsia" w:ascii="宋体" w:hAnsi="宋体"/>
                <w:kern w:val="0"/>
              </w:rPr>
              <w:t>1.散件及成品外观要求：光纤连接器外观平滑、洁净、无伤痕和裂纹，各部件组合平整，插头与转接器的接合平顺，易插拔，防尘帽与插芯松紧配合适当。</w:t>
            </w:r>
          </w:p>
          <w:p>
            <w:pPr>
              <w:autoSpaceDE w:val="0"/>
              <w:autoSpaceDN w:val="0"/>
              <w:adjustRightInd w:val="0"/>
              <w:spacing w:line="520" w:lineRule="atLeast"/>
              <w:rPr>
                <w:rFonts w:ascii="宋体" w:hAnsi="宋体"/>
                <w:kern w:val="0"/>
              </w:rPr>
            </w:pPr>
            <w:r>
              <w:rPr>
                <w:rFonts w:hint="eastAsia" w:ascii="宋体" w:hAnsi="宋体"/>
                <w:kern w:val="0"/>
              </w:rPr>
              <w:t>2.所用散件要求过96 小时高低温（-40℃~85℃）试验，阻燃且符合ROHS 环保要求。</w:t>
            </w:r>
          </w:p>
        </w:tc>
      </w:tr>
    </w:tbl>
    <w:p>
      <w:pPr>
        <w:autoSpaceDE w:val="0"/>
        <w:autoSpaceDN w:val="0"/>
        <w:adjustRightInd w:val="0"/>
        <w:spacing w:line="520" w:lineRule="atLeast"/>
        <w:rPr>
          <w:rFonts w:ascii="宋体" w:hAnsi="宋体"/>
          <w:kern w:val="0"/>
        </w:rPr>
      </w:pPr>
      <w:r>
        <w:rPr>
          <w:rFonts w:hint="eastAsia" w:ascii="宋体" w:hAnsi="宋体"/>
          <w:kern w:val="0"/>
        </w:rPr>
        <w:t>2.2.14.5 性能指标要求</w:t>
      </w:r>
    </w:p>
    <w:p>
      <w:pPr>
        <w:autoSpaceDE w:val="0"/>
        <w:autoSpaceDN w:val="0"/>
        <w:adjustRightInd w:val="0"/>
        <w:spacing w:line="520" w:lineRule="atLeast"/>
        <w:rPr>
          <w:rFonts w:ascii="宋体" w:hAnsi="宋体"/>
          <w:b/>
          <w:bCs/>
          <w:kern w:val="0"/>
        </w:rPr>
      </w:pPr>
      <w:r>
        <w:rPr>
          <w:rFonts w:hint="eastAsia" w:ascii="宋体" w:hAnsi="宋体"/>
          <w:b/>
          <w:bCs/>
          <w:kern w:val="0"/>
        </w:rPr>
        <w:t>表11：成品性能指标技术要求参数表</w:t>
      </w:r>
    </w:p>
    <w:tbl>
      <w:tblPr>
        <w:tblStyle w:val="9"/>
        <w:tblW w:w="8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913"/>
        <w:gridCol w:w="4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项目</w:t>
            </w:r>
          </w:p>
        </w:tc>
        <w:tc>
          <w:tcPr>
            <w:tcW w:w="191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单位</w:t>
            </w:r>
          </w:p>
        </w:tc>
        <w:tc>
          <w:tcPr>
            <w:tcW w:w="464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插损（IL)</w:t>
            </w:r>
          </w:p>
        </w:tc>
        <w:tc>
          <w:tcPr>
            <w:tcW w:w="191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dB</w:t>
            </w:r>
          </w:p>
        </w:tc>
        <w:tc>
          <w:tcPr>
            <w:tcW w:w="464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回损（RL）</w:t>
            </w:r>
          </w:p>
        </w:tc>
        <w:tc>
          <w:tcPr>
            <w:tcW w:w="191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dB</w:t>
            </w:r>
          </w:p>
        </w:tc>
        <w:tc>
          <w:tcPr>
            <w:tcW w:w="464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APC≥60， PC≥45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互换性</w:t>
            </w:r>
          </w:p>
        </w:tc>
        <w:tc>
          <w:tcPr>
            <w:tcW w:w="191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dB</w:t>
            </w:r>
          </w:p>
        </w:tc>
        <w:tc>
          <w:tcPr>
            <w:tcW w:w="464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任意插头的插入损耗（含适配器）≤0.2</w:t>
            </w:r>
          </w:p>
          <w:p>
            <w:pPr>
              <w:autoSpaceDE w:val="0"/>
              <w:autoSpaceDN w:val="0"/>
              <w:adjustRightInd w:val="0"/>
              <w:spacing w:line="520" w:lineRule="atLeast"/>
              <w:jc w:val="center"/>
              <w:rPr>
                <w:rFonts w:ascii="宋体" w:hAnsi="宋体"/>
                <w:kern w:val="0"/>
              </w:rPr>
            </w:pPr>
            <w:r>
              <w:rPr>
                <w:rFonts w:hint="eastAsia" w:ascii="宋体" w:hAnsi="宋体"/>
                <w:kern w:val="0"/>
              </w:rPr>
              <w:t>（含重复性）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机械耐久性</w:t>
            </w:r>
          </w:p>
        </w:tc>
        <w:tc>
          <w:tcPr>
            <w:tcW w:w="191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次</w:t>
            </w:r>
          </w:p>
        </w:tc>
        <w:tc>
          <w:tcPr>
            <w:tcW w:w="464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锁紧机构抗拉强度</w:t>
            </w:r>
          </w:p>
        </w:tc>
        <w:tc>
          <w:tcPr>
            <w:tcW w:w="191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w:t>
            </w:r>
          </w:p>
        </w:tc>
        <w:tc>
          <w:tcPr>
            <w:tcW w:w="464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＞50N/10min，插入损耗值△IL＜0.1dB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光缆长度</w:t>
            </w:r>
          </w:p>
        </w:tc>
        <w:tc>
          <w:tcPr>
            <w:tcW w:w="1913"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米</w:t>
            </w:r>
          </w:p>
        </w:tc>
        <w:tc>
          <w:tcPr>
            <w:tcW w:w="4647" w:type="dxa"/>
            <w:tcBorders>
              <w:top w:val="single" w:color="auto" w:sz="4" w:space="0"/>
              <w:left w:val="nil"/>
              <w:bottom w:val="single" w:color="auto" w:sz="4" w:space="0"/>
              <w:right w:val="single" w:color="auto" w:sz="4" w:space="0"/>
            </w:tcBorders>
            <w:vAlign w:val="center"/>
          </w:tcPr>
          <w:p>
            <w:pPr>
              <w:autoSpaceDE w:val="0"/>
              <w:autoSpaceDN w:val="0"/>
              <w:adjustRightInd w:val="0"/>
              <w:spacing w:line="520" w:lineRule="atLeast"/>
              <w:jc w:val="center"/>
              <w:rPr>
                <w:rFonts w:ascii="宋体" w:hAnsi="宋体"/>
                <w:kern w:val="0"/>
              </w:rPr>
            </w:pPr>
            <w:r>
              <w:rPr>
                <w:rFonts w:hint="eastAsia" w:ascii="宋体" w:hAnsi="宋体"/>
                <w:kern w:val="0"/>
              </w:rPr>
              <w:t>长度按客户订单要求</w:t>
            </w:r>
          </w:p>
        </w:tc>
      </w:tr>
    </w:tbl>
    <w:p>
      <w:pPr>
        <w:pStyle w:val="3"/>
        <w:spacing w:line="360" w:lineRule="auto"/>
        <w:ind w:left="254"/>
        <w:rPr>
          <w:rFonts w:ascii="宋体" w:hAnsi="宋体" w:eastAsia="宋体"/>
          <w:color w:val="000000"/>
          <w:sz w:val="21"/>
        </w:rPr>
      </w:pPr>
      <w:bookmarkStart w:id="8" w:name="_Toc491963497"/>
      <w:bookmarkEnd w:id="8"/>
      <w:bookmarkStart w:id="9" w:name="_Toc409795974"/>
      <w:bookmarkEnd w:id="9"/>
      <w:bookmarkStart w:id="10" w:name="_Toc409539449"/>
      <w:r>
        <w:rPr>
          <w:rFonts w:hint="eastAsia" w:hAnsi="黑体"/>
          <w:b w:val="0"/>
          <w:color w:val="000000"/>
          <w:sz w:val="21"/>
        </w:rPr>
        <w:t>三</w:t>
      </w:r>
      <w:r>
        <w:rPr>
          <w:rFonts w:hint="eastAsia"/>
          <w:b w:val="0"/>
          <w:color w:val="000000"/>
          <w:sz w:val="21"/>
        </w:rPr>
        <w:t xml:space="preserve">. </w:t>
      </w:r>
      <w:bookmarkEnd w:id="10"/>
      <w:r>
        <w:rPr>
          <w:rFonts w:hint="eastAsia" w:ascii="宋体" w:hAnsi="宋体" w:eastAsia="宋体"/>
          <w:color w:val="000000"/>
          <w:sz w:val="21"/>
        </w:rPr>
        <w:t>光缆</w:t>
      </w:r>
      <w:r>
        <w:rPr>
          <w:rFonts w:hint="eastAsia" w:hAnsi="黑体"/>
          <w:b w:val="0"/>
          <w:color w:val="000000"/>
          <w:sz w:val="21"/>
        </w:rPr>
        <w:t>主要技术要求和指</w:t>
      </w:r>
      <w:r>
        <w:rPr>
          <w:rFonts w:hint="eastAsia" w:ascii="宋体" w:hAnsi="宋体" w:eastAsia="宋体"/>
          <w:color w:val="000000"/>
          <w:sz w:val="21"/>
        </w:rPr>
        <w:t>标</w:t>
      </w:r>
    </w:p>
    <w:p>
      <w:pPr>
        <w:pStyle w:val="4"/>
        <w:rPr>
          <w:rFonts w:ascii="Arial" w:hAnsi="Arial"/>
          <w:b w:val="0"/>
          <w:sz w:val="21"/>
        </w:rPr>
      </w:pPr>
      <w:bookmarkStart w:id="11" w:name="_Toc409539450"/>
      <w:bookmarkEnd w:id="11"/>
      <w:bookmarkStart w:id="12" w:name="_Toc409795975"/>
      <w:bookmarkEnd w:id="12"/>
      <w:bookmarkStart w:id="13" w:name="_Toc491963498"/>
      <w:r>
        <w:rPr>
          <w:rFonts w:hint="eastAsia" w:ascii="Arial" w:hAnsi="Arial"/>
          <w:b w:val="0"/>
          <w:sz w:val="21"/>
        </w:rPr>
        <w:t>3</w:t>
      </w:r>
      <w:bookmarkEnd w:id="13"/>
      <w:r>
        <w:rPr>
          <w:rFonts w:ascii="Arial" w:hAnsi="Arial"/>
          <w:b w:val="0"/>
          <w:sz w:val="21"/>
        </w:rPr>
        <w:t>.1</w:t>
      </w:r>
      <w:r>
        <w:rPr>
          <w:rFonts w:hint="eastAsia" w:hAnsi="黑体"/>
          <w:b w:val="0"/>
          <w:sz w:val="21"/>
        </w:rPr>
        <w:t>光缆中的光纤</w:t>
      </w:r>
    </w:p>
    <w:p>
      <w:pPr>
        <w:spacing w:line="360" w:lineRule="auto"/>
        <w:ind w:firstLine="424" w:firstLineChars="202"/>
        <w:rPr>
          <w:rFonts w:ascii="宋体" w:hAnsi="宋体"/>
        </w:rPr>
      </w:pPr>
      <w:r>
        <w:rPr>
          <w:rFonts w:hint="eastAsia" w:ascii="宋体" w:hAnsi="宋体"/>
        </w:rPr>
        <w:t>本条款中的技术要求基于如下前提：</w:t>
      </w:r>
    </w:p>
    <w:p>
      <w:pPr>
        <w:spacing w:line="360" w:lineRule="auto"/>
        <w:ind w:firstLine="842" w:firstLineChars="401"/>
        <w:rPr>
          <w:rFonts w:ascii="宋体" w:hAnsi="宋体"/>
        </w:rPr>
      </w:pPr>
      <w:r>
        <w:rPr>
          <w:rFonts w:hint="eastAsia" w:ascii="宋体" w:hAnsi="宋体"/>
        </w:rPr>
        <w:t>1、本次集中采购光缆中的光纤，须采用主流厂商提供的优质单模光纤。要求在1550nm和1310nm两个波长窗口上的特性优于ITU-TG.652D建议值，并符合GB/T9771-88、YD/T593规定；</w:t>
      </w:r>
    </w:p>
    <w:p>
      <w:pPr>
        <w:spacing w:line="360" w:lineRule="auto"/>
        <w:ind w:firstLine="842" w:firstLineChars="401"/>
        <w:rPr>
          <w:rFonts w:ascii="宋体" w:hAnsi="宋体"/>
        </w:rPr>
      </w:pPr>
      <w:r>
        <w:rPr>
          <w:rFonts w:hint="eastAsia" w:ascii="宋体" w:hAnsi="宋体"/>
        </w:rPr>
        <w:t>2、除偏振模色散（PMD）及传输衰减等两项指标外，光纤在成缆前后的其他技术参数指标，均不得有任何变化。</w:t>
      </w:r>
    </w:p>
    <w:p>
      <w:pPr>
        <w:spacing w:line="360" w:lineRule="auto"/>
        <w:ind w:firstLine="424" w:firstLineChars="202"/>
        <w:rPr>
          <w:rFonts w:ascii="宋体" w:hAnsi="宋体"/>
        </w:rPr>
      </w:pPr>
      <w:r>
        <w:rPr>
          <w:rFonts w:hint="eastAsia" w:ascii="宋体" w:hAnsi="宋体"/>
        </w:rPr>
        <w:t>对在成缆过程中有可能对光纤本身传输性能造成附加负面影响的相关项目，提出具体的技术要求如下：</w:t>
      </w:r>
    </w:p>
    <w:p>
      <w:pPr>
        <w:pStyle w:val="5"/>
        <w:numPr>
          <w:ilvl w:val="3"/>
          <w:numId w:val="4"/>
        </w:numPr>
        <w:spacing w:line="360" w:lineRule="auto"/>
        <w:rPr>
          <w:rFonts w:ascii="宋体" w:hAnsi="宋体"/>
          <w:sz w:val="21"/>
          <w:szCs w:val="21"/>
        </w:rPr>
      </w:pPr>
      <w:r>
        <w:rPr>
          <w:rFonts w:hint="eastAsia" w:ascii="宋体" w:hAnsi="宋体"/>
          <w:sz w:val="21"/>
          <w:szCs w:val="21"/>
        </w:rPr>
        <w:t>3.1.1 G.652 D型光纤</w:t>
      </w:r>
    </w:p>
    <w:p>
      <w:pPr>
        <w:spacing w:line="360" w:lineRule="auto"/>
        <w:rPr>
          <w:rFonts w:ascii="宋体" w:hAnsi="宋体"/>
        </w:rPr>
      </w:pPr>
      <w:r>
        <w:rPr>
          <w:rFonts w:hint="eastAsia" w:ascii="宋体" w:hAnsi="宋体"/>
        </w:rPr>
        <w:t>3.1.1.1每一批次的所有光纤为同一型号和同一来源（同一工厂、同一材料、同一制造方法和同一折射率分布）。</w:t>
      </w:r>
    </w:p>
    <w:p>
      <w:pPr>
        <w:spacing w:line="360" w:lineRule="auto"/>
        <w:rPr>
          <w:rFonts w:ascii="宋体" w:hAnsi="宋体"/>
        </w:rPr>
      </w:pPr>
      <w:r>
        <w:rPr>
          <w:rFonts w:hint="eastAsia" w:ascii="宋体" w:hAnsi="宋体"/>
        </w:rPr>
        <w:t>3.1.1.2 成缆后光纤的衰减系数</w:t>
      </w:r>
    </w:p>
    <w:p>
      <w:pPr>
        <w:spacing w:line="360" w:lineRule="auto"/>
        <w:rPr>
          <w:rFonts w:ascii="宋体" w:hAnsi="宋体"/>
        </w:rPr>
      </w:pPr>
      <w:r>
        <w:rPr>
          <w:rFonts w:hint="eastAsia" w:ascii="宋体" w:hAnsi="宋体"/>
        </w:rPr>
        <w:t>（1）在1310ｎｍ波长上的最大衰减系数为：0.35ｄＢ／ｋｍ。</w:t>
      </w:r>
    </w:p>
    <w:p>
      <w:pPr>
        <w:spacing w:line="360" w:lineRule="auto"/>
        <w:rPr>
          <w:rFonts w:ascii="宋体" w:hAnsi="宋体"/>
        </w:rPr>
      </w:pPr>
      <w:r>
        <w:rPr>
          <w:rFonts w:hint="eastAsia" w:ascii="宋体" w:hAnsi="宋体"/>
        </w:rPr>
        <w:t>在1383ｎｍ±3ｎｍ波长上的最大衰减值小于1310ｎｍ波长上的最大衰减值。</w:t>
      </w:r>
    </w:p>
    <w:p>
      <w:pPr>
        <w:spacing w:line="360" w:lineRule="auto"/>
        <w:rPr>
          <w:rFonts w:ascii="宋体" w:hAnsi="宋体"/>
        </w:rPr>
      </w:pPr>
      <w:r>
        <w:rPr>
          <w:rFonts w:hint="eastAsia" w:ascii="宋体" w:hAnsi="宋体"/>
        </w:rPr>
        <w:t>在1550ｎｍ波长上的最大衰减值不大于0.22(特殊地区0.21)ｄＢ／ｋｍ。</w:t>
      </w:r>
    </w:p>
    <w:p>
      <w:pPr>
        <w:spacing w:line="360" w:lineRule="auto"/>
        <w:rPr>
          <w:rFonts w:ascii="宋体" w:hAnsi="宋体"/>
        </w:rPr>
      </w:pPr>
      <w:r>
        <w:rPr>
          <w:rFonts w:hint="eastAsia" w:ascii="宋体" w:hAnsi="宋体"/>
        </w:rPr>
        <w:t>在1625ｎｍ波长上的最大衰减值不大于0.26ｄＢ／ｋｍ。</w:t>
      </w:r>
    </w:p>
    <w:p>
      <w:pPr>
        <w:spacing w:line="360" w:lineRule="auto"/>
        <w:rPr>
          <w:rFonts w:ascii="宋体" w:hAnsi="宋体"/>
        </w:rPr>
      </w:pPr>
      <w:r>
        <w:rPr>
          <w:rFonts w:hint="eastAsia" w:ascii="宋体" w:hAnsi="宋体"/>
        </w:rPr>
        <w:t>在1285 ～ 1330ｎｍ波长范围内，任一波长上光纤的衰减系数与1310ｎｍ波长上的衰减系数相比，其差值不超过0.03ｄＢ／ｋｍ。</w:t>
      </w:r>
    </w:p>
    <w:p>
      <w:pPr>
        <w:spacing w:line="360" w:lineRule="auto"/>
        <w:rPr>
          <w:rFonts w:ascii="宋体" w:hAnsi="宋体"/>
        </w:rPr>
      </w:pPr>
      <w:r>
        <w:rPr>
          <w:rFonts w:hint="eastAsia" w:ascii="宋体" w:hAnsi="宋体"/>
        </w:rPr>
        <w:t>在1525 ～ 1575ｎｍ波长范围内，任一波长上光纤的衰减系数与1550ｎｍ波长上的衰减系数相比，其差值不超过0.05ｄＢ／ｋｍ。</w:t>
      </w:r>
    </w:p>
    <w:p>
      <w:pPr>
        <w:spacing w:line="360" w:lineRule="auto"/>
        <w:rPr>
          <w:rFonts w:ascii="宋体" w:hAnsi="宋体"/>
        </w:rPr>
      </w:pPr>
      <w:r>
        <w:rPr>
          <w:rFonts w:hint="eastAsia" w:ascii="宋体" w:hAnsi="宋体"/>
        </w:rPr>
        <w:t>在1310 ～ 1625ｎｍ波长范围内的最大衰减值为：0.35ｄＢ／ｋｍ。</w:t>
      </w:r>
    </w:p>
    <w:p>
      <w:pPr>
        <w:spacing w:line="360" w:lineRule="auto"/>
        <w:rPr>
          <w:rFonts w:ascii="宋体" w:hAnsi="宋体"/>
        </w:rPr>
      </w:pPr>
      <w:r>
        <w:rPr>
          <w:rFonts w:hint="eastAsia" w:ascii="宋体" w:hAnsi="宋体"/>
        </w:rPr>
        <w:t>（2）光纤衰减曲线应有良好的线性并且无明显台阶。用OTDR检测任意一根光纤时，在1310ｎｍ和1550ｎｍ处500ｍ光纤的衰减值不大于(</w:t>
      </w:r>
      <w:r>
        <w:rPr>
          <w:rFonts w:ascii="宋体" w:hAnsi="宋体"/>
        </w:rPr>
        <w:t>a</w:t>
      </w:r>
      <w:r>
        <w:rPr>
          <w:rFonts w:hint="eastAsia" w:ascii="宋体" w:hAnsi="宋体"/>
        </w:rPr>
        <w:t xml:space="preserve"> </w:t>
      </w:r>
      <w:r>
        <w:rPr>
          <w:rFonts w:hint="eastAsia" w:ascii="宋体" w:hAnsi="宋体"/>
          <w:vertAlign w:val="subscript"/>
        </w:rPr>
        <w:t xml:space="preserve">mean </w:t>
      </w:r>
      <w:r>
        <w:rPr>
          <w:rFonts w:hint="eastAsia" w:ascii="宋体" w:hAnsi="宋体"/>
        </w:rPr>
        <w:t>+0.10dB)/2，</w:t>
      </w:r>
      <w:r>
        <w:rPr>
          <w:rFonts w:ascii="宋体" w:hAnsi="宋体"/>
        </w:rPr>
        <w:t>a</w:t>
      </w:r>
      <w:r>
        <w:rPr>
          <w:rFonts w:hint="eastAsia" w:ascii="宋体" w:hAnsi="宋体"/>
        </w:rPr>
        <w:t xml:space="preserve"> </w:t>
      </w:r>
      <w:r>
        <w:rPr>
          <w:rFonts w:hint="eastAsia" w:ascii="宋体" w:hAnsi="宋体"/>
          <w:vertAlign w:val="subscript"/>
        </w:rPr>
        <w:t>mean</w:t>
      </w:r>
      <w:r>
        <w:rPr>
          <w:rFonts w:hint="eastAsia" w:ascii="宋体" w:hAnsi="宋体"/>
        </w:rPr>
        <w:t xml:space="preserve"> 是光纤的平均衰减系数。</w:t>
      </w:r>
    </w:p>
    <w:p>
      <w:pPr>
        <w:spacing w:line="360" w:lineRule="auto"/>
        <w:rPr>
          <w:rFonts w:ascii="宋体" w:hAnsi="宋体"/>
        </w:rPr>
      </w:pPr>
      <w:r>
        <w:rPr>
          <w:rFonts w:hint="eastAsia" w:ascii="宋体" w:hAnsi="宋体"/>
        </w:rPr>
        <w:t>3.1.1.3截止波长应满足下述λｃｃ的要求:</w:t>
      </w:r>
    </w:p>
    <w:p>
      <w:pPr>
        <w:spacing w:line="360" w:lineRule="auto"/>
        <w:ind w:firstLine="420" w:firstLineChars="200"/>
        <w:rPr>
          <w:rFonts w:ascii="宋体" w:hAnsi="宋体"/>
        </w:rPr>
      </w:pPr>
      <w:r>
        <w:rPr>
          <w:rFonts w:hint="eastAsia" w:ascii="宋体" w:hAnsi="宋体"/>
        </w:rPr>
        <w:t>λｃｃ：≤1250ｎｍ</w:t>
      </w:r>
    </w:p>
    <w:p>
      <w:pPr>
        <w:spacing w:line="360" w:lineRule="auto"/>
        <w:rPr>
          <w:rFonts w:ascii="宋体" w:hAnsi="宋体"/>
        </w:rPr>
      </w:pPr>
      <w:r>
        <w:rPr>
          <w:rFonts w:hint="eastAsia" w:ascii="宋体" w:hAnsi="宋体"/>
        </w:rPr>
        <w:t>3.1.1.4偏振模色散</w:t>
      </w:r>
    </w:p>
    <w:p>
      <w:pPr>
        <w:spacing w:line="360" w:lineRule="auto"/>
        <w:ind w:firstLine="424" w:firstLineChars="202"/>
        <w:rPr>
          <w:rFonts w:ascii="宋体" w:hAnsi="宋体"/>
        </w:rPr>
      </w:pPr>
      <w:r>
        <w:rPr>
          <w:rFonts w:hint="eastAsia" w:ascii="宋体" w:hAnsi="宋体"/>
        </w:rPr>
        <w:t>在1550ｎｍ波长光缆单盘偏振模色散系数：≤0.125ｐｓ／</w:t>
      </w:r>
      <w:r>
        <w:drawing>
          <wp:inline distT="0" distB="0" distL="114300" distR="114300">
            <wp:extent cx="342900" cy="227965"/>
            <wp:effectExtent l="0" t="0" r="0" b="635"/>
            <wp:docPr id="130" name="图片 5" descr="wpsE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descr="wpsEDB9"/>
                    <pic:cNvPicPr>
                      <a:picLocks noChangeAspect="1"/>
                    </pic:cNvPicPr>
                  </pic:nvPicPr>
                  <pic:blipFill>
                    <a:blip r:embed="rId36" cstate="print"/>
                    <a:stretch>
                      <a:fillRect/>
                    </a:stretch>
                  </pic:blipFill>
                  <pic:spPr>
                    <a:xfrm>
                      <a:off x="0" y="0"/>
                      <a:ext cx="342900" cy="227965"/>
                    </a:xfrm>
                    <a:prstGeom prst="rect">
                      <a:avLst/>
                    </a:prstGeom>
                    <a:noFill/>
                    <a:ln w="9525">
                      <a:noFill/>
                    </a:ln>
                  </pic:spPr>
                </pic:pic>
              </a:graphicData>
            </a:graphic>
          </wp:inline>
        </w:drawing>
      </w:r>
      <w:r>
        <w:rPr>
          <w:rFonts w:hint="eastAsia" w:ascii="宋体" w:hAnsi="宋体"/>
        </w:rPr>
        <w:t>；</w:t>
      </w:r>
    </w:p>
    <w:p>
      <w:pPr>
        <w:spacing w:line="360" w:lineRule="auto"/>
        <w:rPr>
          <w:rFonts w:ascii="宋体" w:hAnsi="宋体"/>
        </w:rPr>
      </w:pPr>
      <w:r>
        <w:rPr>
          <w:rFonts w:hint="eastAsia" w:ascii="宋体" w:hAnsi="宋体"/>
        </w:rPr>
        <w:t>光纤成缆后必须满足在1550ｎｍ波长光缆链路（≥20盘光缆）偏振模色散系数≤0.10ｐｓ／</w:t>
      </w:r>
      <w:r>
        <w:drawing>
          <wp:inline distT="0" distB="0" distL="114300" distR="114300">
            <wp:extent cx="342900" cy="227965"/>
            <wp:effectExtent l="0" t="0" r="0" b="635"/>
            <wp:docPr id="131" name="图片 6" descr="wpsE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descr="wpsEDB9"/>
                    <pic:cNvPicPr>
                      <a:picLocks noChangeAspect="1"/>
                    </pic:cNvPicPr>
                  </pic:nvPicPr>
                  <pic:blipFill>
                    <a:blip r:embed="rId36" cstate="print"/>
                    <a:stretch>
                      <a:fillRect/>
                    </a:stretch>
                  </pic:blipFill>
                  <pic:spPr>
                    <a:xfrm>
                      <a:off x="0" y="0"/>
                      <a:ext cx="342900" cy="227965"/>
                    </a:xfrm>
                    <a:prstGeom prst="rect">
                      <a:avLst/>
                    </a:prstGeom>
                    <a:noFill/>
                    <a:ln w="9525">
                      <a:noFill/>
                    </a:ln>
                  </pic:spPr>
                </pic:pic>
              </a:graphicData>
            </a:graphic>
          </wp:inline>
        </w:drawing>
      </w:r>
      <w:r>
        <w:rPr>
          <w:rFonts w:hint="eastAsia" w:ascii="宋体" w:hAnsi="宋体"/>
        </w:rPr>
        <w:t>；Q（概率）=0.01%。</w:t>
      </w:r>
    </w:p>
    <w:p>
      <w:pPr>
        <w:spacing w:line="360" w:lineRule="auto"/>
        <w:rPr>
          <w:rFonts w:ascii="宋体" w:hAnsi="宋体"/>
        </w:rPr>
      </w:pPr>
      <w:r>
        <w:rPr>
          <w:rFonts w:hint="eastAsia" w:ascii="宋体" w:hAnsi="宋体"/>
        </w:rPr>
        <w:t xml:space="preserve">3.1.1.5测试方法： </w:t>
      </w:r>
    </w:p>
    <w:p>
      <w:pPr>
        <w:spacing w:line="360" w:lineRule="auto"/>
        <w:rPr>
          <w:rFonts w:ascii="宋体" w:hAnsi="宋体"/>
          <w:b/>
          <w:bCs/>
        </w:rPr>
      </w:pPr>
      <w:r>
        <w:rPr>
          <w:rFonts w:hint="eastAsia" w:ascii="宋体" w:hAnsi="宋体"/>
        </w:rPr>
        <w:t>3.1.1.2 ～ 2.1.1.4项，按照国家标准和ITU-T G.650建议规定的方法测试。</w:t>
      </w:r>
    </w:p>
    <w:p>
      <w:pPr>
        <w:pStyle w:val="4"/>
        <w:rPr>
          <w:rFonts w:ascii="Arial" w:hAnsi="Arial"/>
          <w:b w:val="0"/>
          <w:sz w:val="21"/>
        </w:rPr>
      </w:pPr>
      <w:bookmarkStart w:id="14" w:name="_Toc491963499"/>
      <w:bookmarkEnd w:id="14"/>
      <w:bookmarkStart w:id="15" w:name="_Toc409539451"/>
      <w:bookmarkEnd w:id="15"/>
      <w:bookmarkStart w:id="16" w:name="_Toc409795976"/>
      <w:r>
        <w:rPr>
          <w:rFonts w:hint="eastAsia" w:ascii="Arial" w:hAnsi="Arial"/>
          <w:b w:val="0"/>
          <w:sz w:val="21"/>
        </w:rPr>
        <w:t>3</w:t>
      </w:r>
      <w:bookmarkEnd w:id="16"/>
      <w:r>
        <w:rPr>
          <w:rFonts w:ascii="Arial" w:hAnsi="Arial"/>
          <w:b w:val="0"/>
          <w:sz w:val="21"/>
        </w:rPr>
        <w:t xml:space="preserve">.2 </w:t>
      </w:r>
      <w:r>
        <w:rPr>
          <w:rFonts w:hint="eastAsia" w:hAnsi="黑体"/>
          <w:b w:val="0"/>
          <w:sz w:val="21"/>
        </w:rPr>
        <w:t>通信用室外型光缆</w:t>
      </w:r>
    </w:p>
    <w:p>
      <w:pPr>
        <w:pStyle w:val="5"/>
        <w:numPr>
          <w:ilvl w:val="3"/>
          <w:numId w:val="4"/>
        </w:numPr>
        <w:spacing w:line="360" w:lineRule="auto"/>
        <w:rPr>
          <w:rFonts w:ascii="宋体" w:hAnsi="宋体"/>
          <w:sz w:val="21"/>
          <w:szCs w:val="21"/>
        </w:rPr>
      </w:pPr>
      <w:r>
        <w:rPr>
          <w:rFonts w:hint="eastAsia" w:ascii="宋体" w:hAnsi="宋体"/>
          <w:sz w:val="21"/>
          <w:szCs w:val="21"/>
        </w:rPr>
        <w:t>3.2.1 缆芯结构</w:t>
      </w:r>
    </w:p>
    <w:p>
      <w:pPr>
        <w:spacing w:line="360" w:lineRule="auto"/>
        <w:ind w:firstLine="420" w:firstLineChars="200"/>
        <w:rPr>
          <w:rFonts w:ascii="宋体" w:hAnsi="宋体"/>
        </w:rPr>
      </w:pPr>
      <w:r>
        <w:rPr>
          <w:rFonts w:hint="eastAsia" w:ascii="宋体" w:hAnsi="宋体"/>
        </w:rPr>
        <w:t>缆芯结构为层绞式松套管结构和中心束管结构，缆芯中的光纤应加以很好的保护，使之免受机械、环境和电场的影响，缆芯内的所有间隙应有有效的阻水措施，缆芯内和松套管内应充满触变型的填充材料，填充材料应不影响光纤的传输性能和使用寿命。</w:t>
      </w:r>
    </w:p>
    <w:p>
      <w:pPr>
        <w:spacing w:line="360" w:lineRule="auto"/>
        <w:ind w:firstLine="424" w:firstLineChars="202"/>
        <w:rPr>
          <w:rFonts w:ascii="宋体" w:hAnsi="宋体"/>
        </w:rPr>
      </w:pPr>
      <w:r>
        <w:rPr>
          <w:rFonts w:hint="eastAsia" w:ascii="宋体" w:hAnsi="宋体"/>
        </w:rPr>
        <w:t>(1)松套管层绞式（GYTS/GYTA）： PE护套/金属加强件</w:t>
      </w:r>
    </w:p>
    <w:p>
      <w:pPr>
        <w:spacing w:line="360" w:lineRule="auto"/>
        <w:ind w:firstLine="420" w:firstLineChars="200"/>
        <w:rPr>
          <w:rFonts w:ascii="宋体" w:hAnsi="宋体"/>
        </w:rPr>
      </w:pPr>
      <w:r>
        <w:rPr>
          <w:rFonts w:hint="eastAsia" w:ascii="宋体" w:hAnsi="宋体"/>
        </w:rPr>
        <w:t>光缆内光纤芯数与松套管数量见表1；同一包中同芯数光缆松套管数及每根套管中的芯数及其色谱应一致。中心加强构件为金属的。金属加强构件应用高强度单圆钢丝，高强度钢丝为磷化钢丝，其表面应圆整光滑。钢丝的杨氏模量应不低于190GPa。在光缆制造长度内加强构件不允许接头。钢丝特性符合GB/T 24202-2009 《光缆增强用炭素钢丝》。36芯及其以下芯数的光缆，每根松套管内不多于6根光纤且为偶数。同一包中同芯数各类型光缆松套管及每根套管中的芯数应一致。光缆纤芯安排见表1，松套管均采用SZ绞形式，其外径标称值为1.8-3.0mm。36芯以上光缆，束管标称外径为2.5-3.0mm； 36芯以下（含36芯）光缆其束管标称外径为1.8-2.4mm ，容差≤±0.05mm；厚度应随外径增大，为0.30-0.50mm，容差≤±0.05mm。松套管标称尺寸可随光纤芯数改变，但在同一光缆中应相同。</w:t>
      </w:r>
    </w:p>
    <w:p>
      <w:pPr>
        <w:spacing w:line="360" w:lineRule="auto"/>
        <w:ind w:firstLine="420" w:firstLineChars="200"/>
        <w:rPr>
          <w:rFonts w:ascii="宋体" w:hAnsi="宋体"/>
          <w:kern w:val="0"/>
        </w:rPr>
      </w:pPr>
      <w:r>
        <w:rPr>
          <w:rFonts w:hint="eastAsia" w:ascii="宋体" w:hAnsi="宋体"/>
        </w:rPr>
        <w:t>各式光缆的束管、填充绳</w:t>
      </w:r>
      <w:r>
        <w:rPr>
          <w:rFonts w:hint="eastAsia" w:ascii="宋体" w:hAnsi="宋体"/>
          <w:kern w:val="0"/>
        </w:rPr>
        <w:t>及中心加强构件总数量之和不得小于6。</w:t>
      </w:r>
    </w:p>
    <w:p>
      <w:pPr>
        <w:spacing w:line="360" w:lineRule="auto"/>
        <w:ind w:firstLine="400" w:firstLineChars="200"/>
        <w:rPr>
          <w:rFonts w:ascii="宋体" w:hAnsi="宋体"/>
          <w:kern w:val="0"/>
          <w:sz w:val="20"/>
          <w:szCs w:val="20"/>
        </w:rPr>
      </w:pPr>
      <w:r>
        <w:rPr>
          <w:rFonts w:hint="eastAsia" w:ascii="宋体" w:hAnsi="宋体"/>
          <w:kern w:val="0"/>
          <w:sz w:val="20"/>
          <w:szCs w:val="20"/>
        </w:rPr>
        <w:t>表1：</w:t>
      </w:r>
    </w:p>
    <w:tbl>
      <w:tblPr>
        <w:tblStyle w:val="9"/>
        <w:tblW w:w="8460" w:type="dxa"/>
        <w:tblInd w:w="135" w:type="dxa"/>
        <w:tblLayout w:type="fixed"/>
        <w:tblCellMar>
          <w:top w:w="0" w:type="dxa"/>
          <w:left w:w="0" w:type="dxa"/>
          <w:bottom w:w="0" w:type="dxa"/>
          <w:right w:w="0" w:type="dxa"/>
        </w:tblCellMar>
      </w:tblPr>
      <w:tblGrid>
        <w:gridCol w:w="2820"/>
        <w:gridCol w:w="2820"/>
        <w:gridCol w:w="2820"/>
      </w:tblGrid>
      <w:tr>
        <w:tblPrEx>
          <w:tblLayout w:type="fixed"/>
          <w:tblCellMar>
            <w:top w:w="0" w:type="dxa"/>
            <w:left w:w="0" w:type="dxa"/>
            <w:bottom w:w="0" w:type="dxa"/>
            <w:right w:w="0" w:type="dxa"/>
          </w:tblCellMar>
        </w:tblPrEx>
        <w:trPr>
          <w:trHeight w:val="285" w:hRule="atLeast"/>
        </w:trPr>
        <w:tc>
          <w:tcPr>
            <w:tcW w:w="2820"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每管内光纤最大芯数</w:t>
            </w:r>
          </w:p>
        </w:tc>
        <w:tc>
          <w:tcPr>
            <w:tcW w:w="2820" w:type="dxa"/>
            <w:tcBorders>
              <w:top w:val="single" w:color="auto" w:sz="4" w:space="0"/>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松套管数量</w:t>
            </w:r>
          </w:p>
        </w:tc>
        <w:tc>
          <w:tcPr>
            <w:tcW w:w="2820" w:type="dxa"/>
            <w:tcBorders>
              <w:top w:val="single" w:color="auto" w:sz="4" w:space="0"/>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适用芯数</w:t>
            </w:r>
          </w:p>
        </w:tc>
      </w:tr>
      <w:tr>
        <w:tblPrEx>
          <w:tblLayout w:type="fixed"/>
          <w:tblCellMar>
            <w:top w:w="0" w:type="dxa"/>
            <w:left w:w="0" w:type="dxa"/>
            <w:bottom w:w="0" w:type="dxa"/>
            <w:right w:w="0" w:type="dxa"/>
          </w:tblCellMar>
        </w:tblPrEx>
        <w:trPr>
          <w:trHeight w:val="315" w:hRule="atLeast"/>
        </w:trPr>
        <w:tc>
          <w:tcPr>
            <w:tcW w:w="2820"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6</w:t>
            </w:r>
          </w:p>
        </w:tc>
        <w:tc>
          <w:tcPr>
            <w:tcW w:w="2820" w:type="dxa"/>
            <w:tcBorders>
              <w:top w:val="nil"/>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1</w:t>
            </w:r>
          </w:p>
        </w:tc>
        <w:tc>
          <w:tcPr>
            <w:tcW w:w="2820" w:type="dxa"/>
            <w:tcBorders>
              <w:top w:val="nil"/>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2——6</w:t>
            </w:r>
          </w:p>
        </w:tc>
      </w:tr>
      <w:tr>
        <w:tblPrEx>
          <w:tblLayout w:type="fixed"/>
          <w:tblCellMar>
            <w:top w:w="0" w:type="dxa"/>
            <w:left w:w="0" w:type="dxa"/>
            <w:bottom w:w="0" w:type="dxa"/>
            <w:right w:w="0" w:type="dxa"/>
          </w:tblCellMar>
        </w:tblPrEx>
        <w:trPr>
          <w:trHeight w:val="315" w:hRule="atLeast"/>
        </w:trPr>
        <w:tc>
          <w:tcPr>
            <w:tcW w:w="2820"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6</w:t>
            </w:r>
          </w:p>
        </w:tc>
        <w:tc>
          <w:tcPr>
            <w:tcW w:w="2820" w:type="dxa"/>
            <w:tcBorders>
              <w:top w:val="nil"/>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2</w:t>
            </w:r>
          </w:p>
        </w:tc>
        <w:tc>
          <w:tcPr>
            <w:tcW w:w="2820" w:type="dxa"/>
            <w:tcBorders>
              <w:top w:val="nil"/>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8——12</w:t>
            </w:r>
          </w:p>
        </w:tc>
      </w:tr>
      <w:tr>
        <w:tblPrEx>
          <w:tblLayout w:type="fixed"/>
          <w:tblCellMar>
            <w:top w:w="0" w:type="dxa"/>
            <w:left w:w="0" w:type="dxa"/>
            <w:bottom w:w="0" w:type="dxa"/>
            <w:right w:w="0" w:type="dxa"/>
          </w:tblCellMar>
        </w:tblPrEx>
        <w:trPr>
          <w:trHeight w:val="315" w:hRule="atLeast"/>
        </w:trPr>
        <w:tc>
          <w:tcPr>
            <w:tcW w:w="2820"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6</w:t>
            </w:r>
          </w:p>
        </w:tc>
        <w:tc>
          <w:tcPr>
            <w:tcW w:w="2820" w:type="dxa"/>
            <w:tcBorders>
              <w:top w:val="nil"/>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4</w:t>
            </w:r>
          </w:p>
        </w:tc>
        <w:tc>
          <w:tcPr>
            <w:tcW w:w="2820" w:type="dxa"/>
            <w:tcBorders>
              <w:top w:val="nil"/>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20——24</w:t>
            </w:r>
          </w:p>
        </w:tc>
      </w:tr>
      <w:tr>
        <w:tblPrEx>
          <w:tblLayout w:type="fixed"/>
          <w:tblCellMar>
            <w:top w:w="0" w:type="dxa"/>
            <w:left w:w="0" w:type="dxa"/>
            <w:bottom w:w="0" w:type="dxa"/>
            <w:right w:w="0" w:type="dxa"/>
          </w:tblCellMar>
        </w:tblPrEx>
        <w:trPr>
          <w:trHeight w:val="315" w:hRule="atLeast"/>
        </w:trPr>
        <w:tc>
          <w:tcPr>
            <w:tcW w:w="2820"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12</w:t>
            </w:r>
          </w:p>
        </w:tc>
        <w:tc>
          <w:tcPr>
            <w:tcW w:w="2820" w:type="dxa"/>
            <w:tcBorders>
              <w:top w:val="nil"/>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4</w:t>
            </w:r>
          </w:p>
        </w:tc>
        <w:tc>
          <w:tcPr>
            <w:tcW w:w="2820" w:type="dxa"/>
            <w:tcBorders>
              <w:top w:val="nil"/>
              <w:left w:val="nil"/>
              <w:bottom w:val="single" w:color="auto" w:sz="4" w:space="0"/>
              <w:right w:val="single" w:color="auto" w:sz="4" w:space="0"/>
            </w:tcBorders>
            <w:tcMar>
              <w:top w:w="20" w:type="dxa"/>
              <w:left w:w="20" w:type="dxa"/>
              <w:bottom w:w="0" w:type="dxa"/>
              <w:right w:w="20" w:type="dxa"/>
            </w:tcMar>
            <w:vAlign w:val="bottom"/>
          </w:tcPr>
          <w:p>
            <w:pPr>
              <w:spacing w:line="360" w:lineRule="auto"/>
              <w:ind w:firstLine="400" w:firstLineChars="200"/>
              <w:rPr>
                <w:rFonts w:ascii="宋体" w:hAnsi="宋体"/>
                <w:kern w:val="0"/>
                <w:sz w:val="20"/>
                <w:szCs w:val="20"/>
              </w:rPr>
            </w:pPr>
            <w:r>
              <w:rPr>
                <w:rFonts w:hint="eastAsia" w:ascii="宋体" w:hAnsi="宋体"/>
                <w:kern w:val="0"/>
                <w:sz w:val="20"/>
                <w:szCs w:val="20"/>
              </w:rPr>
              <w:t>38——48</w:t>
            </w:r>
          </w:p>
        </w:tc>
      </w:tr>
    </w:tbl>
    <w:p>
      <w:pPr>
        <w:spacing w:line="360" w:lineRule="auto"/>
        <w:ind w:firstLine="400" w:firstLineChars="200"/>
        <w:rPr>
          <w:rFonts w:ascii="宋体" w:hAnsi="宋体"/>
          <w:kern w:val="0"/>
          <w:sz w:val="20"/>
          <w:szCs w:val="20"/>
        </w:rPr>
      </w:pPr>
      <w:r>
        <w:rPr>
          <w:rFonts w:hint="eastAsia" w:ascii="宋体" w:hAnsi="宋体"/>
          <w:kern w:val="0"/>
          <w:sz w:val="20"/>
          <w:szCs w:val="20"/>
        </w:rPr>
        <w:t>少量特殊的松套管数量、外径、厚度要求的光缆在订单中提出。投标应无条件满足。</w:t>
      </w:r>
    </w:p>
    <w:p>
      <w:pPr>
        <w:spacing w:line="360" w:lineRule="auto"/>
        <w:ind w:firstLine="400" w:firstLineChars="200"/>
        <w:rPr>
          <w:rFonts w:ascii="宋体" w:hAnsi="宋体"/>
          <w:kern w:val="0"/>
          <w:sz w:val="20"/>
          <w:szCs w:val="20"/>
        </w:rPr>
      </w:pPr>
      <w:r>
        <w:rPr>
          <w:rFonts w:hint="eastAsia" w:ascii="宋体" w:hAnsi="宋体"/>
          <w:kern w:val="0"/>
          <w:sz w:val="20"/>
          <w:szCs w:val="20"/>
        </w:rPr>
        <w:t>(2)中心束管式（GYXTW）：钢带纵包/PE护套/2根平行钢丝</w:t>
      </w:r>
    </w:p>
    <w:p>
      <w:pPr>
        <w:spacing w:line="360" w:lineRule="auto"/>
        <w:ind w:firstLine="400" w:firstLineChars="200"/>
        <w:rPr>
          <w:rFonts w:ascii="宋体" w:hAnsi="宋体"/>
          <w:kern w:val="0"/>
          <w:sz w:val="20"/>
          <w:szCs w:val="20"/>
        </w:rPr>
      </w:pPr>
      <w:r>
        <w:rPr>
          <w:rFonts w:hint="eastAsia" w:ascii="宋体" w:hAnsi="宋体"/>
          <w:kern w:val="0"/>
          <w:sz w:val="20"/>
          <w:szCs w:val="20"/>
        </w:rPr>
        <w:t>金属加强芯应采用不锈钢丝，也可采用其它不易腐蚀的、不析氢的、镀有保护层的钢丝等（优先选用单根磷化钢丝）。松套管外径为2.5～10.0mm，容差≤±0.1mm，厚度应随外径增大，为0.40～1.00mm，容差≤±0.05mm。</w:t>
      </w:r>
    </w:p>
    <w:p>
      <w:pPr>
        <w:spacing w:line="360" w:lineRule="auto"/>
        <w:ind w:firstLine="400" w:firstLineChars="200"/>
        <w:rPr>
          <w:rFonts w:ascii="宋体" w:hAnsi="宋体"/>
          <w:kern w:val="0"/>
          <w:sz w:val="20"/>
          <w:szCs w:val="20"/>
        </w:rPr>
      </w:pPr>
      <w:r>
        <w:rPr>
          <w:rFonts w:hint="eastAsia" w:ascii="宋体" w:hAnsi="宋体"/>
          <w:kern w:val="0"/>
          <w:sz w:val="20"/>
          <w:szCs w:val="20"/>
        </w:rPr>
        <w:t>3.2.2 护层结构</w:t>
      </w:r>
    </w:p>
    <w:p>
      <w:pPr>
        <w:spacing w:line="360" w:lineRule="auto"/>
        <w:ind w:firstLine="400" w:firstLineChars="200"/>
        <w:rPr>
          <w:rFonts w:ascii="宋体" w:hAnsi="宋体"/>
          <w:kern w:val="0"/>
          <w:sz w:val="20"/>
          <w:szCs w:val="20"/>
        </w:rPr>
      </w:pPr>
      <w:r>
        <w:rPr>
          <w:rFonts w:hint="eastAsia" w:ascii="宋体" w:hAnsi="宋体"/>
          <w:kern w:val="0"/>
          <w:sz w:val="20"/>
          <w:szCs w:val="20"/>
        </w:rPr>
        <w:t>投标人应根据下列基本要求提出详细结构图并清晰注明各部分尺寸。</w:t>
      </w:r>
    </w:p>
    <w:p>
      <w:pPr>
        <w:spacing w:line="360" w:lineRule="auto"/>
        <w:ind w:firstLine="400" w:firstLineChars="200"/>
        <w:rPr>
          <w:rFonts w:ascii="宋体" w:hAnsi="宋体"/>
          <w:kern w:val="0"/>
          <w:sz w:val="20"/>
          <w:szCs w:val="20"/>
        </w:rPr>
      </w:pPr>
      <w:r>
        <w:rPr>
          <w:rFonts w:hint="eastAsia" w:ascii="宋体" w:hAnsi="宋体"/>
          <w:kern w:val="0"/>
          <w:sz w:val="20"/>
          <w:szCs w:val="20"/>
        </w:rPr>
        <w:t>3.2.2.1 管道/架空光缆：</w:t>
      </w:r>
    </w:p>
    <w:p>
      <w:pPr>
        <w:spacing w:line="360" w:lineRule="auto"/>
        <w:ind w:firstLine="400" w:firstLineChars="200"/>
        <w:rPr>
          <w:rFonts w:ascii="宋体" w:hAnsi="宋体"/>
          <w:kern w:val="0"/>
          <w:sz w:val="20"/>
          <w:szCs w:val="20"/>
        </w:rPr>
      </w:pPr>
      <w:r>
        <w:rPr>
          <w:rFonts w:hint="eastAsia" w:ascii="宋体" w:hAnsi="宋体"/>
          <w:kern w:val="0"/>
          <w:sz w:val="20"/>
          <w:szCs w:val="20"/>
        </w:rPr>
        <w:t>（1）涂塑钢带＋聚乙烯外护层</w:t>
      </w:r>
    </w:p>
    <w:p>
      <w:pPr>
        <w:spacing w:line="360" w:lineRule="auto"/>
        <w:ind w:firstLine="400" w:firstLineChars="200"/>
        <w:rPr>
          <w:rFonts w:ascii="宋体" w:hAnsi="宋体"/>
          <w:kern w:val="0"/>
          <w:sz w:val="20"/>
          <w:szCs w:val="20"/>
        </w:rPr>
      </w:pPr>
      <w:r>
        <w:rPr>
          <w:rFonts w:hint="eastAsia" w:ascii="宋体" w:hAnsi="宋体"/>
          <w:kern w:val="0"/>
          <w:sz w:val="20"/>
          <w:szCs w:val="20"/>
        </w:rPr>
        <w:t>（2）或者两根或多根平行钢丝的钢—聚乙烯粘结护套（W护套）、夹带两根或多根平行钢丝的聚乙烯护套、加强构件为FRP杆均匀分布放置的聚乙烯护套或非金属纤维增强塑料带包覆的聚乙烯粘结护套和其它均匀分布放置的护套（如金属加强构件均匀放置的钢—聚乙烯护套或非金属纱线均匀放置的聚乙烯护套）。</w:t>
      </w:r>
    </w:p>
    <w:p>
      <w:pPr>
        <w:spacing w:line="360" w:lineRule="auto"/>
        <w:ind w:firstLine="400" w:firstLineChars="200"/>
        <w:rPr>
          <w:rFonts w:ascii="宋体" w:hAnsi="宋体"/>
          <w:kern w:val="0"/>
          <w:sz w:val="20"/>
          <w:szCs w:val="20"/>
        </w:rPr>
      </w:pPr>
      <w:r>
        <w:rPr>
          <w:rFonts w:hint="eastAsia" w:ascii="宋体" w:hAnsi="宋体"/>
          <w:kern w:val="0"/>
          <w:sz w:val="20"/>
          <w:szCs w:val="20"/>
        </w:rPr>
        <w:t>3.2.2.2 聚乙烯护层的厚度</w:t>
      </w:r>
    </w:p>
    <w:p>
      <w:pPr>
        <w:spacing w:line="360" w:lineRule="auto"/>
        <w:ind w:firstLine="400" w:firstLineChars="200"/>
        <w:rPr>
          <w:rFonts w:ascii="宋体" w:hAnsi="宋体"/>
          <w:kern w:val="0"/>
          <w:sz w:val="20"/>
          <w:szCs w:val="20"/>
        </w:rPr>
      </w:pPr>
      <w:r>
        <w:rPr>
          <w:rFonts w:hint="eastAsia" w:ascii="宋体" w:hAnsi="宋体"/>
          <w:kern w:val="0"/>
          <w:sz w:val="20"/>
          <w:szCs w:val="20"/>
        </w:rPr>
        <w:t>外护层(PE)厚度:中心束管式标称值为≥2.2mm，加强件外缘至聚乙烯套外缘的聚乙烯厚度的标称值应不小于1.2mm。层绞式外护层标称厚度应为2.0mm，允许最小厚度为1.8mm，任何横截面上的平均厚度应不小于1.9mm。外护层的横截成面上应无目力可见的气泡和沙眼，外护层表面应圆整光滑，无目力可见裂纹。</w:t>
      </w:r>
    </w:p>
    <w:p>
      <w:pPr>
        <w:spacing w:line="360" w:lineRule="auto"/>
        <w:ind w:firstLine="400" w:firstLineChars="200"/>
        <w:rPr>
          <w:rFonts w:ascii="宋体" w:hAnsi="宋体"/>
          <w:kern w:val="0"/>
          <w:sz w:val="20"/>
          <w:szCs w:val="20"/>
        </w:rPr>
      </w:pPr>
      <w:r>
        <w:rPr>
          <w:rFonts w:hint="eastAsia" w:ascii="宋体" w:hAnsi="宋体"/>
          <w:kern w:val="0"/>
          <w:sz w:val="20"/>
          <w:szCs w:val="20"/>
        </w:rPr>
        <w:t>内护层：</w:t>
      </w:r>
    </w:p>
    <w:p>
      <w:pPr>
        <w:spacing w:line="360" w:lineRule="auto"/>
        <w:ind w:firstLine="400" w:firstLineChars="200"/>
        <w:rPr>
          <w:rFonts w:ascii="宋体" w:hAnsi="宋体"/>
          <w:kern w:val="0"/>
          <w:sz w:val="20"/>
          <w:szCs w:val="20"/>
        </w:rPr>
      </w:pPr>
      <w:r>
        <w:rPr>
          <w:rFonts w:hint="eastAsia" w:ascii="宋体" w:hAnsi="宋体"/>
          <w:kern w:val="0"/>
          <w:sz w:val="20"/>
          <w:szCs w:val="20"/>
        </w:rPr>
        <w:t>标称值：≥1.0ｍｍ</w:t>
      </w:r>
    </w:p>
    <w:p>
      <w:pPr>
        <w:spacing w:line="360" w:lineRule="auto"/>
        <w:ind w:firstLine="400" w:firstLineChars="200"/>
        <w:rPr>
          <w:rFonts w:ascii="宋体" w:hAnsi="宋体"/>
          <w:kern w:val="0"/>
          <w:sz w:val="20"/>
          <w:szCs w:val="20"/>
        </w:rPr>
      </w:pPr>
      <w:r>
        <w:rPr>
          <w:rFonts w:hint="eastAsia" w:ascii="宋体" w:hAnsi="宋体"/>
          <w:kern w:val="0"/>
          <w:sz w:val="20"/>
          <w:szCs w:val="20"/>
        </w:rPr>
        <w:t>聚乙烯护层表面应光滑平整，无气泡。厚度测试方法应符合IEC.540和IEC.189。</w:t>
      </w:r>
    </w:p>
    <w:p>
      <w:pPr>
        <w:spacing w:line="360" w:lineRule="auto"/>
        <w:ind w:firstLine="400" w:firstLineChars="200"/>
        <w:rPr>
          <w:rFonts w:ascii="宋体" w:hAnsi="宋体"/>
          <w:kern w:val="0"/>
          <w:sz w:val="20"/>
          <w:szCs w:val="20"/>
        </w:rPr>
      </w:pPr>
      <w:r>
        <w:rPr>
          <w:rFonts w:hint="eastAsia" w:ascii="宋体" w:hAnsi="宋体"/>
          <w:kern w:val="0"/>
          <w:sz w:val="20"/>
          <w:szCs w:val="20"/>
        </w:rPr>
        <w:t>3.2.2.3层绞式光缆的钢带、不锈钢带搭接的宽度应大于5ｍｍ或者缆芯直径小于8.0mm时不小于缆芯周长的20%，中心束管式光缆复合带搭接的重迭宽度不小于缆芯周长的20%。</w:t>
      </w:r>
    </w:p>
    <w:p>
      <w:pPr>
        <w:spacing w:line="360" w:lineRule="auto"/>
        <w:ind w:firstLine="400" w:firstLineChars="200"/>
        <w:rPr>
          <w:rFonts w:ascii="宋体" w:hAnsi="宋体"/>
          <w:kern w:val="0"/>
          <w:sz w:val="20"/>
          <w:szCs w:val="20"/>
        </w:rPr>
      </w:pPr>
      <w:r>
        <w:rPr>
          <w:rFonts w:hint="eastAsia" w:ascii="宋体" w:hAnsi="宋体"/>
          <w:kern w:val="0"/>
          <w:sz w:val="20"/>
          <w:szCs w:val="20"/>
        </w:rPr>
        <w:t>3.2.2.4双面涂塑钢带或不锈钢带与聚乙烯护层之间的粘接强度应不小于1.4Ｎ／ｍｍ；搭接处钢带（或不锈钢带）与钢带（或不锈钢带）之间及铝带与铝带之间的粘接撕裂强度应不小于1.4Ｎ／ｍｍ。</w:t>
      </w:r>
    </w:p>
    <w:p>
      <w:pPr>
        <w:spacing w:line="360" w:lineRule="auto"/>
        <w:ind w:firstLine="400" w:firstLineChars="200"/>
        <w:rPr>
          <w:rFonts w:ascii="宋体" w:hAnsi="宋体"/>
          <w:kern w:val="0"/>
          <w:sz w:val="20"/>
          <w:szCs w:val="20"/>
        </w:rPr>
      </w:pPr>
      <w:r>
        <w:rPr>
          <w:rFonts w:hint="eastAsia" w:ascii="宋体" w:hAnsi="宋体"/>
          <w:kern w:val="0"/>
          <w:sz w:val="20"/>
          <w:szCs w:val="20"/>
        </w:rPr>
        <w:t>3.2.2.5钢带厚度≥0.15ｍｍ</w:t>
      </w:r>
    </w:p>
    <w:p>
      <w:pPr>
        <w:spacing w:line="360" w:lineRule="auto"/>
        <w:ind w:firstLine="400" w:firstLineChars="200"/>
        <w:rPr>
          <w:rFonts w:ascii="宋体" w:hAnsi="宋体"/>
          <w:kern w:val="0"/>
          <w:sz w:val="20"/>
          <w:szCs w:val="20"/>
        </w:rPr>
      </w:pPr>
      <w:r>
        <w:rPr>
          <w:rFonts w:hint="eastAsia" w:ascii="宋体" w:hAnsi="宋体"/>
          <w:kern w:val="0"/>
          <w:sz w:val="20"/>
          <w:szCs w:val="20"/>
        </w:rPr>
        <w:t>不锈钢带厚度≥0.15ｍｍ</w:t>
      </w:r>
    </w:p>
    <w:p>
      <w:pPr>
        <w:spacing w:line="360" w:lineRule="auto"/>
        <w:ind w:firstLine="400" w:firstLineChars="200"/>
        <w:rPr>
          <w:rFonts w:ascii="宋体" w:hAnsi="宋体"/>
          <w:kern w:val="0"/>
          <w:sz w:val="20"/>
          <w:szCs w:val="20"/>
        </w:rPr>
      </w:pPr>
      <w:r>
        <w:rPr>
          <w:rFonts w:hint="eastAsia" w:ascii="宋体" w:hAnsi="宋体"/>
          <w:kern w:val="0"/>
          <w:sz w:val="20"/>
          <w:szCs w:val="20"/>
        </w:rPr>
        <w:t>涂塑层厚度≥0.05ｍｍ（每边）。</w:t>
      </w:r>
    </w:p>
    <w:p>
      <w:pPr>
        <w:spacing w:line="360" w:lineRule="auto"/>
        <w:ind w:firstLine="400" w:firstLineChars="200"/>
        <w:rPr>
          <w:rFonts w:ascii="宋体" w:hAnsi="宋体"/>
          <w:kern w:val="0"/>
          <w:sz w:val="20"/>
          <w:szCs w:val="20"/>
        </w:rPr>
      </w:pPr>
      <w:r>
        <w:rPr>
          <w:rFonts w:hint="eastAsia" w:ascii="宋体" w:hAnsi="宋体"/>
          <w:kern w:val="0"/>
          <w:sz w:val="20"/>
          <w:szCs w:val="20"/>
        </w:rPr>
        <w:t>3.2.2.6 不锈钢带的机械性能、环境性能及介电性能要求应符合YD/T 723.3-2007中的规定。</w:t>
      </w:r>
    </w:p>
    <w:p>
      <w:pPr>
        <w:spacing w:line="360" w:lineRule="auto"/>
        <w:ind w:firstLine="400" w:firstLineChars="200"/>
        <w:rPr>
          <w:rFonts w:ascii="宋体" w:hAnsi="宋体"/>
          <w:kern w:val="0"/>
          <w:sz w:val="20"/>
          <w:szCs w:val="20"/>
        </w:rPr>
      </w:pPr>
      <w:r>
        <w:rPr>
          <w:rFonts w:hint="eastAsia" w:ascii="宋体" w:hAnsi="宋体"/>
          <w:kern w:val="0"/>
          <w:sz w:val="20"/>
          <w:szCs w:val="20"/>
        </w:rPr>
        <w:t xml:space="preserve">3.2.2.7光缆结构应是全截面阻水结构，光缆的所有间隙应填充阻水材料； </w:t>
      </w:r>
    </w:p>
    <w:p>
      <w:pPr>
        <w:spacing w:line="360" w:lineRule="auto"/>
        <w:ind w:firstLine="400" w:firstLineChars="200"/>
        <w:rPr>
          <w:rFonts w:ascii="宋体" w:hAnsi="宋体"/>
          <w:kern w:val="0"/>
          <w:sz w:val="20"/>
          <w:szCs w:val="20"/>
        </w:rPr>
      </w:pPr>
      <w:r>
        <w:rPr>
          <w:rFonts w:hint="eastAsia" w:ascii="宋体" w:hAnsi="宋体"/>
          <w:kern w:val="0"/>
          <w:sz w:val="20"/>
          <w:szCs w:val="20"/>
        </w:rPr>
        <w:t>3.2.3 光纤识别</w:t>
      </w:r>
    </w:p>
    <w:p>
      <w:pPr>
        <w:spacing w:line="360" w:lineRule="auto"/>
        <w:ind w:firstLine="400" w:firstLineChars="200"/>
        <w:rPr>
          <w:rFonts w:ascii="宋体" w:hAnsi="宋体"/>
          <w:kern w:val="0"/>
          <w:sz w:val="20"/>
          <w:szCs w:val="20"/>
        </w:rPr>
      </w:pPr>
      <w:r>
        <w:rPr>
          <w:rFonts w:hint="eastAsia" w:ascii="宋体" w:hAnsi="宋体"/>
          <w:kern w:val="0"/>
          <w:sz w:val="20"/>
          <w:szCs w:val="20"/>
        </w:rPr>
        <w:t>(1)为了便于识别，光纤和松套管必须有色谱标志，投标人应提供具体的色谱排列。</w:t>
      </w:r>
    </w:p>
    <w:p>
      <w:pPr>
        <w:spacing w:line="360" w:lineRule="auto"/>
        <w:ind w:firstLine="400" w:firstLineChars="200"/>
        <w:rPr>
          <w:rFonts w:ascii="宋体" w:hAnsi="宋体"/>
          <w:kern w:val="0"/>
          <w:sz w:val="20"/>
          <w:szCs w:val="20"/>
        </w:rPr>
      </w:pPr>
      <w:r>
        <w:rPr>
          <w:rFonts w:hint="eastAsia" w:ascii="宋体" w:hAnsi="宋体"/>
          <w:kern w:val="0"/>
          <w:sz w:val="20"/>
          <w:szCs w:val="20"/>
        </w:rPr>
        <w:t>用于识别的色标应鲜明，在安装或运行中可能遇到的温度下，不褪色，不迁染到相邻的其它光缆元件上，并应透明。</w:t>
      </w:r>
    </w:p>
    <w:p>
      <w:pPr>
        <w:spacing w:line="360" w:lineRule="auto"/>
        <w:ind w:firstLine="400" w:firstLineChars="200"/>
        <w:rPr>
          <w:rFonts w:ascii="宋体" w:hAnsi="宋体"/>
          <w:kern w:val="0"/>
          <w:sz w:val="20"/>
          <w:szCs w:val="20"/>
        </w:rPr>
      </w:pPr>
      <w:r>
        <w:rPr>
          <w:rFonts w:hint="eastAsia" w:ascii="宋体" w:hAnsi="宋体"/>
          <w:kern w:val="0"/>
          <w:sz w:val="20"/>
          <w:szCs w:val="20"/>
        </w:rPr>
        <w:t>(2)松套管宜采用全色谱标志，当松套管采用全色谱标志时，面向光缆Ａ端看，在顺时针方向上松套管序号增大，松套管序号及其对应的颜色应符合表２规定。</w:t>
      </w:r>
    </w:p>
    <w:p>
      <w:pPr>
        <w:spacing w:line="360" w:lineRule="auto"/>
        <w:ind w:firstLine="400" w:firstLineChars="200"/>
        <w:rPr>
          <w:rFonts w:ascii="宋体" w:hAnsi="宋体"/>
          <w:kern w:val="0"/>
          <w:sz w:val="20"/>
          <w:szCs w:val="20"/>
        </w:rPr>
      </w:pPr>
      <w:r>
        <w:rPr>
          <w:rFonts w:hint="eastAsia" w:ascii="宋体" w:hAnsi="宋体"/>
          <w:kern w:val="0"/>
          <w:sz w:val="20"/>
          <w:szCs w:val="20"/>
        </w:rPr>
        <w:t>(3)光纤应采用全色谱标志，其颜色应选自表２规定的各种颜色，在不影响识别的情况下允许使用本色；松套管内光纤的序号宜按表2颜色序号排列。</w:t>
      </w:r>
    </w:p>
    <w:p>
      <w:pPr>
        <w:spacing w:line="360" w:lineRule="auto"/>
        <w:ind w:firstLine="400" w:firstLineChars="200"/>
        <w:rPr>
          <w:rFonts w:ascii="宋体" w:hAnsi="宋体"/>
          <w:kern w:val="0"/>
          <w:sz w:val="20"/>
          <w:szCs w:val="20"/>
        </w:rPr>
      </w:pPr>
      <w:r>
        <w:rPr>
          <w:rFonts w:hint="eastAsia" w:ascii="宋体" w:hAnsi="宋体"/>
          <w:kern w:val="0"/>
          <w:sz w:val="20"/>
          <w:szCs w:val="20"/>
        </w:rPr>
        <w:t>表2：识别用全色谱</w:t>
      </w:r>
    </w:p>
    <w:tbl>
      <w:tblPr>
        <w:tblStyle w:val="9"/>
        <w:tblW w:w="907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0"/>
        <w:gridCol w:w="665"/>
        <w:gridCol w:w="664"/>
        <w:gridCol w:w="665"/>
        <w:gridCol w:w="665"/>
        <w:gridCol w:w="664"/>
        <w:gridCol w:w="665"/>
        <w:gridCol w:w="664"/>
        <w:gridCol w:w="665"/>
        <w:gridCol w:w="665"/>
        <w:gridCol w:w="664"/>
        <w:gridCol w:w="736"/>
        <w:gridCol w:w="8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序号</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w:t>
            </w:r>
          </w:p>
        </w:tc>
        <w:tc>
          <w:tcPr>
            <w:tcW w:w="664"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2</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3</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4</w:t>
            </w:r>
          </w:p>
        </w:tc>
        <w:tc>
          <w:tcPr>
            <w:tcW w:w="664"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5</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6</w:t>
            </w:r>
          </w:p>
        </w:tc>
        <w:tc>
          <w:tcPr>
            <w:tcW w:w="664"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7</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8</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9</w:t>
            </w:r>
          </w:p>
        </w:tc>
        <w:tc>
          <w:tcPr>
            <w:tcW w:w="664"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10</w:t>
            </w:r>
          </w:p>
        </w:tc>
        <w:tc>
          <w:tcPr>
            <w:tcW w:w="736"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11</w:t>
            </w:r>
          </w:p>
        </w:tc>
        <w:tc>
          <w:tcPr>
            <w:tcW w:w="851"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颜色</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蓝</w:t>
            </w:r>
          </w:p>
        </w:tc>
        <w:tc>
          <w:tcPr>
            <w:tcW w:w="664"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桔</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绿</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棕</w:t>
            </w:r>
          </w:p>
        </w:tc>
        <w:tc>
          <w:tcPr>
            <w:tcW w:w="664"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灰</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白</w:t>
            </w:r>
          </w:p>
        </w:tc>
        <w:tc>
          <w:tcPr>
            <w:tcW w:w="664"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红</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黑</w:t>
            </w:r>
          </w:p>
        </w:tc>
        <w:tc>
          <w:tcPr>
            <w:tcW w:w="665"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黄</w:t>
            </w:r>
          </w:p>
        </w:tc>
        <w:tc>
          <w:tcPr>
            <w:tcW w:w="664"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紫</w:t>
            </w:r>
          </w:p>
        </w:tc>
        <w:tc>
          <w:tcPr>
            <w:tcW w:w="736"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粉红</w:t>
            </w:r>
          </w:p>
        </w:tc>
        <w:tc>
          <w:tcPr>
            <w:tcW w:w="851" w:type="dxa"/>
            <w:tcBorders>
              <w:top w:val="single" w:color="000000" w:sz="6" w:space="0"/>
              <w:left w:val="nil"/>
              <w:bottom w:val="single" w:color="000000" w:sz="6" w:space="0"/>
              <w:right w:val="single" w:color="000000" w:sz="6"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青绿</w:t>
            </w:r>
          </w:p>
        </w:tc>
      </w:tr>
    </w:tbl>
    <w:p>
      <w:pPr>
        <w:spacing w:line="360" w:lineRule="auto"/>
        <w:ind w:firstLine="400" w:firstLineChars="200"/>
        <w:rPr>
          <w:rFonts w:ascii="宋体" w:hAnsi="宋体"/>
          <w:kern w:val="0"/>
          <w:sz w:val="20"/>
          <w:szCs w:val="20"/>
        </w:rPr>
      </w:pPr>
      <w:r>
        <w:rPr>
          <w:rFonts w:hint="eastAsia" w:ascii="宋体" w:hAnsi="宋体"/>
          <w:kern w:val="0"/>
          <w:sz w:val="20"/>
          <w:szCs w:val="20"/>
        </w:rPr>
        <w:t xml:space="preserve">(4) 每盘光缆两端应分别有端别识别标志；面向光缆看，在顺时针方向上松套管序号增大时为Ａ端，反之为Ｂ端；Ａ端标志为红色，Ｂ端标志为绿色。 </w:t>
      </w:r>
    </w:p>
    <w:p>
      <w:pPr>
        <w:spacing w:line="360" w:lineRule="auto"/>
        <w:ind w:firstLine="400" w:firstLineChars="200"/>
        <w:rPr>
          <w:rFonts w:ascii="宋体" w:hAnsi="宋体"/>
          <w:kern w:val="0"/>
          <w:sz w:val="20"/>
          <w:szCs w:val="20"/>
        </w:rPr>
      </w:pPr>
      <w:r>
        <w:rPr>
          <w:rFonts w:hint="eastAsia" w:ascii="宋体" w:hAnsi="宋体"/>
          <w:kern w:val="0"/>
          <w:sz w:val="20"/>
          <w:szCs w:val="20"/>
        </w:rPr>
        <w:t>3.2.4 机械要求和测试方法</w:t>
      </w:r>
    </w:p>
    <w:p>
      <w:pPr>
        <w:spacing w:line="360" w:lineRule="auto"/>
        <w:ind w:firstLine="400" w:firstLineChars="200"/>
        <w:rPr>
          <w:rFonts w:ascii="宋体" w:hAnsi="宋体"/>
          <w:kern w:val="0"/>
          <w:sz w:val="20"/>
          <w:szCs w:val="20"/>
        </w:rPr>
      </w:pPr>
      <w:r>
        <w:rPr>
          <w:rFonts w:hint="eastAsia" w:ascii="宋体" w:hAnsi="宋体"/>
          <w:kern w:val="0"/>
          <w:sz w:val="20"/>
          <w:szCs w:val="20"/>
        </w:rPr>
        <w:t>对本条款下的各项指标，在实验期间，监测系统的稳定性引起的监测结果的不确定性应优于0.03ｄＢ。试验中光纤衰减变化量的绝对值不超过0.03ｄＢ时，可判定为“无明显附加衰减”。允许衰减有数值的变化时，应理解为该数值已包括不确定性在内。</w:t>
      </w:r>
    </w:p>
    <w:p>
      <w:pPr>
        <w:spacing w:line="360" w:lineRule="auto"/>
        <w:ind w:firstLine="400" w:firstLineChars="200"/>
        <w:rPr>
          <w:rFonts w:ascii="宋体" w:hAnsi="宋体"/>
          <w:kern w:val="0"/>
          <w:sz w:val="20"/>
          <w:szCs w:val="20"/>
        </w:rPr>
      </w:pPr>
      <w:r>
        <w:rPr>
          <w:rFonts w:hint="eastAsia" w:ascii="宋体" w:hAnsi="宋体"/>
          <w:kern w:val="0"/>
          <w:sz w:val="20"/>
          <w:szCs w:val="20"/>
        </w:rPr>
        <w:t>机械性能要求的检测由招标人按照以下测试方法测试或评判。</w:t>
      </w:r>
    </w:p>
    <w:p>
      <w:pPr>
        <w:spacing w:line="360" w:lineRule="auto"/>
        <w:ind w:firstLine="400" w:firstLineChars="200"/>
        <w:rPr>
          <w:rFonts w:ascii="宋体" w:hAnsi="宋体"/>
          <w:kern w:val="0"/>
          <w:sz w:val="20"/>
          <w:szCs w:val="20"/>
        </w:rPr>
      </w:pPr>
      <w:r>
        <w:rPr>
          <w:rFonts w:hint="eastAsia" w:ascii="宋体" w:hAnsi="宋体"/>
          <w:kern w:val="0"/>
          <w:sz w:val="20"/>
          <w:szCs w:val="20"/>
        </w:rPr>
        <w:t>光纤拉伸应变宜采用相移法进行监测，其系统的精确度应优于0.005％，试验中监测到的光纤应变不大于0.005％时，可判定为“无明显应变”。</w:t>
      </w:r>
    </w:p>
    <w:p>
      <w:pPr>
        <w:spacing w:line="360" w:lineRule="auto"/>
        <w:ind w:firstLine="400" w:firstLineChars="200"/>
        <w:rPr>
          <w:rFonts w:ascii="宋体" w:hAnsi="宋体"/>
          <w:kern w:val="0"/>
          <w:sz w:val="20"/>
          <w:szCs w:val="20"/>
        </w:rPr>
      </w:pPr>
      <w:r>
        <w:rPr>
          <w:rFonts w:hint="eastAsia" w:ascii="宋体" w:hAnsi="宋体"/>
          <w:kern w:val="0"/>
          <w:sz w:val="20"/>
          <w:szCs w:val="20"/>
        </w:rPr>
        <w:t>3.2.4.1 拉伸</w:t>
      </w:r>
    </w:p>
    <w:p>
      <w:pPr>
        <w:spacing w:line="360" w:lineRule="auto"/>
        <w:ind w:firstLine="400" w:firstLineChars="200"/>
        <w:rPr>
          <w:rFonts w:ascii="宋体" w:hAnsi="宋体"/>
          <w:kern w:val="0"/>
          <w:sz w:val="20"/>
          <w:szCs w:val="20"/>
        </w:rPr>
      </w:pPr>
      <w:r>
        <w:rPr>
          <w:rFonts w:hint="eastAsia" w:ascii="宋体" w:hAnsi="宋体"/>
          <w:kern w:val="0"/>
          <w:sz w:val="20"/>
          <w:szCs w:val="20"/>
        </w:rPr>
        <w:t>(1) 测试方法：IEC794-1-E1建议和GB/T 7424.2-2008的规定。</w:t>
      </w:r>
    </w:p>
    <w:p>
      <w:pPr>
        <w:spacing w:line="360" w:lineRule="auto"/>
        <w:ind w:firstLine="400" w:firstLineChars="200"/>
        <w:rPr>
          <w:rFonts w:ascii="宋体" w:hAnsi="宋体"/>
          <w:kern w:val="0"/>
          <w:sz w:val="20"/>
          <w:szCs w:val="20"/>
        </w:rPr>
      </w:pPr>
      <w:r>
        <w:rPr>
          <w:rFonts w:hint="eastAsia" w:ascii="宋体" w:hAnsi="宋体"/>
          <w:kern w:val="0"/>
          <w:sz w:val="20"/>
          <w:szCs w:val="20"/>
        </w:rPr>
        <w:t>(2) 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允许张力：见表3</w:t>
      </w:r>
    </w:p>
    <w:p>
      <w:pPr>
        <w:spacing w:line="360" w:lineRule="auto"/>
        <w:ind w:firstLine="400" w:firstLineChars="200"/>
        <w:rPr>
          <w:rFonts w:ascii="宋体" w:hAnsi="宋体"/>
          <w:kern w:val="0"/>
          <w:sz w:val="20"/>
          <w:szCs w:val="20"/>
        </w:rPr>
      </w:pPr>
      <w:r>
        <w:rPr>
          <w:rFonts w:hint="eastAsia" w:ascii="宋体" w:hAnsi="宋体"/>
          <w:kern w:val="0"/>
          <w:sz w:val="20"/>
          <w:szCs w:val="20"/>
        </w:rPr>
        <w:t>试验用光缆长度：不小于50米</w:t>
      </w:r>
    </w:p>
    <w:p>
      <w:pPr>
        <w:spacing w:line="360" w:lineRule="auto"/>
        <w:ind w:firstLine="400" w:firstLineChars="200"/>
        <w:rPr>
          <w:rFonts w:ascii="宋体" w:hAnsi="宋体"/>
          <w:kern w:val="0"/>
          <w:sz w:val="20"/>
          <w:szCs w:val="20"/>
        </w:rPr>
      </w:pPr>
      <w:r>
        <w:rPr>
          <w:rFonts w:hint="eastAsia" w:ascii="宋体" w:hAnsi="宋体"/>
          <w:kern w:val="0"/>
          <w:sz w:val="20"/>
          <w:szCs w:val="20"/>
        </w:rPr>
        <w:t>保持最大拉力时间：≥1分钟</w:t>
      </w:r>
    </w:p>
    <w:p>
      <w:pPr>
        <w:spacing w:line="360" w:lineRule="auto"/>
        <w:ind w:firstLine="400" w:firstLineChars="200"/>
        <w:rPr>
          <w:rFonts w:ascii="宋体" w:hAnsi="宋体"/>
          <w:kern w:val="0"/>
          <w:sz w:val="20"/>
          <w:szCs w:val="20"/>
        </w:rPr>
      </w:pPr>
      <w:r>
        <w:rPr>
          <w:rFonts w:hint="eastAsia" w:ascii="宋体" w:hAnsi="宋体"/>
          <w:kern w:val="0"/>
          <w:sz w:val="20"/>
          <w:szCs w:val="20"/>
        </w:rPr>
        <w:t>(3) 验收标准</w:t>
      </w:r>
    </w:p>
    <w:p>
      <w:pPr>
        <w:spacing w:line="360" w:lineRule="auto"/>
        <w:ind w:firstLine="400" w:firstLineChars="200"/>
        <w:rPr>
          <w:rFonts w:ascii="宋体" w:hAnsi="宋体"/>
          <w:kern w:val="0"/>
          <w:sz w:val="20"/>
          <w:szCs w:val="20"/>
        </w:rPr>
      </w:pPr>
      <w:r>
        <w:rPr>
          <w:rFonts w:hint="eastAsia" w:ascii="宋体" w:hAnsi="宋体"/>
          <w:kern w:val="0"/>
          <w:sz w:val="20"/>
          <w:szCs w:val="20"/>
        </w:rPr>
        <w:t>(a) 长期张力</w:t>
      </w:r>
    </w:p>
    <w:p>
      <w:pPr>
        <w:spacing w:line="360" w:lineRule="auto"/>
        <w:ind w:firstLine="400" w:firstLineChars="200"/>
        <w:rPr>
          <w:rFonts w:ascii="宋体" w:hAnsi="宋体"/>
          <w:kern w:val="0"/>
          <w:sz w:val="20"/>
          <w:szCs w:val="20"/>
        </w:rPr>
      </w:pPr>
      <w:r>
        <w:rPr>
          <w:rFonts w:hint="eastAsia" w:ascii="宋体" w:hAnsi="宋体"/>
          <w:kern w:val="0"/>
          <w:sz w:val="20"/>
          <w:szCs w:val="20"/>
        </w:rPr>
        <w:t>光缆应变不大于0.20%，同时，光缆内每一根光纤应无明显应变，缆中光纤在1310ｎｍ、1550ｎｍ处应无明显附加衰减。</w:t>
      </w:r>
    </w:p>
    <w:p>
      <w:pPr>
        <w:spacing w:line="360" w:lineRule="auto"/>
        <w:ind w:firstLine="400" w:firstLineChars="200"/>
        <w:rPr>
          <w:rFonts w:ascii="宋体" w:hAnsi="宋体"/>
          <w:kern w:val="0"/>
          <w:sz w:val="20"/>
          <w:szCs w:val="20"/>
        </w:rPr>
      </w:pPr>
      <w:r>
        <w:rPr>
          <w:rFonts w:hint="eastAsia" w:ascii="宋体" w:hAnsi="宋体"/>
          <w:kern w:val="0"/>
          <w:sz w:val="20"/>
          <w:szCs w:val="20"/>
        </w:rPr>
        <w:t>(b) 短期张力</w:t>
      </w:r>
    </w:p>
    <w:p>
      <w:pPr>
        <w:spacing w:line="360" w:lineRule="auto"/>
        <w:ind w:firstLine="400" w:firstLineChars="200"/>
        <w:rPr>
          <w:rFonts w:ascii="宋体" w:hAnsi="宋体"/>
          <w:kern w:val="0"/>
          <w:sz w:val="20"/>
          <w:szCs w:val="20"/>
        </w:rPr>
      </w:pPr>
      <w:r>
        <w:rPr>
          <w:rFonts w:hint="eastAsia" w:ascii="宋体" w:hAnsi="宋体"/>
          <w:kern w:val="0"/>
          <w:sz w:val="20"/>
          <w:szCs w:val="20"/>
        </w:rPr>
        <w:t>光缆中所有光纤的应变应不大于0.15%,缆中光纤在1310ｎｍ、1550ｎｍ处应附加衰减不大于0.1dB。</w:t>
      </w:r>
    </w:p>
    <w:p>
      <w:pPr>
        <w:spacing w:line="360" w:lineRule="auto"/>
        <w:ind w:firstLine="400" w:firstLineChars="200"/>
        <w:rPr>
          <w:rFonts w:ascii="宋体" w:hAnsi="宋体"/>
          <w:kern w:val="0"/>
          <w:sz w:val="20"/>
          <w:szCs w:val="20"/>
        </w:rPr>
      </w:pPr>
      <w:r>
        <w:rPr>
          <w:rFonts w:hint="eastAsia" w:ascii="宋体" w:hAnsi="宋体"/>
          <w:kern w:val="0"/>
          <w:sz w:val="20"/>
          <w:szCs w:val="20"/>
        </w:rPr>
        <w:t>表3：光缆允许张力表</w:t>
      </w:r>
    </w:p>
    <w:tbl>
      <w:tblPr>
        <w:tblStyle w:val="9"/>
        <w:tblW w:w="8822" w:type="dxa"/>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30" w:type="dxa"/>
          <w:bottom w:w="0" w:type="dxa"/>
          <w:right w:w="30" w:type="dxa"/>
        </w:tblCellMar>
      </w:tblPr>
      <w:tblGrid>
        <w:gridCol w:w="3482"/>
        <w:gridCol w:w="1320"/>
        <w:gridCol w:w="40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30" w:type="dxa"/>
            <w:bottom w:w="0" w:type="dxa"/>
            <w:right w:w="30" w:type="dxa"/>
          </w:tblCellMar>
        </w:tblPrEx>
        <w:trPr>
          <w:cantSplit/>
        </w:trPr>
        <w:tc>
          <w:tcPr>
            <w:tcW w:w="3482" w:type="dxa"/>
            <w:vMerge w:val="restart"/>
            <w:tcBorders>
              <w:top w:val="single" w:color="000000" w:sz="6" w:space="0"/>
              <w:left w:val="single" w:color="000000" w:sz="6" w:space="0"/>
              <w:bottom w:val="single" w:color="000000" w:sz="6" w:space="0"/>
              <w:right w:val="single" w:color="000000" w:sz="6"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光缆类型</w:t>
            </w:r>
          </w:p>
        </w:tc>
        <w:tc>
          <w:tcPr>
            <w:tcW w:w="5340" w:type="dxa"/>
            <w:gridSpan w:val="2"/>
            <w:tcBorders>
              <w:top w:val="single" w:color="000000" w:sz="6" w:space="0"/>
              <w:left w:val="nil"/>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允许张力(N)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30" w:type="dxa"/>
            <w:bottom w:w="0" w:type="dxa"/>
            <w:right w:w="30" w:type="dxa"/>
          </w:tblCellMar>
        </w:tblPrEx>
        <w:trPr>
          <w:cantSplit/>
        </w:trPr>
        <w:tc>
          <w:tcPr>
            <w:tcW w:w="3482"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ascii="宋体" w:hAnsi="宋体"/>
                <w:kern w:val="0"/>
                <w:sz w:val="20"/>
                <w:szCs w:val="20"/>
              </w:rPr>
            </w:pPr>
          </w:p>
        </w:tc>
        <w:tc>
          <w:tcPr>
            <w:tcW w:w="1320" w:type="dxa"/>
            <w:tcBorders>
              <w:top w:val="single" w:color="000000" w:sz="6" w:space="0"/>
              <w:left w:val="nil"/>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长期</w:t>
            </w:r>
          </w:p>
        </w:tc>
        <w:tc>
          <w:tcPr>
            <w:tcW w:w="4020" w:type="dxa"/>
            <w:tcBorders>
              <w:top w:val="single" w:color="000000" w:sz="6" w:space="0"/>
              <w:left w:val="nil"/>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短期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30" w:type="dxa"/>
            <w:bottom w:w="0" w:type="dxa"/>
            <w:right w:w="30" w:type="dxa"/>
          </w:tblCellMar>
        </w:tblPrEx>
        <w:trPr>
          <w:cantSplit/>
        </w:trPr>
        <w:tc>
          <w:tcPr>
            <w:tcW w:w="3482" w:type="dxa"/>
            <w:tcBorders>
              <w:top w:val="single" w:color="000000" w:sz="6" w:space="0"/>
              <w:left w:val="single" w:color="000000" w:sz="6" w:space="0"/>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架空光缆和非金属光缆</w:t>
            </w:r>
          </w:p>
        </w:tc>
        <w:tc>
          <w:tcPr>
            <w:tcW w:w="1320" w:type="dxa"/>
            <w:tcBorders>
              <w:top w:val="single" w:color="000000" w:sz="6" w:space="0"/>
              <w:left w:val="nil"/>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600</w:t>
            </w:r>
          </w:p>
        </w:tc>
        <w:tc>
          <w:tcPr>
            <w:tcW w:w="4020" w:type="dxa"/>
            <w:tcBorders>
              <w:top w:val="single" w:color="000000" w:sz="6" w:space="0"/>
              <w:left w:val="nil"/>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30" w:type="dxa"/>
            <w:bottom w:w="0" w:type="dxa"/>
            <w:right w:w="30" w:type="dxa"/>
          </w:tblCellMar>
        </w:tblPrEx>
        <w:trPr>
          <w:cantSplit/>
        </w:trPr>
        <w:tc>
          <w:tcPr>
            <w:tcW w:w="3482" w:type="dxa"/>
            <w:tcBorders>
              <w:top w:val="single" w:color="000000" w:sz="6" w:space="0"/>
              <w:left w:val="single" w:color="000000" w:sz="6" w:space="0"/>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管道光缆和阻燃光缆</w:t>
            </w:r>
          </w:p>
        </w:tc>
        <w:tc>
          <w:tcPr>
            <w:tcW w:w="1320" w:type="dxa"/>
            <w:tcBorders>
              <w:top w:val="single" w:color="000000" w:sz="6" w:space="0"/>
              <w:left w:val="nil"/>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600</w:t>
            </w:r>
          </w:p>
        </w:tc>
        <w:tc>
          <w:tcPr>
            <w:tcW w:w="4020" w:type="dxa"/>
            <w:tcBorders>
              <w:top w:val="single" w:color="000000" w:sz="6" w:space="0"/>
              <w:left w:val="nil"/>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每公里光缆重量,但不小于1500</w:t>
            </w:r>
          </w:p>
        </w:tc>
      </w:tr>
    </w:tbl>
    <w:p>
      <w:pPr>
        <w:spacing w:line="360" w:lineRule="auto"/>
        <w:ind w:firstLine="400" w:firstLineChars="200"/>
        <w:rPr>
          <w:rFonts w:ascii="宋体" w:hAnsi="宋体"/>
          <w:kern w:val="0"/>
          <w:sz w:val="20"/>
          <w:szCs w:val="20"/>
        </w:rPr>
      </w:pPr>
      <w:r>
        <w:rPr>
          <w:rFonts w:hint="eastAsia" w:ascii="宋体" w:hAnsi="宋体"/>
          <w:kern w:val="0"/>
          <w:sz w:val="20"/>
          <w:szCs w:val="20"/>
        </w:rPr>
        <w:t>3.2.4.2 压扁</w:t>
      </w:r>
    </w:p>
    <w:p>
      <w:pPr>
        <w:spacing w:line="360" w:lineRule="auto"/>
        <w:ind w:firstLine="400" w:firstLineChars="200"/>
        <w:rPr>
          <w:rFonts w:ascii="宋体" w:hAnsi="宋体"/>
          <w:kern w:val="0"/>
          <w:sz w:val="20"/>
          <w:szCs w:val="20"/>
        </w:rPr>
      </w:pPr>
      <w:r>
        <w:rPr>
          <w:rFonts w:hint="eastAsia" w:ascii="宋体" w:hAnsi="宋体"/>
          <w:kern w:val="0"/>
          <w:sz w:val="20"/>
          <w:szCs w:val="20"/>
        </w:rPr>
        <w:t>(1) 测试方法：IEC794-1-E3</w:t>
      </w:r>
    </w:p>
    <w:p>
      <w:pPr>
        <w:spacing w:line="360" w:lineRule="auto"/>
        <w:ind w:firstLine="400" w:firstLineChars="200"/>
        <w:rPr>
          <w:rFonts w:ascii="宋体" w:hAnsi="宋体"/>
          <w:kern w:val="0"/>
          <w:sz w:val="20"/>
          <w:szCs w:val="20"/>
        </w:rPr>
      </w:pPr>
      <w:r>
        <w:rPr>
          <w:rFonts w:hint="eastAsia" w:ascii="宋体" w:hAnsi="宋体"/>
          <w:kern w:val="0"/>
          <w:sz w:val="20"/>
          <w:szCs w:val="20"/>
        </w:rPr>
        <w:t>(2) 试验条件：最大压力见表4</w:t>
      </w:r>
    </w:p>
    <w:p>
      <w:pPr>
        <w:spacing w:line="360" w:lineRule="auto"/>
        <w:ind w:firstLine="400" w:firstLineChars="200"/>
        <w:rPr>
          <w:rFonts w:ascii="宋体" w:hAnsi="宋体"/>
          <w:kern w:val="0"/>
          <w:sz w:val="20"/>
          <w:szCs w:val="20"/>
        </w:rPr>
      </w:pPr>
      <w:r>
        <w:rPr>
          <w:rFonts w:hint="eastAsia" w:ascii="宋体" w:hAnsi="宋体"/>
          <w:kern w:val="0"/>
          <w:sz w:val="20"/>
          <w:szCs w:val="20"/>
        </w:rPr>
        <w:t>加载时间：1分钟</w:t>
      </w:r>
    </w:p>
    <w:p>
      <w:pPr>
        <w:spacing w:line="360" w:lineRule="auto"/>
        <w:ind w:firstLine="400" w:firstLineChars="200"/>
        <w:rPr>
          <w:rFonts w:hint="eastAsia" w:ascii="宋体" w:hAnsi="宋体"/>
          <w:kern w:val="0"/>
          <w:sz w:val="20"/>
          <w:szCs w:val="20"/>
        </w:rPr>
      </w:pPr>
    </w:p>
    <w:p>
      <w:pPr>
        <w:spacing w:line="360" w:lineRule="auto"/>
        <w:ind w:firstLine="400" w:firstLineChars="200"/>
        <w:rPr>
          <w:rFonts w:hint="eastAsia" w:ascii="宋体" w:hAnsi="宋体"/>
          <w:kern w:val="0"/>
          <w:sz w:val="20"/>
          <w:szCs w:val="20"/>
        </w:rPr>
      </w:pPr>
    </w:p>
    <w:p>
      <w:pPr>
        <w:spacing w:line="360" w:lineRule="auto"/>
        <w:ind w:firstLine="400" w:firstLineChars="200"/>
        <w:rPr>
          <w:rFonts w:ascii="宋体" w:hAnsi="宋体"/>
          <w:kern w:val="0"/>
          <w:sz w:val="20"/>
          <w:szCs w:val="20"/>
        </w:rPr>
      </w:pPr>
      <w:r>
        <w:rPr>
          <w:rFonts w:hint="eastAsia" w:ascii="宋体" w:hAnsi="宋体"/>
          <w:kern w:val="0"/>
          <w:sz w:val="20"/>
          <w:szCs w:val="20"/>
        </w:rPr>
        <w:t xml:space="preserve">表4：光缆允许侧压力表 </w:t>
      </w:r>
    </w:p>
    <w:tbl>
      <w:tblPr>
        <w:tblStyle w:val="9"/>
        <w:tblW w:w="8402" w:type="dxa"/>
        <w:tblInd w:w="135" w:type="dxa"/>
        <w:tblLayout w:type="fixed"/>
        <w:tblCellMar>
          <w:top w:w="0" w:type="dxa"/>
          <w:left w:w="30" w:type="dxa"/>
          <w:bottom w:w="0" w:type="dxa"/>
          <w:right w:w="30" w:type="dxa"/>
        </w:tblCellMar>
      </w:tblPr>
      <w:tblGrid>
        <w:gridCol w:w="3602"/>
        <w:gridCol w:w="2447"/>
        <w:gridCol w:w="2353"/>
      </w:tblGrid>
      <w:tr>
        <w:tblPrEx>
          <w:tblLayout w:type="fixed"/>
          <w:tblCellMar>
            <w:top w:w="0" w:type="dxa"/>
            <w:left w:w="30" w:type="dxa"/>
            <w:bottom w:w="0" w:type="dxa"/>
            <w:right w:w="30" w:type="dxa"/>
          </w:tblCellMar>
        </w:tblPrEx>
        <w:trPr>
          <w:cantSplit/>
          <w:trHeight w:val="328" w:hRule="atLeast"/>
        </w:trPr>
        <w:tc>
          <w:tcPr>
            <w:tcW w:w="3602" w:type="dxa"/>
            <w:vMerge w:val="restart"/>
            <w:tcBorders>
              <w:top w:val="single" w:color="000000" w:sz="6" w:space="0"/>
              <w:left w:val="single" w:color="000000" w:sz="6" w:space="0"/>
              <w:bottom w:val="nil"/>
              <w:right w:val="nil"/>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光缆类型</w:t>
            </w:r>
          </w:p>
        </w:tc>
        <w:tc>
          <w:tcPr>
            <w:tcW w:w="4800" w:type="dxa"/>
            <w:gridSpan w:val="2"/>
            <w:tcBorders>
              <w:top w:val="single" w:color="000000" w:sz="6" w:space="0"/>
              <w:left w:val="single" w:color="000000" w:sz="6" w:space="0"/>
              <w:bottom w:val="nil"/>
              <w:right w:val="single" w:color="auto" w:sz="4"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允许侧压力(N/100mm)</w:t>
            </w:r>
          </w:p>
        </w:tc>
      </w:tr>
      <w:tr>
        <w:tblPrEx>
          <w:tblLayout w:type="fixed"/>
          <w:tblCellMar>
            <w:top w:w="0" w:type="dxa"/>
            <w:left w:w="30" w:type="dxa"/>
            <w:bottom w:w="0" w:type="dxa"/>
            <w:right w:w="30" w:type="dxa"/>
          </w:tblCellMar>
        </w:tblPrEx>
        <w:trPr>
          <w:cantSplit/>
          <w:trHeight w:val="328" w:hRule="atLeast"/>
        </w:trPr>
        <w:tc>
          <w:tcPr>
            <w:tcW w:w="3602" w:type="dxa"/>
            <w:vMerge w:val="continue"/>
            <w:tcBorders>
              <w:top w:val="single" w:color="000000" w:sz="6" w:space="0"/>
              <w:left w:val="single" w:color="000000" w:sz="6" w:space="0"/>
              <w:bottom w:val="nil"/>
              <w:right w:val="nil"/>
            </w:tcBorders>
            <w:vAlign w:val="center"/>
          </w:tcPr>
          <w:p>
            <w:pPr>
              <w:widowControl/>
              <w:jc w:val="left"/>
              <w:rPr>
                <w:rFonts w:ascii="宋体" w:hAnsi="宋体"/>
                <w:kern w:val="0"/>
                <w:sz w:val="20"/>
                <w:szCs w:val="20"/>
              </w:rPr>
            </w:pPr>
          </w:p>
        </w:tc>
        <w:tc>
          <w:tcPr>
            <w:tcW w:w="2447" w:type="dxa"/>
            <w:tcBorders>
              <w:top w:val="single" w:color="000000" w:sz="6" w:space="0"/>
              <w:left w:val="single" w:color="000000" w:sz="6" w:space="0"/>
              <w:bottom w:val="nil"/>
              <w:right w:val="nil"/>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长期</w:t>
            </w:r>
          </w:p>
        </w:tc>
        <w:tc>
          <w:tcPr>
            <w:tcW w:w="2353" w:type="dxa"/>
            <w:tcBorders>
              <w:top w:val="single" w:color="000000" w:sz="6" w:space="0"/>
              <w:left w:val="single" w:color="000000" w:sz="6" w:space="0"/>
              <w:bottom w:val="nil"/>
              <w:right w:val="single" w:color="auto" w:sz="4"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短期</w:t>
            </w:r>
          </w:p>
        </w:tc>
      </w:tr>
      <w:tr>
        <w:tblPrEx>
          <w:tblLayout w:type="fixed"/>
          <w:tblCellMar>
            <w:top w:w="0" w:type="dxa"/>
            <w:left w:w="30" w:type="dxa"/>
            <w:bottom w:w="0" w:type="dxa"/>
            <w:right w:w="30" w:type="dxa"/>
          </w:tblCellMar>
        </w:tblPrEx>
        <w:trPr>
          <w:cantSplit/>
        </w:trPr>
        <w:tc>
          <w:tcPr>
            <w:tcW w:w="3602" w:type="dxa"/>
            <w:tcBorders>
              <w:top w:val="single" w:color="000000" w:sz="6" w:space="0"/>
              <w:left w:val="single" w:color="000000" w:sz="6" w:space="0"/>
              <w:bottom w:val="nil"/>
              <w:right w:val="nil"/>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架空光缆和非金属光缆</w:t>
            </w:r>
          </w:p>
        </w:tc>
        <w:tc>
          <w:tcPr>
            <w:tcW w:w="2447" w:type="dxa"/>
            <w:tcBorders>
              <w:top w:val="single" w:color="000000" w:sz="6" w:space="0"/>
              <w:left w:val="single" w:color="000000" w:sz="6" w:space="0"/>
              <w:bottom w:val="nil"/>
              <w:right w:val="nil"/>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800</w:t>
            </w:r>
          </w:p>
        </w:tc>
        <w:tc>
          <w:tcPr>
            <w:tcW w:w="2353" w:type="dxa"/>
            <w:tcBorders>
              <w:top w:val="single" w:color="000000" w:sz="6" w:space="0"/>
              <w:left w:val="single" w:color="000000" w:sz="6" w:space="0"/>
              <w:bottom w:val="nil"/>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1000</w:t>
            </w:r>
          </w:p>
        </w:tc>
      </w:tr>
      <w:tr>
        <w:tblPrEx>
          <w:tblLayout w:type="fixed"/>
          <w:tblCellMar>
            <w:top w:w="0" w:type="dxa"/>
            <w:left w:w="30" w:type="dxa"/>
            <w:bottom w:w="0" w:type="dxa"/>
            <w:right w:w="30" w:type="dxa"/>
          </w:tblCellMar>
        </w:tblPrEx>
        <w:trPr>
          <w:cantSplit/>
        </w:trPr>
        <w:tc>
          <w:tcPr>
            <w:tcW w:w="3602" w:type="dxa"/>
            <w:tcBorders>
              <w:top w:val="single" w:color="000000" w:sz="6" w:space="0"/>
              <w:left w:val="single" w:color="000000" w:sz="6" w:space="0"/>
              <w:bottom w:val="nil"/>
              <w:right w:val="nil"/>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管道光缆和阻燃光缆</w:t>
            </w:r>
          </w:p>
        </w:tc>
        <w:tc>
          <w:tcPr>
            <w:tcW w:w="2447" w:type="dxa"/>
            <w:tcBorders>
              <w:top w:val="single" w:color="000000" w:sz="6" w:space="0"/>
              <w:left w:val="single" w:color="000000" w:sz="6" w:space="0"/>
              <w:bottom w:val="nil"/>
              <w:right w:val="nil"/>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800</w:t>
            </w:r>
          </w:p>
        </w:tc>
        <w:tc>
          <w:tcPr>
            <w:tcW w:w="2353" w:type="dxa"/>
            <w:tcBorders>
              <w:top w:val="single" w:color="000000" w:sz="6" w:space="0"/>
              <w:left w:val="single" w:color="000000" w:sz="6" w:space="0"/>
              <w:bottom w:val="nil"/>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1000</w:t>
            </w:r>
          </w:p>
        </w:tc>
      </w:tr>
      <w:tr>
        <w:tblPrEx>
          <w:tblLayout w:type="fixed"/>
          <w:tblCellMar>
            <w:top w:w="0" w:type="dxa"/>
            <w:left w:w="30" w:type="dxa"/>
            <w:bottom w:w="0" w:type="dxa"/>
            <w:right w:w="30" w:type="dxa"/>
          </w:tblCellMar>
        </w:tblPrEx>
        <w:trPr>
          <w:cantSplit/>
          <w:trHeight w:val="328" w:hRule="atLeast"/>
        </w:trPr>
        <w:tc>
          <w:tcPr>
            <w:tcW w:w="3602" w:type="dxa"/>
            <w:tcBorders>
              <w:top w:val="single" w:color="000000" w:sz="6" w:space="0"/>
              <w:left w:val="single" w:color="000000" w:sz="6" w:space="0"/>
              <w:bottom w:val="single" w:color="auto" w:sz="4" w:space="0"/>
              <w:right w:val="nil"/>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直埋光缆和防蚁光缆</w:t>
            </w:r>
          </w:p>
        </w:tc>
        <w:tc>
          <w:tcPr>
            <w:tcW w:w="2447" w:type="dxa"/>
            <w:tcBorders>
              <w:top w:val="single" w:color="000000" w:sz="6" w:space="0"/>
              <w:left w:val="single" w:color="000000" w:sz="6" w:space="0"/>
              <w:bottom w:val="single" w:color="auto" w:sz="4" w:space="0"/>
              <w:right w:val="nil"/>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1000</w:t>
            </w:r>
          </w:p>
        </w:tc>
        <w:tc>
          <w:tcPr>
            <w:tcW w:w="2353" w:type="dxa"/>
            <w:tcBorders>
              <w:top w:val="single" w:color="000000" w:sz="6" w:space="0"/>
              <w:left w:val="single" w:color="000000" w:sz="6" w:space="0"/>
              <w:bottom w:val="single" w:color="auto" w:sz="4"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3000</w:t>
            </w:r>
          </w:p>
        </w:tc>
      </w:tr>
      <w:tr>
        <w:tblPrEx>
          <w:tblLayout w:type="fixed"/>
          <w:tblCellMar>
            <w:top w:w="0" w:type="dxa"/>
            <w:left w:w="30" w:type="dxa"/>
            <w:bottom w:w="0" w:type="dxa"/>
            <w:right w:w="30" w:type="dxa"/>
          </w:tblCellMar>
        </w:tblPrEx>
        <w:trPr>
          <w:cantSplit/>
          <w:trHeight w:val="328" w:hRule="atLeast"/>
        </w:trPr>
        <w:tc>
          <w:tcPr>
            <w:tcW w:w="3602" w:type="dxa"/>
            <w:tcBorders>
              <w:top w:val="single" w:color="000000" w:sz="6" w:space="0"/>
              <w:left w:val="single" w:color="000000" w:sz="6" w:space="0"/>
              <w:bottom w:val="single" w:color="000000" w:sz="6" w:space="0"/>
              <w:right w:val="nil"/>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水底光缆</w:t>
            </w:r>
          </w:p>
        </w:tc>
        <w:tc>
          <w:tcPr>
            <w:tcW w:w="2447" w:type="dxa"/>
            <w:tcBorders>
              <w:top w:val="single" w:color="000000" w:sz="6" w:space="0"/>
              <w:left w:val="single" w:color="000000" w:sz="6" w:space="0"/>
              <w:bottom w:val="single" w:color="000000" w:sz="6" w:space="0"/>
              <w:right w:val="nil"/>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5000</w:t>
            </w:r>
          </w:p>
        </w:tc>
        <w:tc>
          <w:tcPr>
            <w:tcW w:w="2353" w:type="dxa"/>
            <w:tcBorders>
              <w:top w:val="single" w:color="000000" w:sz="6" w:space="0"/>
              <w:left w:val="single" w:color="000000" w:sz="6" w:space="0"/>
              <w:bottom w:val="single" w:color="000000" w:sz="6" w:space="0"/>
              <w:right w:val="single" w:color="000000" w:sz="6" w:space="0"/>
            </w:tcBorders>
          </w:tcPr>
          <w:p>
            <w:pPr>
              <w:spacing w:line="360" w:lineRule="auto"/>
              <w:ind w:firstLine="400" w:firstLineChars="200"/>
              <w:rPr>
                <w:rFonts w:ascii="宋体" w:hAnsi="宋体"/>
                <w:kern w:val="0"/>
                <w:sz w:val="20"/>
                <w:szCs w:val="20"/>
              </w:rPr>
            </w:pPr>
            <w:r>
              <w:rPr>
                <w:rFonts w:hint="eastAsia" w:ascii="宋体" w:hAnsi="宋体"/>
                <w:kern w:val="0"/>
                <w:sz w:val="20"/>
                <w:szCs w:val="20"/>
              </w:rPr>
              <w:t>8000</w:t>
            </w:r>
          </w:p>
        </w:tc>
      </w:tr>
    </w:tbl>
    <w:p>
      <w:pPr>
        <w:spacing w:line="360" w:lineRule="auto"/>
        <w:ind w:firstLine="400" w:firstLineChars="200"/>
        <w:rPr>
          <w:rFonts w:ascii="宋体" w:hAnsi="宋体"/>
          <w:kern w:val="0"/>
          <w:sz w:val="20"/>
          <w:szCs w:val="20"/>
        </w:rPr>
      </w:pPr>
      <w:r>
        <w:rPr>
          <w:rFonts w:hint="eastAsia" w:ascii="宋体" w:hAnsi="宋体"/>
          <w:kern w:val="0"/>
          <w:sz w:val="20"/>
          <w:szCs w:val="20"/>
        </w:rPr>
        <w:t>3.2.4.3 冲击</w:t>
      </w:r>
    </w:p>
    <w:p>
      <w:pPr>
        <w:spacing w:line="360" w:lineRule="auto"/>
        <w:ind w:firstLine="400" w:firstLineChars="200"/>
        <w:rPr>
          <w:rFonts w:ascii="宋体" w:hAnsi="宋体"/>
          <w:kern w:val="0"/>
          <w:sz w:val="20"/>
          <w:szCs w:val="20"/>
        </w:rPr>
      </w:pPr>
      <w:r>
        <w:rPr>
          <w:rFonts w:hint="eastAsia" w:ascii="宋体" w:hAnsi="宋体"/>
          <w:kern w:val="0"/>
          <w:sz w:val="20"/>
          <w:szCs w:val="20"/>
        </w:rPr>
        <w:t xml:space="preserve">(1) 测试方法：IEC794-1-E4 </w:t>
      </w:r>
    </w:p>
    <w:p>
      <w:pPr>
        <w:spacing w:line="360" w:lineRule="auto"/>
        <w:ind w:firstLine="400" w:firstLineChars="200"/>
        <w:rPr>
          <w:rFonts w:ascii="宋体" w:hAnsi="宋体"/>
          <w:kern w:val="0"/>
          <w:sz w:val="20"/>
          <w:szCs w:val="20"/>
        </w:rPr>
      </w:pPr>
      <w:r>
        <w:rPr>
          <w:rFonts w:hint="eastAsia" w:ascii="宋体" w:hAnsi="宋体"/>
          <w:kern w:val="0"/>
          <w:sz w:val="20"/>
          <w:szCs w:val="20"/>
        </w:rPr>
        <w:t>(2) 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冲击高度：１ｍ</w:t>
      </w:r>
    </w:p>
    <w:p>
      <w:pPr>
        <w:spacing w:line="360" w:lineRule="auto"/>
        <w:ind w:firstLine="400" w:firstLineChars="200"/>
        <w:rPr>
          <w:rFonts w:ascii="宋体" w:hAnsi="宋体"/>
          <w:kern w:val="0"/>
          <w:sz w:val="20"/>
          <w:szCs w:val="20"/>
        </w:rPr>
      </w:pPr>
      <w:r>
        <w:rPr>
          <w:rFonts w:hint="eastAsia" w:ascii="宋体" w:hAnsi="宋体"/>
          <w:kern w:val="0"/>
          <w:sz w:val="20"/>
          <w:szCs w:val="20"/>
        </w:rPr>
        <w:t>冲击重量：管道型和架空型光缆：450ｇ</w:t>
      </w:r>
    </w:p>
    <w:p>
      <w:pPr>
        <w:spacing w:line="360" w:lineRule="auto"/>
        <w:ind w:firstLine="400" w:firstLineChars="200"/>
        <w:rPr>
          <w:rFonts w:ascii="宋体" w:hAnsi="宋体"/>
          <w:kern w:val="0"/>
          <w:sz w:val="20"/>
          <w:szCs w:val="20"/>
        </w:rPr>
      </w:pPr>
      <w:r>
        <w:rPr>
          <w:rFonts w:hint="eastAsia" w:ascii="宋体" w:hAnsi="宋体"/>
          <w:kern w:val="0"/>
          <w:sz w:val="20"/>
          <w:szCs w:val="20"/>
        </w:rPr>
        <w:t>其他光缆：1000ｇ</w:t>
      </w:r>
    </w:p>
    <w:p>
      <w:pPr>
        <w:spacing w:line="360" w:lineRule="auto"/>
        <w:ind w:firstLine="400" w:firstLineChars="200"/>
        <w:rPr>
          <w:rFonts w:ascii="宋体" w:hAnsi="宋体"/>
          <w:kern w:val="0"/>
          <w:sz w:val="20"/>
          <w:szCs w:val="20"/>
        </w:rPr>
      </w:pPr>
      <w:r>
        <w:rPr>
          <w:rFonts w:hint="eastAsia" w:ascii="宋体" w:hAnsi="宋体"/>
          <w:kern w:val="0"/>
          <w:sz w:val="20"/>
          <w:szCs w:val="20"/>
        </w:rPr>
        <w:t>冲击点数：至少5个</w:t>
      </w:r>
    </w:p>
    <w:p>
      <w:pPr>
        <w:spacing w:line="360" w:lineRule="auto"/>
        <w:ind w:firstLine="400" w:firstLineChars="200"/>
        <w:rPr>
          <w:rFonts w:ascii="宋体" w:hAnsi="宋体"/>
          <w:kern w:val="0"/>
          <w:sz w:val="20"/>
          <w:szCs w:val="20"/>
        </w:rPr>
      </w:pPr>
      <w:r>
        <w:rPr>
          <w:rFonts w:hint="eastAsia" w:ascii="宋体" w:hAnsi="宋体"/>
          <w:kern w:val="0"/>
          <w:sz w:val="20"/>
          <w:szCs w:val="20"/>
        </w:rPr>
        <w:t>冲击次数：每点至少3次</w:t>
      </w:r>
    </w:p>
    <w:p>
      <w:pPr>
        <w:spacing w:line="360" w:lineRule="auto"/>
        <w:ind w:firstLine="400" w:firstLineChars="200"/>
        <w:rPr>
          <w:rFonts w:ascii="宋体" w:hAnsi="宋体"/>
          <w:kern w:val="0"/>
          <w:sz w:val="20"/>
          <w:szCs w:val="20"/>
        </w:rPr>
      </w:pPr>
      <w:r>
        <w:rPr>
          <w:rFonts w:hint="eastAsia" w:ascii="宋体" w:hAnsi="宋体"/>
          <w:kern w:val="0"/>
          <w:sz w:val="20"/>
          <w:szCs w:val="20"/>
        </w:rPr>
        <w:t>3.2.4.4 反复弯曲</w:t>
      </w:r>
    </w:p>
    <w:p>
      <w:pPr>
        <w:spacing w:line="360" w:lineRule="auto"/>
        <w:ind w:firstLine="400" w:firstLineChars="200"/>
        <w:rPr>
          <w:rFonts w:ascii="宋体" w:hAnsi="宋体"/>
          <w:kern w:val="0"/>
          <w:sz w:val="20"/>
          <w:szCs w:val="20"/>
        </w:rPr>
      </w:pPr>
      <w:r>
        <w:rPr>
          <w:rFonts w:hint="eastAsia" w:ascii="宋体" w:hAnsi="宋体"/>
          <w:kern w:val="0"/>
          <w:sz w:val="20"/>
          <w:szCs w:val="20"/>
        </w:rPr>
        <w:t>(1) 测试方法：IEC794-1-E6</w:t>
      </w:r>
    </w:p>
    <w:p>
      <w:pPr>
        <w:spacing w:line="360" w:lineRule="auto"/>
        <w:ind w:firstLine="400" w:firstLineChars="200"/>
        <w:rPr>
          <w:rFonts w:ascii="宋体" w:hAnsi="宋体"/>
          <w:kern w:val="0"/>
          <w:sz w:val="20"/>
          <w:szCs w:val="20"/>
        </w:rPr>
      </w:pPr>
      <w:r>
        <w:rPr>
          <w:rFonts w:hint="eastAsia" w:ascii="宋体" w:hAnsi="宋体"/>
          <w:kern w:val="0"/>
          <w:sz w:val="20"/>
          <w:szCs w:val="20"/>
        </w:rPr>
        <w:t>(2) 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心轴直径：20倍缆径</w:t>
      </w:r>
    </w:p>
    <w:p>
      <w:pPr>
        <w:spacing w:line="360" w:lineRule="auto"/>
        <w:ind w:firstLine="400" w:firstLineChars="200"/>
        <w:rPr>
          <w:rFonts w:ascii="宋体" w:hAnsi="宋体"/>
          <w:kern w:val="0"/>
          <w:sz w:val="20"/>
          <w:szCs w:val="20"/>
        </w:rPr>
      </w:pPr>
      <w:r>
        <w:rPr>
          <w:rFonts w:hint="eastAsia" w:ascii="宋体" w:hAnsi="宋体"/>
          <w:kern w:val="0"/>
          <w:sz w:val="20"/>
          <w:szCs w:val="20"/>
        </w:rPr>
        <w:t>重物重量：25ｋｇ</w:t>
      </w:r>
    </w:p>
    <w:p>
      <w:pPr>
        <w:spacing w:line="360" w:lineRule="auto"/>
        <w:ind w:firstLine="400" w:firstLineChars="200"/>
        <w:rPr>
          <w:rFonts w:ascii="宋体" w:hAnsi="宋体"/>
          <w:kern w:val="0"/>
          <w:sz w:val="20"/>
          <w:szCs w:val="20"/>
        </w:rPr>
      </w:pPr>
      <w:r>
        <w:rPr>
          <w:rFonts w:hint="eastAsia" w:ascii="宋体" w:hAnsi="宋体"/>
          <w:kern w:val="0"/>
          <w:sz w:val="20"/>
          <w:szCs w:val="20"/>
        </w:rPr>
        <w:t>L：不大于1ｍ</w:t>
      </w:r>
    </w:p>
    <w:p>
      <w:pPr>
        <w:spacing w:line="360" w:lineRule="auto"/>
        <w:ind w:firstLine="400" w:firstLineChars="200"/>
        <w:rPr>
          <w:rFonts w:ascii="宋体" w:hAnsi="宋体"/>
          <w:kern w:val="0"/>
          <w:sz w:val="20"/>
          <w:szCs w:val="20"/>
        </w:rPr>
      </w:pPr>
      <w:r>
        <w:rPr>
          <w:rFonts w:hint="eastAsia" w:ascii="宋体" w:hAnsi="宋体"/>
          <w:kern w:val="0"/>
          <w:sz w:val="20"/>
          <w:szCs w:val="20"/>
        </w:rPr>
        <w:t>弯曲弧度：±90度</w:t>
      </w:r>
    </w:p>
    <w:p>
      <w:pPr>
        <w:spacing w:line="360" w:lineRule="auto"/>
        <w:ind w:firstLine="400" w:firstLineChars="200"/>
        <w:rPr>
          <w:rFonts w:ascii="宋体" w:hAnsi="宋体"/>
          <w:kern w:val="0"/>
          <w:sz w:val="20"/>
          <w:szCs w:val="20"/>
        </w:rPr>
      </w:pPr>
      <w:r>
        <w:rPr>
          <w:rFonts w:hint="eastAsia" w:ascii="宋体" w:hAnsi="宋体"/>
          <w:kern w:val="0"/>
          <w:sz w:val="20"/>
          <w:szCs w:val="20"/>
        </w:rPr>
        <w:t>弯曲次数：不少于50次</w:t>
      </w:r>
    </w:p>
    <w:p>
      <w:pPr>
        <w:spacing w:line="360" w:lineRule="auto"/>
        <w:ind w:firstLine="400" w:firstLineChars="200"/>
        <w:rPr>
          <w:rFonts w:ascii="宋体" w:hAnsi="宋体"/>
          <w:kern w:val="0"/>
          <w:sz w:val="20"/>
          <w:szCs w:val="20"/>
        </w:rPr>
      </w:pPr>
      <w:r>
        <w:rPr>
          <w:rFonts w:hint="eastAsia" w:ascii="宋体" w:hAnsi="宋体"/>
          <w:kern w:val="0"/>
          <w:sz w:val="20"/>
          <w:szCs w:val="20"/>
        </w:rPr>
        <w:t>弯曲速度：2秒钟1次</w:t>
      </w:r>
    </w:p>
    <w:p>
      <w:pPr>
        <w:spacing w:line="360" w:lineRule="auto"/>
        <w:ind w:firstLine="400" w:firstLineChars="200"/>
        <w:rPr>
          <w:rFonts w:ascii="宋体" w:hAnsi="宋体"/>
          <w:kern w:val="0"/>
          <w:sz w:val="20"/>
          <w:szCs w:val="20"/>
        </w:rPr>
      </w:pPr>
      <w:r>
        <w:rPr>
          <w:rFonts w:hint="eastAsia" w:ascii="宋体" w:hAnsi="宋体"/>
          <w:kern w:val="0"/>
          <w:sz w:val="20"/>
          <w:szCs w:val="20"/>
        </w:rPr>
        <w:t>3.2.4.5 扭转</w:t>
      </w:r>
    </w:p>
    <w:p>
      <w:pPr>
        <w:spacing w:line="360" w:lineRule="auto"/>
        <w:ind w:firstLine="400" w:firstLineChars="200"/>
        <w:rPr>
          <w:rFonts w:ascii="宋体" w:hAnsi="宋体"/>
          <w:kern w:val="0"/>
          <w:sz w:val="20"/>
          <w:szCs w:val="20"/>
        </w:rPr>
      </w:pPr>
      <w:r>
        <w:rPr>
          <w:rFonts w:hint="eastAsia" w:ascii="宋体" w:hAnsi="宋体"/>
          <w:kern w:val="0"/>
          <w:sz w:val="20"/>
          <w:szCs w:val="20"/>
        </w:rPr>
        <w:t>(1) 测试方法： IEC794-1-E7</w:t>
      </w:r>
    </w:p>
    <w:p>
      <w:pPr>
        <w:spacing w:line="360" w:lineRule="auto"/>
        <w:ind w:firstLine="400" w:firstLineChars="200"/>
        <w:rPr>
          <w:rFonts w:ascii="宋体" w:hAnsi="宋体"/>
          <w:kern w:val="0"/>
          <w:sz w:val="20"/>
          <w:szCs w:val="20"/>
        </w:rPr>
      </w:pPr>
      <w:r>
        <w:rPr>
          <w:rFonts w:hint="eastAsia" w:ascii="宋体" w:hAnsi="宋体"/>
          <w:kern w:val="0"/>
          <w:sz w:val="20"/>
          <w:szCs w:val="20"/>
        </w:rPr>
        <w:t>(2) 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扭转长度：1ｍ</w:t>
      </w:r>
    </w:p>
    <w:p>
      <w:pPr>
        <w:spacing w:line="360" w:lineRule="auto"/>
        <w:ind w:firstLine="400" w:firstLineChars="200"/>
        <w:rPr>
          <w:rFonts w:ascii="宋体" w:hAnsi="宋体"/>
          <w:kern w:val="0"/>
          <w:sz w:val="20"/>
          <w:szCs w:val="20"/>
        </w:rPr>
      </w:pPr>
      <w:r>
        <w:rPr>
          <w:rFonts w:hint="eastAsia" w:ascii="宋体" w:hAnsi="宋体"/>
          <w:kern w:val="0"/>
          <w:sz w:val="20"/>
          <w:szCs w:val="20"/>
        </w:rPr>
        <w:t>重物重量：25ｋｇ</w:t>
      </w:r>
    </w:p>
    <w:p>
      <w:pPr>
        <w:spacing w:line="360" w:lineRule="auto"/>
        <w:ind w:firstLine="400" w:firstLineChars="200"/>
        <w:rPr>
          <w:rFonts w:ascii="宋体" w:hAnsi="宋体"/>
          <w:kern w:val="0"/>
          <w:sz w:val="20"/>
          <w:szCs w:val="20"/>
        </w:rPr>
      </w:pPr>
      <w:r>
        <w:rPr>
          <w:rFonts w:hint="eastAsia" w:ascii="宋体" w:hAnsi="宋体"/>
          <w:kern w:val="0"/>
          <w:sz w:val="20"/>
          <w:szCs w:val="20"/>
        </w:rPr>
        <w:t>扭转角度：±180度</w:t>
      </w:r>
    </w:p>
    <w:p>
      <w:pPr>
        <w:spacing w:line="360" w:lineRule="auto"/>
        <w:ind w:firstLine="400" w:firstLineChars="200"/>
        <w:rPr>
          <w:rFonts w:ascii="宋体" w:hAnsi="宋体"/>
          <w:kern w:val="0"/>
          <w:sz w:val="20"/>
          <w:szCs w:val="20"/>
        </w:rPr>
      </w:pPr>
      <w:r>
        <w:rPr>
          <w:rFonts w:hint="eastAsia" w:ascii="宋体" w:hAnsi="宋体"/>
          <w:kern w:val="0"/>
          <w:sz w:val="20"/>
          <w:szCs w:val="20"/>
        </w:rPr>
        <w:t>扭转次数：不少于10次</w:t>
      </w:r>
    </w:p>
    <w:p>
      <w:pPr>
        <w:spacing w:line="360" w:lineRule="auto"/>
        <w:ind w:firstLine="400" w:firstLineChars="200"/>
        <w:rPr>
          <w:rFonts w:ascii="宋体" w:hAnsi="宋体"/>
          <w:kern w:val="0"/>
          <w:sz w:val="20"/>
          <w:szCs w:val="20"/>
        </w:rPr>
      </w:pPr>
      <w:r>
        <w:rPr>
          <w:rFonts w:hint="eastAsia" w:ascii="宋体" w:hAnsi="宋体"/>
          <w:kern w:val="0"/>
          <w:sz w:val="20"/>
          <w:szCs w:val="20"/>
        </w:rPr>
        <w:t>3.2.4.6 曲挠</w:t>
      </w:r>
    </w:p>
    <w:p>
      <w:pPr>
        <w:spacing w:line="360" w:lineRule="auto"/>
        <w:ind w:firstLine="400" w:firstLineChars="200"/>
        <w:rPr>
          <w:rFonts w:ascii="宋体" w:hAnsi="宋体"/>
          <w:kern w:val="0"/>
          <w:sz w:val="20"/>
          <w:szCs w:val="20"/>
        </w:rPr>
      </w:pPr>
      <w:r>
        <w:rPr>
          <w:rFonts w:hint="eastAsia" w:ascii="宋体" w:hAnsi="宋体"/>
          <w:kern w:val="0"/>
          <w:sz w:val="20"/>
          <w:szCs w:val="20"/>
        </w:rPr>
        <w:t>(1) 试验方法：IEC794-1-E8</w:t>
      </w:r>
    </w:p>
    <w:p>
      <w:pPr>
        <w:spacing w:line="360" w:lineRule="auto"/>
        <w:ind w:firstLine="400" w:firstLineChars="200"/>
        <w:rPr>
          <w:rFonts w:ascii="宋体" w:hAnsi="宋体"/>
          <w:kern w:val="0"/>
          <w:sz w:val="20"/>
          <w:szCs w:val="20"/>
        </w:rPr>
      </w:pPr>
      <w:r>
        <w:rPr>
          <w:rFonts w:hint="eastAsia" w:ascii="宋体" w:hAnsi="宋体"/>
          <w:kern w:val="0"/>
          <w:sz w:val="20"/>
          <w:szCs w:val="20"/>
        </w:rPr>
        <w:t>(2) 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滑轮直径：250mm</w:t>
      </w:r>
    </w:p>
    <w:p>
      <w:pPr>
        <w:spacing w:line="360" w:lineRule="auto"/>
        <w:ind w:firstLine="400" w:firstLineChars="200"/>
        <w:rPr>
          <w:rFonts w:ascii="宋体" w:hAnsi="宋体"/>
          <w:kern w:val="0"/>
          <w:sz w:val="20"/>
          <w:szCs w:val="20"/>
        </w:rPr>
      </w:pPr>
      <w:r>
        <w:rPr>
          <w:rFonts w:hint="eastAsia" w:ascii="宋体" w:hAnsi="宋体"/>
          <w:kern w:val="0"/>
          <w:sz w:val="20"/>
          <w:szCs w:val="20"/>
        </w:rPr>
        <w:t>重物重量：15kg</w:t>
      </w:r>
    </w:p>
    <w:p>
      <w:pPr>
        <w:spacing w:line="360" w:lineRule="auto"/>
        <w:ind w:firstLine="400" w:firstLineChars="200"/>
        <w:rPr>
          <w:rFonts w:ascii="宋体" w:hAnsi="宋体"/>
          <w:kern w:val="0"/>
          <w:sz w:val="20"/>
          <w:szCs w:val="20"/>
        </w:rPr>
      </w:pPr>
      <w:r>
        <w:rPr>
          <w:rFonts w:hint="eastAsia" w:ascii="宋体" w:hAnsi="宋体"/>
          <w:kern w:val="0"/>
          <w:sz w:val="20"/>
          <w:szCs w:val="20"/>
        </w:rPr>
        <w:t>循环次数：10次</w:t>
      </w:r>
    </w:p>
    <w:p>
      <w:pPr>
        <w:spacing w:line="360" w:lineRule="auto"/>
        <w:ind w:firstLine="400" w:firstLineChars="200"/>
        <w:rPr>
          <w:rFonts w:ascii="宋体" w:hAnsi="宋体"/>
          <w:kern w:val="0"/>
          <w:sz w:val="20"/>
          <w:szCs w:val="20"/>
        </w:rPr>
      </w:pPr>
      <w:r>
        <w:rPr>
          <w:rFonts w:hint="eastAsia" w:ascii="宋体" w:hAnsi="宋体"/>
          <w:kern w:val="0"/>
          <w:sz w:val="20"/>
          <w:szCs w:val="20"/>
        </w:rPr>
        <w:t>3.2.4.7 弯折</w:t>
      </w:r>
    </w:p>
    <w:p>
      <w:pPr>
        <w:spacing w:line="360" w:lineRule="auto"/>
        <w:ind w:firstLine="400" w:firstLineChars="200"/>
        <w:rPr>
          <w:rFonts w:ascii="宋体" w:hAnsi="宋体"/>
          <w:kern w:val="0"/>
          <w:sz w:val="20"/>
          <w:szCs w:val="20"/>
        </w:rPr>
      </w:pPr>
      <w:r>
        <w:rPr>
          <w:rFonts w:hint="eastAsia" w:ascii="宋体" w:hAnsi="宋体"/>
          <w:kern w:val="0"/>
          <w:sz w:val="20"/>
          <w:szCs w:val="20"/>
        </w:rPr>
        <w:t>(1) 测试方法：IEC794-1-E10</w:t>
      </w:r>
    </w:p>
    <w:p>
      <w:pPr>
        <w:spacing w:line="360" w:lineRule="auto"/>
        <w:ind w:firstLine="400" w:firstLineChars="200"/>
        <w:rPr>
          <w:rFonts w:ascii="宋体" w:hAnsi="宋体"/>
          <w:kern w:val="0"/>
          <w:sz w:val="20"/>
          <w:szCs w:val="20"/>
        </w:rPr>
      </w:pPr>
      <w:r>
        <w:rPr>
          <w:rFonts w:hint="eastAsia" w:ascii="宋体" w:hAnsi="宋体"/>
          <w:kern w:val="0"/>
          <w:sz w:val="20"/>
          <w:szCs w:val="20"/>
        </w:rPr>
        <w:t>(2) 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光缆环允许直径：20倍缆径</w:t>
      </w:r>
    </w:p>
    <w:p>
      <w:pPr>
        <w:spacing w:line="360" w:lineRule="auto"/>
        <w:ind w:firstLine="400" w:firstLineChars="200"/>
        <w:rPr>
          <w:rFonts w:ascii="宋体" w:hAnsi="宋体"/>
          <w:kern w:val="0"/>
          <w:sz w:val="20"/>
          <w:szCs w:val="20"/>
        </w:rPr>
      </w:pPr>
      <w:r>
        <w:rPr>
          <w:rFonts w:hint="eastAsia" w:ascii="宋体" w:hAnsi="宋体"/>
          <w:kern w:val="0"/>
          <w:sz w:val="20"/>
          <w:szCs w:val="20"/>
        </w:rPr>
        <w:t>3.2.4.8 卷绕</w:t>
      </w:r>
    </w:p>
    <w:p>
      <w:pPr>
        <w:spacing w:line="360" w:lineRule="auto"/>
        <w:ind w:firstLine="400" w:firstLineChars="200"/>
        <w:rPr>
          <w:rFonts w:ascii="宋体" w:hAnsi="宋体"/>
          <w:kern w:val="0"/>
          <w:sz w:val="20"/>
          <w:szCs w:val="20"/>
        </w:rPr>
      </w:pPr>
      <w:r>
        <w:rPr>
          <w:rFonts w:hint="eastAsia" w:ascii="宋体" w:hAnsi="宋体"/>
          <w:kern w:val="0"/>
          <w:sz w:val="20"/>
          <w:szCs w:val="20"/>
        </w:rPr>
        <w:t>(1) 测试方法： IEC794-1-E11</w:t>
      </w:r>
    </w:p>
    <w:p>
      <w:pPr>
        <w:spacing w:line="360" w:lineRule="auto"/>
        <w:ind w:firstLine="400" w:firstLineChars="200"/>
        <w:rPr>
          <w:rFonts w:ascii="宋体" w:hAnsi="宋体"/>
          <w:kern w:val="0"/>
          <w:sz w:val="20"/>
          <w:szCs w:val="20"/>
        </w:rPr>
      </w:pPr>
      <w:r>
        <w:rPr>
          <w:rFonts w:hint="eastAsia" w:ascii="宋体" w:hAnsi="宋体"/>
          <w:kern w:val="0"/>
          <w:sz w:val="20"/>
          <w:szCs w:val="20"/>
        </w:rPr>
        <w:t>(2) 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心轴直径：20倍缆径</w:t>
      </w:r>
    </w:p>
    <w:p>
      <w:pPr>
        <w:spacing w:line="360" w:lineRule="auto"/>
        <w:ind w:firstLine="400" w:firstLineChars="200"/>
        <w:rPr>
          <w:rFonts w:ascii="宋体" w:hAnsi="宋体"/>
          <w:kern w:val="0"/>
          <w:sz w:val="20"/>
          <w:szCs w:val="20"/>
        </w:rPr>
      </w:pPr>
      <w:r>
        <w:rPr>
          <w:rFonts w:hint="eastAsia" w:ascii="宋体" w:hAnsi="宋体"/>
          <w:kern w:val="0"/>
          <w:sz w:val="20"/>
          <w:szCs w:val="20"/>
        </w:rPr>
        <w:t>密绕圈数：10圈</w:t>
      </w:r>
    </w:p>
    <w:p>
      <w:pPr>
        <w:spacing w:line="360" w:lineRule="auto"/>
        <w:ind w:firstLine="400" w:firstLineChars="200"/>
        <w:rPr>
          <w:rFonts w:ascii="宋体" w:hAnsi="宋体"/>
          <w:kern w:val="0"/>
          <w:sz w:val="20"/>
          <w:szCs w:val="20"/>
        </w:rPr>
      </w:pPr>
      <w:r>
        <w:rPr>
          <w:rFonts w:hint="eastAsia" w:ascii="宋体" w:hAnsi="宋体"/>
          <w:kern w:val="0"/>
          <w:sz w:val="20"/>
          <w:szCs w:val="20"/>
        </w:rPr>
        <w:t>循环次数：不少于5次</w:t>
      </w:r>
    </w:p>
    <w:p>
      <w:pPr>
        <w:spacing w:line="360" w:lineRule="auto"/>
        <w:ind w:firstLine="400" w:firstLineChars="200"/>
        <w:rPr>
          <w:rFonts w:ascii="宋体" w:hAnsi="宋体"/>
          <w:kern w:val="0"/>
          <w:sz w:val="20"/>
          <w:szCs w:val="20"/>
        </w:rPr>
      </w:pPr>
      <w:r>
        <w:rPr>
          <w:rFonts w:hint="eastAsia" w:ascii="宋体" w:hAnsi="宋体"/>
          <w:kern w:val="0"/>
          <w:sz w:val="20"/>
          <w:szCs w:val="20"/>
        </w:rPr>
        <w:t>3.2.4.9 刮磨</w:t>
      </w:r>
    </w:p>
    <w:p>
      <w:pPr>
        <w:spacing w:line="360" w:lineRule="auto"/>
        <w:ind w:firstLine="400" w:firstLineChars="200"/>
        <w:rPr>
          <w:rFonts w:ascii="宋体" w:hAnsi="宋体"/>
          <w:kern w:val="0"/>
          <w:sz w:val="20"/>
          <w:szCs w:val="20"/>
        </w:rPr>
      </w:pPr>
      <w:r>
        <w:rPr>
          <w:rFonts w:hint="eastAsia" w:ascii="宋体" w:hAnsi="宋体"/>
          <w:kern w:val="0"/>
          <w:sz w:val="20"/>
          <w:szCs w:val="20"/>
        </w:rPr>
        <w:t>(1) 测试方法：IEC794-1-E2</w:t>
      </w:r>
    </w:p>
    <w:p>
      <w:pPr>
        <w:spacing w:line="360" w:lineRule="auto"/>
        <w:ind w:firstLine="400" w:firstLineChars="200"/>
        <w:rPr>
          <w:rFonts w:ascii="宋体" w:hAnsi="宋体"/>
          <w:kern w:val="0"/>
          <w:sz w:val="20"/>
          <w:szCs w:val="20"/>
        </w:rPr>
      </w:pPr>
      <w:r>
        <w:rPr>
          <w:rFonts w:hint="eastAsia" w:ascii="宋体" w:hAnsi="宋体"/>
          <w:kern w:val="0"/>
          <w:sz w:val="20"/>
          <w:szCs w:val="20"/>
        </w:rPr>
        <w:t>(2) 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钢针直径：1ｍｍ</w:t>
      </w:r>
    </w:p>
    <w:p>
      <w:pPr>
        <w:spacing w:line="360" w:lineRule="auto"/>
        <w:ind w:firstLine="400" w:firstLineChars="200"/>
        <w:rPr>
          <w:rFonts w:ascii="宋体" w:hAnsi="宋体"/>
          <w:kern w:val="0"/>
          <w:sz w:val="20"/>
          <w:szCs w:val="20"/>
        </w:rPr>
      </w:pPr>
      <w:r>
        <w:rPr>
          <w:rFonts w:hint="eastAsia" w:ascii="宋体" w:hAnsi="宋体"/>
          <w:kern w:val="0"/>
          <w:sz w:val="20"/>
          <w:szCs w:val="20"/>
        </w:rPr>
        <w:t>负载：65Ｎ</w:t>
      </w:r>
    </w:p>
    <w:p>
      <w:pPr>
        <w:spacing w:line="360" w:lineRule="auto"/>
        <w:ind w:firstLine="400" w:firstLineChars="200"/>
        <w:rPr>
          <w:rFonts w:ascii="宋体" w:hAnsi="宋体"/>
          <w:kern w:val="0"/>
          <w:sz w:val="20"/>
          <w:szCs w:val="20"/>
        </w:rPr>
      </w:pPr>
      <w:r>
        <w:rPr>
          <w:rFonts w:hint="eastAsia" w:ascii="宋体" w:hAnsi="宋体"/>
          <w:kern w:val="0"/>
          <w:sz w:val="20"/>
          <w:szCs w:val="20"/>
        </w:rPr>
        <w:t>3.2.4.10  振动</w:t>
      </w:r>
    </w:p>
    <w:p>
      <w:pPr>
        <w:spacing w:line="360" w:lineRule="auto"/>
        <w:ind w:firstLine="400" w:firstLineChars="200"/>
        <w:rPr>
          <w:rFonts w:ascii="宋体" w:hAnsi="宋体"/>
          <w:kern w:val="0"/>
          <w:sz w:val="20"/>
          <w:szCs w:val="20"/>
        </w:rPr>
      </w:pPr>
      <w:r>
        <w:rPr>
          <w:rFonts w:hint="eastAsia" w:ascii="宋体" w:hAnsi="宋体"/>
          <w:kern w:val="0"/>
          <w:sz w:val="20"/>
          <w:szCs w:val="20"/>
        </w:rPr>
        <w:t>（１）测试方法：由投标人提出(谐振法或其他)</w:t>
      </w:r>
    </w:p>
    <w:p>
      <w:pPr>
        <w:spacing w:line="360" w:lineRule="auto"/>
        <w:ind w:firstLine="400" w:firstLineChars="200"/>
        <w:rPr>
          <w:rFonts w:ascii="宋体" w:hAnsi="宋体"/>
          <w:kern w:val="0"/>
          <w:sz w:val="20"/>
          <w:szCs w:val="20"/>
        </w:rPr>
      </w:pPr>
      <w:r>
        <w:rPr>
          <w:rFonts w:hint="eastAsia" w:ascii="宋体" w:hAnsi="宋体"/>
          <w:kern w:val="0"/>
          <w:sz w:val="20"/>
          <w:szCs w:val="20"/>
        </w:rPr>
        <w:t>（２）试验条件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试样长度：1ｍ，两端固定</w:t>
      </w:r>
    </w:p>
    <w:p>
      <w:pPr>
        <w:spacing w:line="360" w:lineRule="auto"/>
        <w:ind w:firstLine="400" w:firstLineChars="200"/>
        <w:rPr>
          <w:rFonts w:ascii="宋体" w:hAnsi="宋体"/>
          <w:kern w:val="0"/>
          <w:sz w:val="20"/>
          <w:szCs w:val="20"/>
        </w:rPr>
      </w:pPr>
      <w:r>
        <w:rPr>
          <w:rFonts w:hint="eastAsia" w:ascii="宋体" w:hAnsi="宋体"/>
          <w:kern w:val="0"/>
          <w:sz w:val="20"/>
          <w:szCs w:val="20"/>
        </w:rPr>
        <w:t>频率：50Ｈｚ</w:t>
      </w:r>
    </w:p>
    <w:p>
      <w:pPr>
        <w:spacing w:line="360" w:lineRule="auto"/>
        <w:ind w:firstLine="400" w:firstLineChars="200"/>
        <w:rPr>
          <w:rFonts w:ascii="宋体" w:hAnsi="宋体"/>
          <w:kern w:val="0"/>
          <w:sz w:val="20"/>
          <w:szCs w:val="20"/>
        </w:rPr>
      </w:pPr>
      <w:r>
        <w:rPr>
          <w:rFonts w:hint="eastAsia" w:ascii="宋体" w:hAnsi="宋体"/>
          <w:kern w:val="0"/>
          <w:sz w:val="20"/>
          <w:szCs w:val="20"/>
        </w:rPr>
        <w:t>中心点振幅：±3ｍｍ</w:t>
      </w:r>
    </w:p>
    <w:p>
      <w:pPr>
        <w:spacing w:line="360" w:lineRule="auto"/>
        <w:ind w:firstLine="400" w:firstLineChars="200"/>
        <w:rPr>
          <w:rFonts w:ascii="宋体" w:hAnsi="宋体"/>
          <w:kern w:val="0"/>
          <w:sz w:val="20"/>
          <w:szCs w:val="20"/>
        </w:rPr>
      </w:pPr>
      <w:r>
        <w:rPr>
          <w:rFonts w:hint="eastAsia" w:ascii="宋体" w:hAnsi="宋体"/>
          <w:kern w:val="0"/>
          <w:sz w:val="20"/>
          <w:szCs w:val="20"/>
        </w:rPr>
        <w:t>振动时间：10分钟</w:t>
      </w:r>
    </w:p>
    <w:p>
      <w:pPr>
        <w:spacing w:line="360" w:lineRule="auto"/>
        <w:ind w:firstLine="400" w:firstLineChars="200"/>
        <w:rPr>
          <w:rFonts w:ascii="宋体" w:hAnsi="宋体"/>
          <w:kern w:val="0"/>
          <w:sz w:val="20"/>
          <w:szCs w:val="20"/>
        </w:rPr>
      </w:pPr>
      <w:r>
        <w:rPr>
          <w:rFonts w:hint="eastAsia" w:ascii="宋体" w:hAnsi="宋体"/>
          <w:kern w:val="0"/>
          <w:sz w:val="20"/>
          <w:szCs w:val="20"/>
        </w:rPr>
        <w:t>3.2.4.11滴流性能</w:t>
      </w:r>
    </w:p>
    <w:p>
      <w:pPr>
        <w:spacing w:line="360" w:lineRule="auto"/>
        <w:ind w:firstLine="400" w:firstLineChars="200"/>
        <w:rPr>
          <w:rFonts w:ascii="宋体" w:hAnsi="宋体"/>
          <w:kern w:val="0"/>
          <w:sz w:val="20"/>
          <w:szCs w:val="20"/>
        </w:rPr>
      </w:pPr>
      <w:r>
        <w:rPr>
          <w:rFonts w:hint="eastAsia" w:ascii="宋体" w:hAnsi="宋体"/>
          <w:kern w:val="0"/>
          <w:sz w:val="20"/>
          <w:szCs w:val="20"/>
        </w:rPr>
        <w:t>在温度为70℃（24ｈ）的环境条件下，光缆应无填充复合物和涂覆复合物等滴出。</w:t>
      </w:r>
    </w:p>
    <w:p>
      <w:pPr>
        <w:spacing w:line="360" w:lineRule="auto"/>
        <w:ind w:firstLine="400" w:firstLineChars="200"/>
        <w:rPr>
          <w:rFonts w:ascii="宋体" w:hAnsi="宋体"/>
          <w:kern w:val="0"/>
          <w:sz w:val="20"/>
          <w:szCs w:val="20"/>
        </w:rPr>
      </w:pPr>
      <w:r>
        <w:rPr>
          <w:rFonts w:hint="eastAsia" w:ascii="宋体" w:hAnsi="宋体"/>
          <w:kern w:val="0"/>
          <w:sz w:val="20"/>
          <w:szCs w:val="20"/>
        </w:rPr>
        <w:t>3.2.4.12被试光缆经过拉伸、压扁、冲击、反复弯曲、扭转试验后均应满足下列要求：</w:t>
      </w:r>
    </w:p>
    <w:p>
      <w:pPr>
        <w:spacing w:line="360" w:lineRule="auto"/>
        <w:ind w:firstLine="400" w:firstLineChars="200"/>
        <w:rPr>
          <w:rFonts w:ascii="宋体" w:hAnsi="宋体"/>
          <w:kern w:val="0"/>
          <w:sz w:val="20"/>
          <w:szCs w:val="20"/>
        </w:rPr>
      </w:pPr>
      <w:r>
        <w:rPr>
          <w:rFonts w:hint="eastAsia" w:ascii="宋体" w:hAnsi="宋体"/>
          <w:kern w:val="0"/>
          <w:sz w:val="20"/>
          <w:szCs w:val="20"/>
        </w:rPr>
        <w:t>(1)光缆护层不应有目力可见的裂纹。</w:t>
      </w:r>
    </w:p>
    <w:p>
      <w:pPr>
        <w:spacing w:line="360" w:lineRule="auto"/>
        <w:ind w:firstLine="400" w:firstLineChars="200"/>
        <w:rPr>
          <w:rFonts w:ascii="宋体" w:hAnsi="宋体"/>
          <w:kern w:val="0"/>
          <w:sz w:val="20"/>
          <w:szCs w:val="20"/>
        </w:rPr>
      </w:pPr>
      <w:r>
        <w:rPr>
          <w:rFonts w:hint="eastAsia" w:ascii="宋体" w:hAnsi="宋体"/>
          <w:kern w:val="0"/>
          <w:sz w:val="20"/>
          <w:szCs w:val="20"/>
        </w:rPr>
        <w:t>(2)光缆中全部光纤和部件均应完好。</w:t>
      </w:r>
    </w:p>
    <w:p>
      <w:pPr>
        <w:spacing w:line="360" w:lineRule="auto"/>
        <w:ind w:firstLine="400" w:firstLineChars="200"/>
        <w:rPr>
          <w:rFonts w:ascii="宋体" w:hAnsi="宋体"/>
          <w:kern w:val="0"/>
          <w:sz w:val="20"/>
          <w:szCs w:val="20"/>
        </w:rPr>
      </w:pPr>
      <w:r>
        <w:rPr>
          <w:rFonts w:hint="eastAsia" w:ascii="宋体" w:hAnsi="宋体"/>
          <w:kern w:val="0"/>
          <w:sz w:val="20"/>
          <w:szCs w:val="20"/>
        </w:rPr>
        <w:t>(3)光纤在1310ｎｍ和1550ｎｍ处无明显残余附加衰减，光纤衰减测试方法应符合IEC793-1-C10A或C10B。</w:t>
      </w:r>
    </w:p>
    <w:p>
      <w:pPr>
        <w:spacing w:line="360" w:lineRule="auto"/>
        <w:ind w:firstLine="400" w:firstLineChars="200"/>
        <w:rPr>
          <w:rFonts w:ascii="宋体" w:hAnsi="宋体"/>
          <w:kern w:val="0"/>
          <w:sz w:val="20"/>
          <w:szCs w:val="20"/>
        </w:rPr>
      </w:pPr>
      <w:r>
        <w:rPr>
          <w:rFonts w:hint="eastAsia" w:ascii="宋体" w:hAnsi="宋体"/>
          <w:kern w:val="0"/>
          <w:sz w:val="20"/>
          <w:szCs w:val="20"/>
        </w:rPr>
        <w:t>3.2.4.13 被试光缆经过曲挠、弯折、卷绕、振动试验后，光纤应不断裂。</w:t>
      </w:r>
    </w:p>
    <w:p>
      <w:pPr>
        <w:spacing w:line="360" w:lineRule="auto"/>
        <w:ind w:firstLine="400" w:firstLineChars="200"/>
        <w:rPr>
          <w:rFonts w:ascii="宋体" w:hAnsi="宋体"/>
          <w:kern w:val="0"/>
          <w:sz w:val="20"/>
          <w:szCs w:val="20"/>
        </w:rPr>
      </w:pPr>
      <w:r>
        <w:rPr>
          <w:rFonts w:hint="eastAsia" w:ascii="宋体" w:hAnsi="宋体"/>
          <w:kern w:val="0"/>
          <w:sz w:val="20"/>
          <w:szCs w:val="20"/>
        </w:rPr>
        <w:t>3.2.4.14 光电混合缆的机械性能和试验方法应符合YD/T 2159-2010中4.1.2.13规定。</w:t>
      </w:r>
    </w:p>
    <w:p>
      <w:pPr>
        <w:spacing w:line="360" w:lineRule="auto"/>
        <w:ind w:firstLine="400" w:firstLineChars="200"/>
        <w:rPr>
          <w:rFonts w:ascii="宋体" w:hAnsi="宋体"/>
          <w:kern w:val="0"/>
          <w:sz w:val="20"/>
          <w:szCs w:val="20"/>
        </w:rPr>
      </w:pPr>
      <w:r>
        <w:rPr>
          <w:rFonts w:hint="eastAsia" w:ascii="宋体" w:hAnsi="宋体"/>
          <w:kern w:val="0"/>
          <w:sz w:val="20"/>
          <w:szCs w:val="20"/>
        </w:rPr>
        <w:t xml:space="preserve">3.2.5 光缆允许的曲率半径   </w:t>
      </w:r>
    </w:p>
    <w:p>
      <w:pPr>
        <w:spacing w:line="360" w:lineRule="auto"/>
        <w:ind w:firstLine="400" w:firstLineChars="200"/>
        <w:rPr>
          <w:rFonts w:ascii="宋体" w:hAnsi="宋体"/>
          <w:kern w:val="0"/>
          <w:sz w:val="20"/>
          <w:szCs w:val="20"/>
        </w:rPr>
      </w:pPr>
      <w:r>
        <w:rPr>
          <w:rFonts w:hint="eastAsia" w:ascii="宋体" w:hAnsi="宋体"/>
          <w:kern w:val="0"/>
          <w:sz w:val="20"/>
          <w:szCs w:val="20"/>
        </w:rPr>
        <w:t>受力时（敷设中）：光缆外径的20倍。</w:t>
      </w:r>
    </w:p>
    <w:p>
      <w:pPr>
        <w:spacing w:line="360" w:lineRule="auto"/>
        <w:ind w:firstLine="400" w:firstLineChars="200"/>
        <w:rPr>
          <w:rFonts w:ascii="宋体" w:hAnsi="宋体"/>
          <w:kern w:val="0"/>
          <w:sz w:val="20"/>
          <w:szCs w:val="20"/>
        </w:rPr>
      </w:pPr>
      <w:r>
        <w:rPr>
          <w:rFonts w:hint="eastAsia" w:ascii="宋体" w:hAnsi="宋体"/>
          <w:kern w:val="0"/>
          <w:sz w:val="20"/>
          <w:szCs w:val="20"/>
        </w:rPr>
        <w:t>不受力时（敷设后固定）：光缆外径10倍。</w:t>
      </w:r>
    </w:p>
    <w:p>
      <w:pPr>
        <w:spacing w:line="360" w:lineRule="auto"/>
        <w:ind w:firstLine="400" w:firstLineChars="200"/>
        <w:rPr>
          <w:rFonts w:ascii="宋体" w:hAnsi="宋体"/>
          <w:kern w:val="0"/>
          <w:sz w:val="20"/>
          <w:szCs w:val="20"/>
        </w:rPr>
      </w:pPr>
      <w:r>
        <w:rPr>
          <w:rFonts w:hint="eastAsia" w:ascii="宋体" w:hAnsi="宋体"/>
          <w:kern w:val="0"/>
          <w:sz w:val="20"/>
          <w:szCs w:val="20"/>
        </w:rPr>
        <w:t>3.2.6 光缆温度特性</w:t>
      </w:r>
    </w:p>
    <w:p>
      <w:pPr>
        <w:spacing w:line="360" w:lineRule="auto"/>
        <w:ind w:firstLine="400" w:firstLineChars="200"/>
        <w:rPr>
          <w:rFonts w:ascii="宋体" w:hAnsi="宋体"/>
          <w:kern w:val="0"/>
          <w:sz w:val="20"/>
          <w:szCs w:val="20"/>
        </w:rPr>
      </w:pPr>
      <w:r>
        <w:rPr>
          <w:rFonts w:hint="eastAsia" w:ascii="宋体" w:hAnsi="宋体"/>
          <w:kern w:val="0"/>
          <w:sz w:val="20"/>
          <w:szCs w:val="20"/>
        </w:rPr>
        <w:t>3.2.6.1 环境温度要求</w:t>
      </w:r>
    </w:p>
    <w:p>
      <w:pPr>
        <w:spacing w:line="360" w:lineRule="auto"/>
        <w:ind w:firstLine="400" w:firstLineChars="200"/>
        <w:rPr>
          <w:rFonts w:ascii="宋体" w:hAnsi="宋体"/>
          <w:kern w:val="0"/>
          <w:sz w:val="20"/>
          <w:szCs w:val="20"/>
        </w:rPr>
      </w:pPr>
      <w:r>
        <w:rPr>
          <w:rFonts w:hint="eastAsia" w:ascii="宋体" w:hAnsi="宋体"/>
          <w:kern w:val="0"/>
          <w:sz w:val="20"/>
          <w:szCs w:val="20"/>
        </w:rPr>
        <w:t>工作时：－40℃～＋70℃</w:t>
      </w:r>
    </w:p>
    <w:p>
      <w:pPr>
        <w:spacing w:line="360" w:lineRule="auto"/>
        <w:ind w:firstLine="400" w:firstLineChars="200"/>
        <w:rPr>
          <w:rFonts w:ascii="宋体" w:hAnsi="宋体"/>
          <w:kern w:val="0"/>
          <w:sz w:val="20"/>
          <w:szCs w:val="20"/>
        </w:rPr>
      </w:pPr>
      <w:r>
        <w:rPr>
          <w:rFonts w:hint="eastAsia" w:ascii="宋体" w:hAnsi="宋体"/>
          <w:kern w:val="0"/>
          <w:sz w:val="20"/>
          <w:szCs w:val="20"/>
        </w:rPr>
        <w:t>敷设时：－30℃～＋60℃</w:t>
      </w:r>
    </w:p>
    <w:p>
      <w:pPr>
        <w:spacing w:line="360" w:lineRule="auto"/>
        <w:ind w:firstLine="400" w:firstLineChars="200"/>
        <w:rPr>
          <w:rFonts w:ascii="宋体" w:hAnsi="宋体"/>
          <w:kern w:val="0"/>
          <w:sz w:val="20"/>
          <w:szCs w:val="20"/>
        </w:rPr>
      </w:pPr>
      <w:r>
        <w:rPr>
          <w:rFonts w:hint="eastAsia" w:ascii="宋体" w:hAnsi="宋体"/>
          <w:kern w:val="0"/>
          <w:sz w:val="20"/>
          <w:szCs w:val="20"/>
        </w:rPr>
        <w:t>运输、储存时：－50℃～＋70℃</w:t>
      </w:r>
    </w:p>
    <w:p>
      <w:pPr>
        <w:spacing w:line="360" w:lineRule="auto"/>
        <w:ind w:firstLine="400" w:firstLineChars="200"/>
        <w:rPr>
          <w:rFonts w:ascii="宋体" w:hAnsi="宋体"/>
          <w:kern w:val="0"/>
          <w:sz w:val="20"/>
          <w:szCs w:val="20"/>
        </w:rPr>
      </w:pPr>
      <w:r>
        <w:rPr>
          <w:rFonts w:hint="eastAsia" w:ascii="宋体" w:hAnsi="宋体"/>
          <w:kern w:val="0"/>
          <w:sz w:val="20"/>
          <w:szCs w:val="20"/>
        </w:rPr>
        <w:t xml:space="preserve">3.2.6.2 温度循环试验 </w:t>
      </w:r>
    </w:p>
    <w:p>
      <w:pPr>
        <w:spacing w:line="360" w:lineRule="auto"/>
        <w:ind w:firstLine="400" w:firstLineChars="200"/>
        <w:rPr>
          <w:rFonts w:ascii="宋体" w:hAnsi="宋体"/>
          <w:kern w:val="0"/>
          <w:sz w:val="20"/>
          <w:szCs w:val="20"/>
        </w:rPr>
      </w:pPr>
      <w:r>
        <w:rPr>
          <w:rFonts w:hint="eastAsia" w:ascii="宋体" w:hAnsi="宋体"/>
          <w:kern w:val="0"/>
          <w:sz w:val="20"/>
          <w:szCs w:val="20"/>
        </w:rPr>
        <w:t>（1）测试方法：IEC794-1-F1及GB/T 7424.2-2008</w:t>
      </w:r>
    </w:p>
    <w:p>
      <w:pPr>
        <w:spacing w:line="360" w:lineRule="auto"/>
        <w:ind w:firstLine="400" w:firstLineChars="200"/>
        <w:rPr>
          <w:rFonts w:ascii="宋体" w:hAnsi="宋体"/>
          <w:kern w:val="0"/>
          <w:sz w:val="20"/>
          <w:szCs w:val="20"/>
        </w:rPr>
      </w:pPr>
      <w:r>
        <w:rPr>
          <w:rFonts w:hint="eastAsia" w:ascii="宋体" w:hAnsi="宋体"/>
          <w:kern w:val="0"/>
          <w:sz w:val="20"/>
          <w:szCs w:val="20"/>
        </w:rPr>
        <w:t>（2）试验条件</w:t>
      </w:r>
    </w:p>
    <w:p>
      <w:pPr>
        <w:spacing w:line="360" w:lineRule="auto"/>
        <w:ind w:firstLine="400" w:firstLineChars="200"/>
        <w:rPr>
          <w:rFonts w:ascii="宋体" w:hAnsi="宋体"/>
          <w:kern w:val="0"/>
          <w:sz w:val="20"/>
          <w:szCs w:val="20"/>
        </w:rPr>
      </w:pPr>
      <w:r>
        <w:rPr>
          <w:rFonts w:hint="eastAsia" w:ascii="宋体" w:hAnsi="宋体"/>
          <w:kern w:val="0"/>
          <w:sz w:val="20"/>
          <w:szCs w:val="20"/>
        </w:rPr>
        <w:t>温度台阶：＋20℃、－30℃、－40℃、-60℃、＋60℃、＋70℃</w:t>
      </w:r>
    </w:p>
    <w:p>
      <w:pPr>
        <w:spacing w:line="360" w:lineRule="auto"/>
        <w:ind w:firstLine="400" w:firstLineChars="200"/>
        <w:rPr>
          <w:rFonts w:ascii="宋体" w:hAnsi="宋体"/>
          <w:kern w:val="0"/>
          <w:sz w:val="20"/>
          <w:szCs w:val="20"/>
        </w:rPr>
      </w:pPr>
      <w:r>
        <w:rPr>
          <w:rFonts w:hint="eastAsia" w:ascii="宋体" w:hAnsi="宋体"/>
          <w:kern w:val="0"/>
          <w:sz w:val="20"/>
          <w:szCs w:val="20"/>
        </w:rPr>
        <w:t>保持时间：每一台阶单护套12小时，双护套24小时</w:t>
      </w:r>
    </w:p>
    <w:p>
      <w:pPr>
        <w:spacing w:line="360" w:lineRule="auto"/>
        <w:ind w:firstLine="400" w:firstLineChars="200"/>
        <w:rPr>
          <w:rFonts w:ascii="宋体" w:hAnsi="宋体"/>
          <w:kern w:val="0"/>
          <w:sz w:val="20"/>
          <w:szCs w:val="20"/>
        </w:rPr>
      </w:pPr>
      <w:r>
        <w:rPr>
          <w:rFonts w:hint="eastAsia" w:ascii="宋体" w:hAnsi="宋体"/>
          <w:kern w:val="0"/>
          <w:sz w:val="20"/>
          <w:szCs w:val="20"/>
        </w:rPr>
        <w:t>循环次数：2个循环</w:t>
      </w:r>
    </w:p>
    <w:p>
      <w:pPr>
        <w:spacing w:line="360" w:lineRule="auto"/>
        <w:ind w:firstLine="400" w:firstLineChars="200"/>
        <w:rPr>
          <w:rFonts w:ascii="宋体" w:hAnsi="宋体"/>
          <w:kern w:val="0"/>
          <w:sz w:val="20"/>
          <w:szCs w:val="20"/>
        </w:rPr>
      </w:pPr>
      <w:r>
        <w:rPr>
          <w:rFonts w:hint="eastAsia" w:ascii="宋体" w:hAnsi="宋体"/>
          <w:kern w:val="0"/>
          <w:sz w:val="20"/>
          <w:szCs w:val="20"/>
        </w:rPr>
        <w:t>（3）测试要求：</w:t>
      </w:r>
    </w:p>
    <w:p>
      <w:pPr>
        <w:spacing w:line="360" w:lineRule="auto"/>
        <w:ind w:firstLine="400" w:firstLineChars="200"/>
        <w:rPr>
          <w:rFonts w:ascii="宋体" w:hAnsi="宋体"/>
          <w:kern w:val="0"/>
          <w:sz w:val="20"/>
          <w:szCs w:val="20"/>
        </w:rPr>
      </w:pPr>
      <w:r>
        <w:rPr>
          <w:rFonts w:hint="eastAsia" w:ascii="宋体" w:hAnsi="宋体"/>
          <w:kern w:val="0"/>
          <w:sz w:val="20"/>
          <w:szCs w:val="20"/>
        </w:rPr>
        <w:t>－30℃～＋60℃光纤衰减不变</w:t>
      </w:r>
    </w:p>
    <w:p>
      <w:pPr>
        <w:spacing w:line="360" w:lineRule="auto"/>
        <w:ind w:firstLine="400" w:firstLineChars="200"/>
        <w:rPr>
          <w:rFonts w:ascii="宋体" w:hAnsi="宋体"/>
          <w:kern w:val="0"/>
          <w:sz w:val="20"/>
          <w:szCs w:val="20"/>
        </w:rPr>
      </w:pPr>
      <w:r>
        <w:rPr>
          <w:rFonts w:hint="eastAsia" w:ascii="宋体" w:hAnsi="宋体"/>
          <w:kern w:val="0"/>
          <w:sz w:val="20"/>
          <w:szCs w:val="20"/>
        </w:rPr>
        <w:t>－40℃～＋70℃光纤衰减变化不大于0.05ｄＢ／ｋｍ</w:t>
      </w:r>
    </w:p>
    <w:p>
      <w:pPr>
        <w:spacing w:line="360" w:lineRule="auto"/>
        <w:ind w:firstLine="400" w:firstLineChars="200"/>
        <w:rPr>
          <w:rFonts w:ascii="宋体" w:hAnsi="宋体"/>
          <w:kern w:val="0"/>
          <w:sz w:val="20"/>
          <w:szCs w:val="20"/>
        </w:rPr>
      </w:pPr>
      <w:r>
        <w:rPr>
          <w:rFonts w:hint="eastAsia" w:ascii="宋体" w:hAnsi="宋体"/>
          <w:kern w:val="0"/>
          <w:sz w:val="20"/>
          <w:szCs w:val="20"/>
        </w:rPr>
        <w:t>（与20℃时的值比较）</w:t>
      </w:r>
    </w:p>
    <w:p>
      <w:pPr>
        <w:spacing w:line="360" w:lineRule="auto"/>
        <w:ind w:firstLine="400" w:firstLineChars="200"/>
        <w:rPr>
          <w:rFonts w:ascii="宋体" w:hAnsi="宋体"/>
          <w:kern w:val="0"/>
          <w:sz w:val="20"/>
          <w:szCs w:val="20"/>
        </w:rPr>
      </w:pPr>
      <w:r>
        <w:rPr>
          <w:rFonts w:hint="eastAsia" w:ascii="宋体" w:hAnsi="宋体"/>
          <w:kern w:val="0"/>
          <w:sz w:val="20"/>
          <w:szCs w:val="20"/>
        </w:rPr>
        <w:t>温度循环试验结束后，温度恢复到20℃，应无残余附加衰减。测试方法应符合IEC793-1-C10A或C10B。</w:t>
      </w:r>
    </w:p>
    <w:p>
      <w:pPr>
        <w:spacing w:line="360" w:lineRule="auto"/>
        <w:ind w:firstLine="400" w:firstLineChars="200"/>
        <w:rPr>
          <w:rFonts w:ascii="宋体" w:hAnsi="宋体"/>
          <w:kern w:val="0"/>
          <w:sz w:val="20"/>
          <w:szCs w:val="20"/>
        </w:rPr>
      </w:pPr>
      <w:r>
        <w:rPr>
          <w:rFonts w:hint="eastAsia" w:ascii="宋体" w:hAnsi="宋体"/>
          <w:kern w:val="0"/>
          <w:sz w:val="20"/>
          <w:szCs w:val="20"/>
        </w:rPr>
        <w:t>B1.1及B1.3类和B6a类光纤的衰减变化监测应在1310nm和1550nm两波长上进行，B4类光纤应在1550nm和1625nm两波长上进行。</w:t>
      </w:r>
    </w:p>
    <w:p>
      <w:pPr>
        <w:spacing w:line="360" w:lineRule="auto"/>
        <w:ind w:firstLine="400" w:firstLineChars="200"/>
        <w:rPr>
          <w:rFonts w:ascii="宋体" w:hAnsi="宋体"/>
          <w:kern w:val="0"/>
          <w:sz w:val="20"/>
          <w:szCs w:val="20"/>
        </w:rPr>
      </w:pPr>
      <w:r>
        <w:rPr>
          <w:rFonts w:hint="eastAsia" w:ascii="宋体" w:hAnsi="宋体"/>
          <w:kern w:val="0"/>
          <w:sz w:val="20"/>
          <w:szCs w:val="20"/>
        </w:rPr>
        <w:t>3.2.7 光缆渗水性能</w:t>
      </w:r>
    </w:p>
    <w:p>
      <w:pPr>
        <w:spacing w:line="360" w:lineRule="auto"/>
        <w:ind w:firstLine="400" w:firstLineChars="200"/>
        <w:rPr>
          <w:rFonts w:ascii="宋体" w:hAnsi="宋体"/>
          <w:kern w:val="0"/>
          <w:sz w:val="20"/>
          <w:szCs w:val="20"/>
        </w:rPr>
      </w:pPr>
      <w:r>
        <w:rPr>
          <w:rFonts w:hint="eastAsia" w:ascii="宋体" w:hAnsi="宋体"/>
          <w:kern w:val="0"/>
          <w:sz w:val="20"/>
          <w:szCs w:val="20"/>
        </w:rPr>
        <w:t>符合IEC794-1-F5B规定，在光缆全截面上进行，对有铠装钢丝的光缆，钢丝铠装层除外；光电混合缆应符合YD/T 2159-2010中5.6.3节规定</w:t>
      </w:r>
    </w:p>
    <w:p>
      <w:pPr>
        <w:spacing w:line="360" w:lineRule="auto"/>
        <w:ind w:firstLine="400" w:firstLineChars="200"/>
        <w:rPr>
          <w:rFonts w:ascii="宋体" w:hAnsi="宋体"/>
          <w:kern w:val="0"/>
          <w:sz w:val="20"/>
          <w:szCs w:val="20"/>
        </w:rPr>
      </w:pPr>
      <w:r>
        <w:rPr>
          <w:rFonts w:hint="eastAsia" w:ascii="宋体" w:hAnsi="宋体"/>
          <w:kern w:val="0"/>
          <w:sz w:val="20"/>
          <w:szCs w:val="20"/>
        </w:rPr>
        <w:t>3.2.8 水底光缆耐静水压性能</w:t>
      </w:r>
    </w:p>
    <w:p>
      <w:pPr>
        <w:spacing w:line="360" w:lineRule="auto"/>
        <w:ind w:firstLine="400" w:firstLineChars="200"/>
        <w:rPr>
          <w:rFonts w:ascii="宋体" w:hAnsi="宋体"/>
          <w:kern w:val="0"/>
          <w:sz w:val="20"/>
          <w:szCs w:val="20"/>
        </w:rPr>
      </w:pPr>
      <w:r>
        <w:rPr>
          <w:rFonts w:hint="eastAsia" w:ascii="宋体" w:hAnsi="宋体"/>
          <w:kern w:val="0"/>
          <w:sz w:val="20"/>
          <w:szCs w:val="20"/>
        </w:rPr>
        <w:t>符合IEC794-1-F10规定</w:t>
      </w:r>
    </w:p>
    <w:p>
      <w:pPr>
        <w:spacing w:line="360" w:lineRule="auto"/>
        <w:ind w:firstLine="402" w:firstLineChars="200"/>
        <w:rPr>
          <w:rFonts w:cs="宋体"/>
          <w:kern w:val="0"/>
          <w:sz w:val="20"/>
          <w:szCs w:val="20"/>
        </w:rPr>
      </w:pPr>
      <w:r>
        <w:rPr>
          <w:rFonts w:hint="eastAsia"/>
          <w:b/>
          <w:bCs/>
          <w:kern w:val="0"/>
          <w:sz w:val="20"/>
          <w:szCs w:val="20"/>
        </w:rPr>
        <w:t>3</w:t>
      </w:r>
      <w:r>
        <w:rPr>
          <w:rFonts w:cs="宋体"/>
          <w:b/>
          <w:bCs/>
          <w:kern w:val="0"/>
          <w:sz w:val="20"/>
          <w:szCs w:val="20"/>
        </w:rPr>
        <w:t>.2.9</w:t>
      </w:r>
      <w:r>
        <w:rPr>
          <w:rFonts w:ascii="宋体" w:hAnsi="宋体" w:cs="宋体"/>
          <w:b/>
          <w:bCs/>
          <w:kern w:val="0"/>
          <w:sz w:val="20"/>
          <w:szCs w:val="20"/>
        </w:rPr>
        <w:t>光缆外护层绝缘电阻</w:t>
      </w:r>
    </w:p>
    <w:p>
      <w:pPr>
        <w:spacing w:line="360" w:lineRule="auto"/>
        <w:ind w:firstLine="400" w:firstLineChars="200"/>
        <w:rPr>
          <w:rFonts w:ascii="宋体" w:hAnsi="宋体"/>
          <w:kern w:val="0"/>
          <w:sz w:val="20"/>
          <w:szCs w:val="20"/>
        </w:rPr>
      </w:pPr>
      <w:r>
        <w:rPr>
          <w:rFonts w:hint="eastAsia" w:ascii="宋体" w:hAnsi="宋体"/>
          <w:kern w:val="0"/>
          <w:sz w:val="20"/>
          <w:szCs w:val="20"/>
        </w:rPr>
        <w:t>外护层内铠装层与大地间，在光缆浸水24小时后测试，不小于2000ＭΩ·ｋｍ（直流500伏测试）。</w:t>
      </w:r>
    </w:p>
    <w:p>
      <w:pPr>
        <w:spacing w:line="360" w:lineRule="auto"/>
        <w:ind w:firstLine="400" w:firstLineChars="200"/>
        <w:rPr>
          <w:rFonts w:ascii="宋体" w:hAnsi="宋体"/>
          <w:kern w:val="0"/>
          <w:sz w:val="20"/>
          <w:szCs w:val="20"/>
        </w:rPr>
      </w:pPr>
      <w:r>
        <w:rPr>
          <w:rFonts w:hint="eastAsia" w:ascii="宋体" w:hAnsi="宋体"/>
          <w:kern w:val="0"/>
          <w:sz w:val="20"/>
          <w:szCs w:val="20"/>
        </w:rPr>
        <w:t>3.2.10 介电强度</w:t>
      </w:r>
    </w:p>
    <w:p>
      <w:pPr>
        <w:spacing w:line="360" w:lineRule="auto"/>
        <w:ind w:firstLine="400" w:firstLineChars="200"/>
        <w:rPr>
          <w:rFonts w:ascii="宋体" w:hAnsi="宋体"/>
          <w:kern w:val="0"/>
          <w:sz w:val="20"/>
          <w:szCs w:val="20"/>
        </w:rPr>
      </w:pPr>
      <w:r>
        <w:rPr>
          <w:rFonts w:hint="eastAsia" w:ascii="宋体" w:hAnsi="宋体"/>
          <w:kern w:val="0"/>
          <w:sz w:val="20"/>
          <w:szCs w:val="20"/>
        </w:rPr>
        <w:t>外护层内铠装与大地间：在光缆浸水24小时后测试，不小于直流15千伏2分钟，符合ITU-T K.25规定。</w:t>
      </w:r>
    </w:p>
    <w:p>
      <w:pPr>
        <w:spacing w:line="360" w:lineRule="auto"/>
        <w:ind w:firstLine="400" w:firstLineChars="200"/>
        <w:rPr>
          <w:rFonts w:ascii="宋体" w:hAnsi="宋体"/>
          <w:kern w:val="0"/>
          <w:sz w:val="20"/>
          <w:szCs w:val="20"/>
        </w:rPr>
      </w:pPr>
      <w:r>
        <w:rPr>
          <w:rFonts w:hint="eastAsia" w:ascii="宋体" w:hAnsi="宋体"/>
          <w:kern w:val="0"/>
          <w:sz w:val="20"/>
          <w:szCs w:val="20"/>
        </w:rPr>
        <w:t>外护层内铠装与金属加强芯间：不小于直流20千伏2分钟，符合ITU-T K.25规定。</w:t>
      </w:r>
    </w:p>
    <w:p>
      <w:pPr>
        <w:spacing w:line="360" w:lineRule="auto"/>
        <w:ind w:firstLine="400" w:firstLineChars="200"/>
        <w:rPr>
          <w:rFonts w:ascii="宋体" w:hAnsi="宋体"/>
          <w:kern w:val="0"/>
          <w:sz w:val="20"/>
          <w:szCs w:val="20"/>
        </w:rPr>
      </w:pPr>
      <w:r>
        <w:rPr>
          <w:rFonts w:hint="eastAsia" w:ascii="宋体" w:hAnsi="宋体"/>
          <w:kern w:val="0"/>
          <w:sz w:val="20"/>
          <w:szCs w:val="20"/>
        </w:rPr>
        <w:t>3.2.11 火花试验</w:t>
      </w:r>
    </w:p>
    <w:p>
      <w:pPr>
        <w:spacing w:line="360" w:lineRule="auto"/>
        <w:ind w:firstLine="400" w:firstLineChars="200"/>
        <w:rPr>
          <w:rFonts w:ascii="宋体" w:hAnsi="宋体"/>
          <w:kern w:val="0"/>
          <w:sz w:val="20"/>
          <w:szCs w:val="20"/>
        </w:rPr>
      </w:pPr>
      <w:r>
        <w:rPr>
          <w:rFonts w:hint="eastAsia" w:ascii="宋体" w:hAnsi="宋体"/>
          <w:kern w:val="0"/>
          <w:sz w:val="20"/>
          <w:szCs w:val="20"/>
        </w:rPr>
        <w:t xml:space="preserve">光缆外护层应经受至少交流有效值 6t千伏或直流 9t千伏的火花试验电压(t为聚乙烯护套的标称厚度，单位为mm) </w:t>
      </w:r>
    </w:p>
    <w:p>
      <w:pPr>
        <w:spacing w:line="360" w:lineRule="auto"/>
        <w:ind w:firstLine="400" w:firstLineChars="200"/>
        <w:rPr>
          <w:rFonts w:ascii="宋体" w:hAnsi="宋体"/>
          <w:kern w:val="0"/>
          <w:sz w:val="20"/>
          <w:szCs w:val="20"/>
        </w:rPr>
      </w:pPr>
      <w:r>
        <w:rPr>
          <w:rFonts w:hint="eastAsia" w:ascii="宋体" w:hAnsi="宋体"/>
          <w:kern w:val="0"/>
          <w:sz w:val="20"/>
          <w:szCs w:val="20"/>
        </w:rPr>
        <w:t>3.2.12光缆预期使用寿命</w:t>
      </w:r>
    </w:p>
    <w:p>
      <w:pPr>
        <w:spacing w:line="360" w:lineRule="auto"/>
        <w:ind w:firstLine="400" w:firstLineChars="200"/>
        <w:rPr>
          <w:rFonts w:ascii="宋体" w:hAnsi="宋体"/>
          <w:kern w:val="0"/>
          <w:sz w:val="20"/>
          <w:szCs w:val="20"/>
        </w:rPr>
      </w:pPr>
      <w:r>
        <w:rPr>
          <w:rFonts w:hint="eastAsia" w:ascii="宋体" w:hAnsi="宋体"/>
          <w:kern w:val="0"/>
          <w:sz w:val="20"/>
          <w:szCs w:val="20"/>
        </w:rPr>
        <w:t>光缆预期使用寿命应不小于25年。</w:t>
      </w:r>
    </w:p>
    <w:p>
      <w:pPr>
        <w:spacing w:line="360" w:lineRule="auto"/>
        <w:ind w:firstLine="400" w:firstLineChars="200"/>
        <w:rPr>
          <w:rFonts w:ascii="宋体" w:hAnsi="宋体"/>
          <w:kern w:val="0"/>
          <w:sz w:val="20"/>
          <w:szCs w:val="20"/>
        </w:rPr>
      </w:pPr>
      <w:r>
        <w:rPr>
          <w:rFonts w:hint="eastAsia" w:ascii="宋体" w:hAnsi="宋体"/>
          <w:kern w:val="0"/>
          <w:sz w:val="20"/>
          <w:szCs w:val="20"/>
        </w:rPr>
        <w:t>3.2.13光缆交货要求</w:t>
      </w:r>
    </w:p>
    <w:p>
      <w:pPr>
        <w:spacing w:line="360" w:lineRule="auto"/>
        <w:ind w:firstLine="400" w:firstLineChars="200"/>
        <w:rPr>
          <w:rFonts w:ascii="宋体" w:hAnsi="宋体"/>
          <w:kern w:val="0"/>
          <w:sz w:val="20"/>
          <w:szCs w:val="20"/>
        </w:rPr>
      </w:pPr>
      <w:r>
        <w:rPr>
          <w:rFonts w:hint="eastAsia" w:ascii="宋体" w:hAnsi="宋体"/>
          <w:kern w:val="0"/>
          <w:sz w:val="20"/>
          <w:szCs w:val="20"/>
        </w:rPr>
        <w:t>（1）光缆盘长：2000、3000或4000米</w:t>
      </w:r>
      <w:r>
        <w:rPr>
          <w:rFonts w:hint="eastAsia" w:ascii="宋体" w:hAnsi="宋体"/>
          <w:kern w:val="0"/>
          <w:sz w:val="20"/>
          <w:szCs w:val="20"/>
        </w:rPr>
        <w:tab/>
      </w:r>
    </w:p>
    <w:p>
      <w:pPr>
        <w:spacing w:line="360" w:lineRule="auto"/>
        <w:ind w:firstLine="400" w:firstLineChars="200"/>
        <w:rPr>
          <w:rFonts w:ascii="宋体" w:hAnsi="宋体"/>
          <w:kern w:val="0"/>
          <w:sz w:val="20"/>
          <w:szCs w:val="20"/>
        </w:rPr>
      </w:pPr>
      <w:r>
        <w:rPr>
          <w:rFonts w:hint="eastAsia" w:ascii="宋体" w:hAnsi="宋体"/>
          <w:kern w:val="0"/>
          <w:sz w:val="20"/>
          <w:szCs w:val="20"/>
        </w:rPr>
        <w:t>（特殊光缆盘长要求在工程部分提出）。</w:t>
      </w:r>
    </w:p>
    <w:p>
      <w:pPr>
        <w:spacing w:line="360" w:lineRule="auto"/>
        <w:ind w:firstLine="400" w:firstLineChars="200"/>
        <w:rPr>
          <w:rFonts w:ascii="宋体" w:hAnsi="宋体"/>
          <w:kern w:val="0"/>
          <w:sz w:val="20"/>
          <w:szCs w:val="20"/>
        </w:rPr>
      </w:pPr>
      <w:r>
        <w:rPr>
          <w:rFonts w:hint="eastAsia" w:ascii="宋体" w:hAnsi="宋体"/>
          <w:kern w:val="0"/>
          <w:sz w:val="20"/>
          <w:szCs w:val="20"/>
        </w:rPr>
        <w:t>偏差：负偏差为0，正偏差不计入总长度。</w:t>
      </w:r>
    </w:p>
    <w:p>
      <w:pPr>
        <w:spacing w:line="360" w:lineRule="auto"/>
        <w:ind w:firstLine="400" w:firstLineChars="200"/>
        <w:rPr>
          <w:rFonts w:ascii="宋体" w:hAnsi="宋体"/>
          <w:kern w:val="0"/>
          <w:sz w:val="20"/>
          <w:szCs w:val="20"/>
        </w:rPr>
      </w:pPr>
      <w:r>
        <w:rPr>
          <w:rFonts w:hint="eastAsia" w:ascii="宋体" w:hAnsi="宋体"/>
          <w:kern w:val="0"/>
          <w:sz w:val="20"/>
          <w:szCs w:val="20"/>
        </w:rPr>
        <w:t>（2）光缆应装在光缆交货盘上出厂，盘装光缆每盘只能是一个制造长度。光缆两端应密封。并且，光缆两端应固定在光缆盘内，其内端应预留可移出长度不少于３ｍ的光缆，以供测试之用。</w:t>
      </w:r>
    </w:p>
    <w:p>
      <w:pPr>
        <w:spacing w:line="360" w:lineRule="auto"/>
        <w:ind w:firstLine="400" w:firstLineChars="200"/>
        <w:rPr>
          <w:rFonts w:ascii="宋体" w:hAnsi="宋体"/>
          <w:kern w:val="0"/>
          <w:sz w:val="20"/>
          <w:szCs w:val="20"/>
        </w:rPr>
      </w:pPr>
      <w:r>
        <w:rPr>
          <w:rFonts w:hint="eastAsia" w:ascii="宋体" w:hAnsi="宋体"/>
          <w:kern w:val="0"/>
          <w:sz w:val="20"/>
          <w:szCs w:val="20"/>
        </w:rPr>
        <w:t>（3）光缆盘要求：</w:t>
      </w:r>
    </w:p>
    <w:p>
      <w:pPr>
        <w:spacing w:line="360" w:lineRule="auto"/>
        <w:ind w:firstLine="400" w:firstLineChars="200"/>
        <w:rPr>
          <w:rFonts w:ascii="宋体" w:hAnsi="宋体"/>
          <w:kern w:val="0"/>
          <w:sz w:val="20"/>
          <w:szCs w:val="20"/>
        </w:rPr>
      </w:pPr>
      <w:r>
        <w:rPr>
          <w:rFonts w:hint="eastAsia" w:ascii="宋体" w:hAnsi="宋体"/>
          <w:kern w:val="0"/>
          <w:sz w:val="20"/>
          <w:szCs w:val="20"/>
        </w:rPr>
        <w:t>所有光缆均应按盘交货。光缆盘对光缆两端有保护。每盘光缆应具有金属或其他耐磨材料的防水符号(以中文为主)，它表明厂名、生产年份、光纤品牌及光缆型号规格、光缆长度（以米为单位）、毛重、光缆外径、光缆重量及光缆最小允许弯曲半径。每盘光缆的重量（包括光缆的重量）不得超过5000ｋｇ。</w:t>
      </w:r>
    </w:p>
    <w:p>
      <w:pPr>
        <w:spacing w:line="360" w:lineRule="auto"/>
        <w:ind w:firstLine="402" w:firstLineChars="200"/>
        <w:rPr>
          <w:rFonts w:cs="宋体"/>
          <w:kern w:val="0"/>
          <w:sz w:val="20"/>
          <w:szCs w:val="20"/>
        </w:rPr>
      </w:pPr>
      <w:r>
        <w:rPr>
          <w:rFonts w:hint="eastAsia"/>
          <w:b/>
          <w:bCs/>
          <w:kern w:val="0"/>
          <w:sz w:val="20"/>
          <w:szCs w:val="20"/>
        </w:rPr>
        <w:t>3</w:t>
      </w:r>
      <w:r>
        <w:rPr>
          <w:rFonts w:cs="宋体"/>
          <w:b/>
          <w:bCs/>
          <w:kern w:val="0"/>
          <w:sz w:val="20"/>
          <w:szCs w:val="20"/>
        </w:rPr>
        <w:t xml:space="preserve">.2.14 </w:t>
      </w:r>
      <w:r>
        <w:rPr>
          <w:rFonts w:hint="eastAsia" w:ascii="宋体" w:hAnsi="宋体"/>
          <w:b/>
          <w:bCs/>
          <w:kern w:val="0"/>
          <w:sz w:val="20"/>
          <w:szCs w:val="20"/>
        </w:rPr>
        <w:t>光缆标识</w:t>
      </w:r>
    </w:p>
    <w:p>
      <w:pPr>
        <w:spacing w:line="360" w:lineRule="auto"/>
        <w:ind w:firstLine="402" w:firstLineChars="200"/>
        <w:rPr>
          <w:rFonts w:cs="宋体"/>
          <w:kern w:val="0"/>
          <w:sz w:val="20"/>
          <w:szCs w:val="20"/>
        </w:rPr>
      </w:pPr>
      <w:r>
        <w:rPr>
          <w:rFonts w:hint="eastAsia" w:ascii="宋体" w:hAnsi="宋体"/>
          <w:b/>
          <w:bCs/>
          <w:kern w:val="0"/>
          <w:sz w:val="20"/>
          <w:szCs w:val="20"/>
        </w:rPr>
        <w:t>光缆外护层上应以１米间隔标出以下内容：</w:t>
      </w:r>
    </w:p>
    <w:p>
      <w:pPr>
        <w:spacing w:line="360" w:lineRule="auto"/>
        <w:ind w:firstLine="400" w:firstLineChars="200"/>
        <w:rPr>
          <w:rFonts w:ascii="宋体" w:hAnsi="宋体"/>
          <w:kern w:val="0"/>
          <w:sz w:val="20"/>
          <w:szCs w:val="20"/>
        </w:rPr>
      </w:pPr>
      <w:r>
        <w:rPr>
          <w:rFonts w:hint="eastAsia" w:ascii="宋体" w:hAnsi="宋体"/>
          <w:kern w:val="0"/>
          <w:sz w:val="20"/>
          <w:szCs w:val="20"/>
        </w:rPr>
        <w:t>（1）纵长米；</w:t>
      </w:r>
    </w:p>
    <w:p>
      <w:pPr>
        <w:spacing w:line="360" w:lineRule="auto"/>
        <w:ind w:firstLine="400" w:firstLineChars="200"/>
        <w:rPr>
          <w:rFonts w:ascii="宋体" w:hAnsi="宋体"/>
          <w:kern w:val="0"/>
          <w:sz w:val="20"/>
          <w:szCs w:val="20"/>
        </w:rPr>
      </w:pPr>
      <w:r>
        <w:rPr>
          <w:rFonts w:hint="eastAsia" w:ascii="宋体" w:hAnsi="宋体"/>
          <w:kern w:val="0"/>
          <w:sz w:val="20"/>
          <w:szCs w:val="20"/>
        </w:rPr>
        <w:t>（2） 光缆型号、规格；</w:t>
      </w:r>
    </w:p>
    <w:p>
      <w:pPr>
        <w:spacing w:line="360" w:lineRule="auto"/>
        <w:ind w:firstLine="400" w:firstLineChars="200"/>
        <w:rPr>
          <w:rFonts w:ascii="宋体" w:hAnsi="宋体"/>
          <w:kern w:val="0"/>
          <w:sz w:val="20"/>
          <w:szCs w:val="20"/>
        </w:rPr>
      </w:pPr>
      <w:r>
        <w:rPr>
          <w:rFonts w:hint="eastAsia" w:ascii="宋体" w:hAnsi="宋体"/>
          <w:kern w:val="0"/>
          <w:sz w:val="20"/>
          <w:szCs w:val="20"/>
        </w:rPr>
        <w:t>（3） 光纤品牌；</w:t>
      </w:r>
    </w:p>
    <w:p>
      <w:pPr>
        <w:spacing w:line="360" w:lineRule="auto"/>
        <w:ind w:firstLine="400" w:firstLineChars="200"/>
        <w:rPr>
          <w:rFonts w:ascii="宋体" w:hAnsi="宋体"/>
          <w:kern w:val="0"/>
          <w:sz w:val="20"/>
          <w:szCs w:val="20"/>
        </w:rPr>
      </w:pPr>
      <w:r>
        <w:rPr>
          <w:rFonts w:hint="eastAsia" w:ascii="宋体" w:hAnsi="宋体"/>
          <w:kern w:val="0"/>
          <w:sz w:val="20"/>
          <w:szCs w:val="20"/>
        </w:rPr>
        <w:t>（4）制造厂家；</w:t>
      </w:r>
    </w:p>
    <w:p>
      <w:pPr>
        <w:spacing w:line="360" w:lineRule="auto"/>
        <w:ind w:firstLine="400" w:firstLineChars="200"/>
        <w:rPr>
          <w:rFonts w:ascii="宋体" w:hAnsi="宋体"/>
          <w:kern w:val="0"/>
          <w:sz w:val="20"/>
          <w:szCs w:val="20"/>
        </w:rPr>
      </w:pPr>
      <w:r>
        <w:rPr>
          <w:rFonts w:hint="eastAsia" w:ascii="宋体" w:hAnsi="宋体"/>
          <w:kern w:val="0"/>
          <w:sz w:val="20"/>
          <w:szCs w:val="20"/>
        </w:rPr>
        <w:t>（5） 产地（地市）；</w:t>
      </w:r>
    </w:p>
    <w:p>
      <w:pPr>
        <w:spacing w:line="360" w:lineRule="auto"/>
        <w:ind w:firstLine="400" w:firstLineChars="200"/>
        <w:rPr>
          <w:rFonts w:ascii="宋体" w:hAnsi="宋体"/>
          <w:kern w:val="0"/>
          <w:sz w:val="20"/>
          <w:szCs w:val="20"/>
        </w:rPr>
      </w:pPr>
      <w:r>
        <w:rPr>
          <w:rFonts w:hint="eastAsia" w:ascii="宋体" w:hAnsi="宋体"/>
          <w:kern w:val="0"/>
          <w:sz w:val="20"/>
          <w:szCs w:val="20"/>
        </w:rPr>
        <w:t>（6） 制造年月；</w:t>
      </w:r>
    </w:p>
    <w:p>
      <w:pPr>
        <w:spacing w:line="360" w:lineRule="auto"/>
        <w:ind w:firstLine="400" w:firstLineChars="200"/>
        <w:rPr>
          <w:rFonts w:ascii="宋体" w:hAnsi="宋体"/>
          <w:kern w:val="0"/>
          <w:sz w:val="20"/>
          <w:szCs w:val="20"/>
        </w:rPr>
      </w:pPr>
      <w:r>
        <w:rPr>
          <w:rFonts w:hint="eastAsia" w:ascii="宋体" w:hAnsi="宋体"/>
          <w:kern w:val="0"/>
          <w:sz w:val="20"/>
          <w:szCs w:val="20"/>
        </w:rPr>
        <w:t>（7）尺码的精确度应优于每１００ｍ±０．２ｍ。</w:t>
      </w:r>
    </w:p>
    <w:p>
      <w:pPr>
        <w:spacing w:line="360" w:lineRule="auto"/>
        <w:ind w:firstLine="400" w:firstLineChars="200"/>
        <w:rPr>
          <w:rFonts w:ascii="宋体" w:hAnsi="宋体"/>
          <w:kern w:val="0"/>
          <w:sz w:val="20"/>
          <w:szCs w:val="20"/>
        </w:rPr>
      </w:pPr>
      <w:r>
        <w:rPr>
          <w:rFonts w:hint="eastAsia" w:ascii="宋体" w:hAnsi="宋体"/>
          <w:kern w:val="0"/>
          <w:sz w:val="20"/>
          <w:szCs w:val="20"/>
        </w:rPr>
        <w:t>3.2.15 原材料特性</w:t>
      </w:r>
    </w:p>
    <w:p>
      <w:pPr>
        <w:spacing w:line="360" w:lineRule="auto"/>
        <w:ind w:firstLine="400" w:firstLineChars="200"/>
        <w:rPr>
          <w:rFonts w:ascii="宋体" w:hAnsi="宋体"/>
          <w:kern w:val="0"/>
          <w:sz w:val="20"/>
          <w:szCs w:val="20"/>
        </w:rPr>
      </w:pPr>
      <w:r>
        <w:rPr>
          <w:rFonts w:hint="eastAsia" w:ascii="宋体" w:hAnsi="宋体"/>
          <w:kern w:val="0"/>
          <w:sz w:val="20"/>
          <w:szCs w:val="20"/>
        </w:rPr>
        <w:t>(1)聚乙烯护层</w:t>
      </w:r>
    </w:p>
    <w:p>
      <w:pPr>
        <w:spacing w:line="360" w:lineRule="auto"/>
        <w:ind w:firstLine="400" w:firstLineChars="200"/>
        <w:rPr>
          <w:rFonts w:ascii="宋体" w:hAnsi="宋体"/>
          <w:kern w:val="0"/>
          <w:sz w:val="20"/>
          <w:szCs w:val="20"/>
        </w:rPr>
      </w:pPr>
      <w:r>
        <w:rPr>
          <w:rFonts w:hint="eastAsia" w:ascii="宋体" w:hAnsi="宋体"/>
          <w:kern w:val="0"/>
          <w:sz w:val="20"/>
          <w:szCs w:val="20"/>
        </w:rPr>
        <w:t>聚乙烯护层可使用高密度聚乙烯（HDPE）／中密度聚乙烯 （MDPE）或线性低密度聚乙烯（LLDPE），阻燃光缆护层应采用阻燃聚烯烃（ZRPO），并应满足下列要求：</w:t>
      </w:r>
    </w:p>
    <w:p>
      <w:pPr>
        <w:spacing w:line="360" w:lineRule="auto"/>
        <w:ind w:firstLine="400" w:firstLineChars="200"/>
        <w:rPr>
          <w:rFonts w:ascii="宋体" w:hAnsi="宋体"/>
          <w:kern w:val="0"/>
          <w:sz w:val="20"/>
          <w:szCs w:val="20"/>
        </w:rPr>
      </w:pPr>
      <w:r>
        <w:rPr>
          <w:rFonts w:hint="eastAsia" w:ascii="宋体" w:hAnsi="宋体"/>
          <w:kern w:val="0"/>
          <w:sz w:val="20"/>
          <w:szCs w:val="20"/>
        </w:rPr>
        <w:t>光缆中各层聚乙烯护层在100±2℃，120小时老化试验前后的断裂强度和断裂伸长率均应符合表5要求：</w:t>
      </w:r>
    </w:p>
    <w:p>
      <w:pPr>
        <w:spacing w:line="360" w:lineRule="auto"/>
        <w:ind w:firstLine="400" w:firstLineChars="200"/>
        <w:rPr>
          <w:rFonts w:ascii="宋体" w:hAnsi="宋体"/>
          <w:kern w:val="0"/>
          <w:sz w:val="20"/>
          <w:szCs w:val="20"/>
        </w:rPr>
      </w:pPr>
      <w:r>
        <w:rPr>
          <w:rFonts w:hint="eastAsia" w:ascii="宋体" w:hAnsi="宋体"/>
          <w:kern w:val="0"/>
          <w:sz w:val="20"/>
          <w:szCs w:val="20"/>
        </w:rPr>
        <w:t>表5：聚乙烯护层断裂强度和断裂伸长率指标</w:t>
      </w:r>
    </w:p>
    <w:tbl>
      <w:tblPr>
        <w:tblStyle w:val="9"/>
        <w:tblW w:w="10033"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600"/>
        <w:gridCol w:w="720"/>
        <w:gridCol w:w="1025"/>
        <w:gridCol w:w="905"/>
        <w:gridCol w:w="905"/>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序号</w:t>
            </w:r>
          </w:p>
        </w:tc>
        <w:tc>
          <w:tcPr>
            <w:tcW w:w="3600" w:type="dxa"/>
            <w:vMerge w:val="restart"/>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项    目</w:t>
            </w:r>
          </w:p>
        </w:tc>
        <w:tc>
          <w:tcPr>
            <w:tcW w:w="720" w:type="dxa"/>
            <w:vMerge w:val="restart"/>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单位</w:t>
            </w:r>
          </w:p>
        </w:tc>
        <w:tc>
          <w:tcPr>
            <w:tcW w:w="4927" w:type="dxa"/>
            <w:gridSpan w:val="4"/>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r>
              <w:rPr>
                <w:rFonts w:hint="eastAsia" w:ascii="宋体" w:hAnsi="宋体"/>
                <w:kern w:val="0"/>
                <w:sz w:val="20"/>
                <w:szCs w:val="20"/>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600"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720"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02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LLDPE</w:t>
            </w: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MDPE</w:t>
            </w: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HDPE</w:t>
            </w:r>
          </w:p>
        </w:tc>
        <w:tc>
          <w:tcPr>
            <w:tcW w:w="209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ZRP0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w:t>
            </w:r>
          </w:p>
        </w:tc>
        <w:tc>
          <w:tcPr>
            <w:tcW w:w="360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断裂强度</w:t>
            </w:r>
          </w:p>
        </w:tc>
        <w:tc>
          <w:tcPr>
            <w:tcW w:w="720"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p>
        </w:tc>
        <w:tc>
          <w:tcPr>
            <w:tcW w:w="1025"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p>
        </w:tc>
        <w:tc>
          <w:tcPr>
            <w:tcW w:w="905"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p>
        </w:tc>
        <w:tc>
          <w:tcPr>
            <w:tcW w:w="905"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p>
        </w:tc>
        <w:tc>
          <w:tcPr>
            <w:tcW w:w="2092"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2</w:t>
            </w:r>
          </w:p>
        </w:tc>
        <w:tc>
          <w:tcPr>
            <w:tcW w:w="360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热老化处理前 （最小值）</w:t>
            </w:r>
          </w:p>
        </w:tc>
        <w:tc>
          <w:tcPr>
            <w:tcW w:w="72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MPa</w:t>
            </w:r>
          </w:p>
        </w:tc>
        <w:tc>
          <w:tcPr>
            <w:tcW w:w="102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10．0</w:t>
            </w: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12．0</w:t>
            </w: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16．0</w:t>
            </w:r>
          </w:p>
        </w:tc>
        <w:tc>
          <w:tcPr>
            <w:tcW w:w="209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3</w:t>
            </w:r>
          </w:p>
        </w:tc>
        <w:tc>
          <w:tcPr>
            <w:tcW w:w="360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热老化前后变化率|TS| （最大值）</w:t>
            </w:r>
          </w:p>
        </w:tc>
        <w:tc>
          <w:tcPr>
            <w:tcW w:w="72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w:t>
            </w:r>
          </w:p>
        </w:tc>
        <w:tc>
          <w:tcPr>
            <w:tcW w:w="102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20</w:t>
            </w: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20</w:t>
            </w: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25</w:t>
            </w:r>
          </w:p>
        </w:tc>
        <w:tc>
          <w:tcPr>
            <w:tcW w:w="209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4</w:t>
            </w:r>
          </w:p>
        </w:tc>
        <w:tc>
          <w:tcPr>
            <w:tcW w:w="360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断裂伸长率</w:t>
            </w:r>
          </w:p>
        </w:tc>
        <w:tc>
          <w:tcPr>
            <w:tcW w:w="72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p>
        </w:tc>
        <w:tc>
          <w:tcPr>
            <w:tcW w:w="102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p>
        </w:tc>
        <w:tc>
          <w:tcPr>
            <w:tcW w:w="209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5</w:t>
            </w:r>
          </w:p>
        </w:tc>
        <w:tc>
          <w:tcPr>
            <w:tcW w:w="360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热老化处理前 （最小值）</w:t>
            </w:r>
          </w:p>
        </w:tc>
        <w:tc>
          <w:tcPr>
            <w:tcW w:w="72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w:t>
            </w:r>
          </w:p>
        </w:tc>
        <w:tc>
          <w:tcPr>
            <w:tcW w:w="102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350</w:t>
            </w: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p>
        </w:tc>
        <w:tc>
          <w:tcPr>
            <w:tcW w:w="209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6</w:t>
            </w:r>
          </w:p>
        </w:tc>
        <w:tc>
          <w:tcPr>
            <w:tcW w:w="360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热老化处理后 （最小值）</w:t>
            </w:r>
          </w:p>
        </w:tc>
        <w:tc>
          <w:tcPr>
            <w:tcW w:w="72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w:t>
            </w:r>
          </w:p>
        </w:tc>
        <w:tc>
          <w:tcPr>
            <w:tcW w:w="1025"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300</w:t>
            </w:r>
          </w:p>
        </w:tc>
        <w:tc>
          <w:tcPr>
            <w:tcW w:w="905"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p>
        </w:tc>
        <w:tc>
          <w:tcPr>
            <w:tcW w:w="209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7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r>
              <w:rPr>
                <w:rFonts w:hint="eastAsia" w:ascii="宋体" w:hAnsi="宋体"/>
                <w:kern w:val="0"/>
                <w:sz w:val="20"/>
                <w:szCs w:val="20"/>
              </w:rPr>
              <w:t>7</w:t>
            </w:r>
          </w:p>
        </w:tc>
        <w:tc>
          <w:tcPr>
            <w:tcW w:w="3600"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r>
              <w:rPr>
                <w:rFonts w:hint="eastAsia" w:ascii="宋体" w:hAnsi="宋体"/>
                <w:kern w:val="0"/>
                <w:sz w:val="20"/>
                <w:szCs w:val="20"/>
              </w:rPr>
              <w:t>热老化前后变化率|ES| （最大值）</w:t>
            </w:r>
          </w:p>
        </w:tc>
        <w:tc>
          <w:tcPr>
            <w:tcW w:w="72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w:t>
            </w:r>
          </w:p>
        </w:tc>
        <w:tc>
          <w:tcPr>
            <w:tcW w:w="1025"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p>
        </w:tc>
        <w:tc>
          <w:tcPr>
            <w:tcW w:w="90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20</w:t>
            </w:r>
          </w:p>
        </w:tc>
        <w:tc>
          <w:tcPr>
            <w:tcW w:w="905" w:type="dxa"/>
            <w:tcBorders>
              <w:top w:val="single" w:color="auto" w:sz="4" w:space="0"/>
              <w:left w:val="nil"/>
              <w:bottom w:val="single" w:color="auto" w:sz="4" w:space="0"/>
              <w:right w:val="single" w:color="auto" w:sz="4" w:space="0"/>
            </w:tcBorders>
            <w:vAlign w:val="center"/>
          </w:tcPr>
          <w:p>
            <w:pPr>
              <w:spacing w:line="360" w:lineRule="auto"/>
              <w:ind w:firstLine="400" w:firstLineChars="200"/>
              <w:jc w:val="center"/>
              <w:rPr>
                <w:rFonts w:ascii="宋体" w:hAnsi="宋体"/>
                <w:kern w:val="0"/>
                <w:sz w:val="20"/>
                <w:szCs w:val="20"/>
              </w:rPr>
            </w:pPr>
          </w:p>
        </w:tc>
        <w:tc>
          <w:tcPr>
            <w:tcW w:w="209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kern w:val="0"/>
                <w:sz w:val="20"/>
                <w:szCs w:val="20"/>
              </w:rPr>
            </w:pPr>
            <w:r>
              <w:rPr>
                <w:rFonts w:hint="eastAsia" w:ascii="宋体" w:hAnsi="宋体"/>
                <w:kern w:val="0"/>
                <w:sz w:val="20"/>
                <w:szCs w:val="20"/>
              </w:rPr>
              <w:t>20</w:t>
            </w:r>
          </w:p>
        </w:tc>
      </w:tr>
    </w:tbl>
    <w:p>
      <w:pPr>
        <w:spacing w:line="360" w:lineRule="auto"/>
        <w:ind w:firstLine="400" w:firstLineChars="200"/>
        <w:rPr>
          <w:rFonts w:ascii="宋体" w:hAnsi="宋体"/>
          <w:kern w:val="0"/>
          <w:sz w:val="20"/>
          <w:szCs w:val="20"/>
        </w:rPr>
      </w:pPr>
      <w:r>
        <w:rPr>
          <w:rFonts w:hint="eastAsia" w:ascii="宋体" w:hAnsi="宋体"/>
          <w:kern w:val="0"/>
          <w:sz w:val="20"/>
          <w:szCs w:val="20"/>
        </w:rPr>
        <w:t>(b) LLDPE、MDPE和HDPE、ZRP0护层分别在100±2ºC、115±2ºC、85±2ºC，4小时温度处理后的回缩均不应超过5％。</w:t>
      </w:r>
    </w:p>
    <w:p>
      <w:pPr>
        <w:spacing w:line="360" w:lineRule="auto"/>
        <w:ind w:firstLine="400" w:firstLineChars="200"/>
        <w:rPr>
          <w:rFonts w:ascii="宋体" w:hAnsi="宋体"/>
          <w:kern w:val="0"/>
          <w:sz w:val="20"/>
          <w:szCs w:val="20"/>
        </w:rPr>
      </w:pPr>
      <w:r>
        <w:rPr>
          <w:rFonts w:hint="eastAsia" w:ascii="宋体" w:hAnsi="宋体"/>
          <w:kern w:val="0"/>
          <w:sz w:val="20"/>
          <w:szCs w:val="20"/>
        </w:rPr>
        <w:t>(c)聚乙烯护层的抗应力开裂能力（50±1℃，96小时）应符合最大损坏率0／10的要求。</w:t>
      </w:r>
    </w:p>
    <w:p>
      <w:pPr>
        <w:spacing w:line="360" w:lineRule="auto"/>
        <w:ind w:firstLine="400" w:firstLineChars="200"/>
        <w:rPr>
          <w:rFonts w:ascii="宋体" w:hAnsi="宋体"/>
          <w:kern w:val="0"/>
          <w:sz w:val="20"/>
          <w:szCs w:val="20"/>
        </w:rPr>
      </w:pPr>
      <w:r>
        <w:rPr>
          <w:rFonts w:hint="eastAsia" w:ascii="宋体" w:hAnsi="宋体"/>
          <w:kern w:val="0"/>
          <w:sz w:val="20"/>
          <w:szCs w:val="20"/>
        </w:rPr>
        <w:t>(2)阻燃材料</w:t>
      </w:r>
    </w:p>
    <w:p>
      <w:pPr>
        <w:spacing w:line="360" w:lineRule="auto"/>
        <w:ind w:firstLine="400" w:firstLineChars="200"/>
        <w:rPr>
          <w:rFonts w:ascii="宋体" w:hAnsi="宋体"/>
          <w:kern w:val="0"/>
          <w:sz w:val="20"/>
          <w:szCs w:val="20"/>
        </w:rPr>
      </w:pPr>
      <w:r>
        <w:rPr>
          <w:rFonts w:hint="eastAsia" w:ascii="宋体" w:hAnsi="宋体"/>
          <w:kern w:val="0"/>
          <w:sz w:val="20"/>
          <w:szCs w:val="20"/>
        </w:rPr>
        <w:t>阻燃材料应为高性能阻燃物质，低烟无卤，不允许使用PVC或其他燃烧时产生有毒气体的物质。</w:t>
      </w:r>
    </w:p>
    <w:p>
      <w:pPr>
        <w:spacing w:line="360" w:lineRule="auto"/>
        <w:ind w:firstLine="400" w:firstLineChars="200"/>
        <w:rPr>
          <w:rFonts w:ascii="宋体" w:hAnsi="宋体"/>
          <w:kern w:val="0"/>
          <w:sz w:val="20"/>
          <w:szCs w:val="20"/>
        </w:rPr>
      </w:pPr>
      <w:r>
        <w:rPr>
          <w:rFonts w:hint="eastAsia" w:ascii="宋体" w:hAnsi="宋体"/>
          <w:kern w:val="0"/>
          <w:sz w:val="20"/>
          <w:szCs w:val="20"/>
        </w:rPr>
        <w:t>(3)光缆填充材料</w:t>
      </w:r>
    </w:p>
    <w:p>
      <w:pPr>
        <w:spacing w:line="360" w:lineRule="auto"/>
        <w:ind w:firstLine="400" w:firstLineChars="200"/>
        <w:rPr>
          <w:rFonts w:ascii="宋体" w:hAnsi="宋体"/>
          <w:kern w:val="0"/>
          <w:sz w:val="20"/>
          <w:szCs w:val="20"/>
        </w:rPr>
      </w:pPr>
      <w:r>
        <w:rPr>
          <w:rFonts w:hint="eastAsia" w:ascii="宋体" w:hAnsi="宋体"/>
          <w:kern w:val="0"/>
          <w:sz w:val="20"/>
          <w:szCs w:val="20"/>
        </w:rPr>
        <w:t>填充材料应是无毒无味，对身体无害，且应容易去除。</w:t>
      </w:r>
    </w:p>
    <w:p>
      <w:pPr>
        <w:spacing w:line="360" w:lineRule="auto"/>
        <w:ind w:firstLine="400" w:firstLineChars="200"/>
        <w:rPr>
          <w:rFonts w:ascii="宋体" w:hAnsi="宋体"/>
          <w:kern w:val="0"/>
          <w:sz w:val="20"/>
          <w:szCs w:val="20"/>
        </w:rPr>
      </w:pPr>
      <w:r>
        <w:rPr>
          <w:rFonts w:hint="eastAsia" w:ascii="宋体" w:hAnsi="宋体"/>
          <w:kern w:val="0"/>
          <w:sz w:val="20"/>
          <w:szCs w:val="20"/>
        </w:rPr>
        <w:t>填充材料应与有关光缆元件相兼容，其适用性使用以下方法来证实</w:t>
      </w:r>
    </w:p>
    <w:p>
      <w:pPr>
        <w:spacing w:line="360" w:lineRule="auto"/>
        <w:ind w:firstLine="400" w:firstLineChars="200"/>
        <w:rPr>
          <w:rFonts w:ascii="宋体" w:hAnsi="宋体"/>
          <w:kern w:val="0"/>
          <w:sz w:val="20"/>
          <w:szCs w:val="20"/>
        </w:rPr>
      </w:pPr>
      <w:r>
        <w:rPr>
          <w:rFonts w:hint="eastAsia" w:ascii="宋体" w:hAnsi="宋体"/>
          <w:kern w:val="0"/>
          <w:sz w:val="20"/>
          <w:szCs w:val="20"/>
        </w:rPr>
        <w:t>（ａ）填充材料的油分离：IEC811-5-1条款5</w:t>
      </w:r>
    </w:p>
    <w:p>
      <w:pPr>
        <w:spacing w:line="360" w:lineRule="auto"/>
        <w:ind w:firstLine="400" w:firstLineChars="200"/>
        <w:rPr>
          <w:rFonts w:ascii="宋体" w:hAnsi="宋体"/>
          <w:kern w:val="0"/>
          <w:sz w:val="20"/>
          <w:szCs w:val="20"/>
        </w:rPr>
      </w:pPr>
      <w:r>
        <w:rPr>
          <w:rFonts w:hint="eastAsia" w:ascii="宋体" w:hAnsi="宋体"/>
          <w:kern w:val="0"/>
          <w:sz w:val="20"/>
          <w:szCs w:val="20"/>
        </w:rPr>
        <w:t>（ｂ）腐蚀物质存在的测试：IEC811-5-1条款8</w:t>
      </w:r>
    </w:p>
    <w:p>
      <w:pPr>
        <w:spacing w:line="360" w:lineRule="auto"/>
        <w:ind w:firstLine="400" w:firstLineChars="200"/>
        <w:rPr>
          <w:rFonts w:ascii="宋体" w:hAnsi="宋体"/>
          <w:kern w:val="0"/>
          <w:sz w:val="20"/>
          <w:szCs w:val="20"/>
        </w:rPr>
      </w:pPr>
      <w:r>
        <w:rPr>
          <w:rFonts w:hint="eastAsia" w:ascii="宋体" w:hAnsi="宋体"/>
          <w:kern w:val="0"/>
          <w:sz w:val="20"/>
          <w:szCs w:val="20"/>
        </w:rPr>
        <w:t>（ｃ）滴点的确定：IEC811-5-1条款4</w:t>
      </w:r>
    </w:p>
    <w:p>
      <w:pPr>
        <w:spacing w:line="360" w:lineRule="auto"/>
        <w:ind w:firstLine="400" w:firstLineChars="200"/>
        <w:rPr>
          <w:rFonts w:ascii="宋体" w:hAnsi="宋体"/>
          <w:kern w:val="0"/>
          <w:sz w:val="20"/>
          <w:szCs w:val="20"/>
        </w:rPr>
      </w:pPr>
      <w:r>
        <w:rPr>
          <w:rFonts w:hint="eastAsia" w:ascii="宋体" w:hAnsi="宋体"/>
          <w:kern w:val="0"/>
          <w:sz w:val="20"/>
          <w:szCs w:val="20"/>
        </w:rPr>
        <w:t>（ｄ）复合物滴流：IEC794-1</w:t>
      </w:r>
    </w:p>
    <w:p>
      <w:pPr>
        <w:spacing w:line="360" w:lineRule="auto"/>
        <w:ind w:firstLine="400" w:firstLineChars="200"/>
        <w:rPr>
          <w:rFonts w:ascii="宋体" w:hAnsi="宋体"/>
          <w:kern w:val="0"/>
          <w:sz w:val="20"/>
          <w:szCs w:val="20"/>
        </w:rPr>
      </w:pPr>
      <w:r>
        <w:rPr>
          <w:rFonts w:hint="eastAsia" w:ascii="宋体" w:hAnsi="宋体"/>
          <w:kern w:val="0"/>
          <w:sz w:val="20"/>
          <w:szCs w:val="20"/>
        </w:rPr>
        <w:t>（ｅ）析油和蒸发：IEC794-1</w:t>
      </w:r>
    </w:p>
    <w:p>
      <w:pPr>
        <w:spacing w:line="360" w:lineRule="auto"/>
        <w:ind w:firstLine="400" w:firstLineChars="200"/>
        <w:rPr>
          <w:rFonts w:ascii="宋体" w:hAnsi="宋体"/>
          <w:kern w:val="0"/>
          <w:sz w:val="20"/>
          <w:szCs w:val="20"/>
        </w:rPr>
      </w:pPr>
      <w:bookmarkStart w:id="17" w:name="OLE_LINK8"/>
      <w:bookmarkEnd w:id="17"/>
      <w:bookmarkStart w:id="18" w:name="OLE_LINK7"/>
      <w:r>
        <w:rPr>
          <w:rFonts w:hint="eastAsia" w:ascii="宋体" w:hAnsi="宋体"/>
          <w:kern w:val="0"/>
          <w:sz w:val="20"/>
          <w:szCs w:val="20"/>
        </w:rPr>
        <w:t>3</w:t>
      </w:r>
      <w:bookmarkEnd w:id="18"/>
      <w:r>
        <w:rPr>
          <w:rFonts w:hint="eastAsia" w:ascii="宋体" w:hAnsi="宋体"/>
          <w:kern w:val="0"/>
          <w:sz w:val="20"/>
          <w:szCs w:val="20"/>
        </w:rPr>
        <w:t>.2.16 环保性能</w:t>
      </w:r>
    </w:p>
    <w:p>
      <w:pPr>
        <w:spacing w:line="360" w:lineRule="auto"/>
        <w:ind w:firstLine="400" w:firstLineChars="200"/>
        <w:rPr>
          <w:rFonts w:ascii="宋体" w:hAnsi="宋体"/>
          <w:kern w:val="0"/>
          <w:sz w:val="20"/>
          <w:szCs w:val="20"/>
        </w:rPr>
      </w:pPr>
      <w:r>
        <w:rPr>
          <w:rFonts w:hint="eastAsia" w:ascii="宋体" w:hAnsi="宋体"/>
          <w:kern w:val="0"/>
          <w:sz w:val="20"/>
          <w:szCs w:val="20"/>
        </w:rPr>
        <w:t>光缆组成材料应根据SJ/T 11363-2006中的规定进行分类。光缆用均一材料（EIP-A类）中禁用的有毒有害物质限量应符合表6规定。其它分类材料中禁用物质的限量应符合SJ/T 11363-2006中的相关规定。</w:t>
      </w:r>
    </w:p>
    <w:p>
      <w:pPr>
        <w:spacing w:line="360" w:lineRule="auto"/>
        <w:ind w:firstLine="400" w:firstLineChars="200"/>
        <w:rPr>
          <w:rFonts w:hint="eastAsia" w:ascii="宋体" w:hAnsi="宋体"/>
          <w:kern w:val="0"/>
          <w:sz w:val="20"/>
          <w:szCs w:val="20"/>
        </w:rPr>
      </w:pPr>
    </w:p>
    <w:p>
      <w:pPr>
        <w:spacing w:line="360" w:lineRule="auto"/>
        <w:ind w:firstLine="400" w:firstLineChars="200"/>
        <w:rPr>
          <w:rFonts w:hint="eastAsia" w:ascii="宋体" w:hAnsi="宋体"/>
          <w:kern w:val="0"/>
          <w:sz w:val="20"/>
          <w:szCs w:val="20"/>
        </w:rPr>
      </w:pPr>
    </w:p>
    <w:p>
      <w:pPr>
        <w:spacing w:line="360" w:lineRule="auto"/>
        <w:ind w:firstLine="400" w:firstLineChars="200"/>
        <w:rPr>
          <w:rFonts w:hint="eastAsia" w:ascii="宋体" w:hAnsi="宋体"/>
          <w:kern w:val="0"/>
          <w:sz w:val="20"/>
          <w:szCs w:val="20"/>
        </w:rPr>
      </w:pPr>
    </w:p>
    <w:p>
      <w:pPr>
        <w:spacing w:line="360" w:lineRule="auto"/>
        <w:ind w:firstLine="400" w:firstLineChars="200"/>
        <w:rPr>
          <w:rFonts w:hint="eastAsia" w:ascii="宋体" w:hAnsi="宋体"/>
          <w:kern w:val="0"/>
          <w:sz w:val="20"/>
          <w:szCs w:val="20"/>
        </w:rPr>
      </w:pPr>
    </w:p>
    <w:p>
      <w:pPr>
        <w:spacing w:line="360" w:lineRule="auto"/>
        <w:ind w:firstLine="400" w:firstLineChars="200"/>
        <w:rPr>
          <w:rFonts w:hint="eastAsia" w:ascii="宋体" w:hAnsi="宋体"/>
          <w:kern w:val="0"/>
          <w:sz w:val="20"/>
          <w:szCs w:val="20"/>
        </w:rPr>
      </w:pPr>
    </w:p>
    <w:p>
      <w:pPr>
        <w:spacing w:line="360" w:lineRule="auto"/>
        <w:ind w:firstLine="400" w:firstLineChars="200"/>
        <w:rPr>
          <w:rFonts w:hint="eastAsia" w:ascii="宋体" w:hAnsi="宋体"/>
          <w:kern w:val="0"/>
          <w:sz w:val="20"/>
          <w:szCs w:val="20"/>
        </w:rPr>
      </w:pPr>
    </w:p>
    <w:p>
      <w:pPr>
        <w:spacing w:line="360" w:lineRule="auto"/>
        <w:ind w:firstLine="400" w:firstLineChars="200"/>
        <w:rPr>
          <w:rFonts w:hint="eastAsia" w:ascii="宋体" w:hAnsi="宋体"/>
          <w:kern w:val="0"/>
          <w:sz w:val="20"/>
          <w:szCs w:val="20"/>
        </w:rPr>
      </w:pPr>
    </w:p>
    <w:p>
      <w:pPr>
        <w:spacing w:line="360" w:lineRule="auto"/>
        <w:ind w:firstLine="400" w:firstLineChars="200"/>
        <w:rPr>
          <w:rFonts w:ascii="宋体" w:hAnsi="宋体"/>
          <w:kern w:val="0"/>
          <w:sz w:val="20"/>
          <w:szCs w:val="20"/>
        </w:rPr>
      </w:pPr>
      <w:r>
        <w:rPr>
          <w:rFonts w:hint="eastAsia" w:ascii="宋体" w:hAnsi="宋体"/>
          <w:kern w:val="0"/>
          <w:sz w:val="20"/>
          <w:szCs w:val="20"/>
        </w:rPr>
        <w:t xml:space="preserve">表6：光缆材料中禁用物质的含量限值          </w:t>
      </w:r>
    </w:p>
    <w:tbl>
      <w:tblPr>
        <w:tblStyle w:val="9"/>
        <w:tblW w:w="990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1"/>
        <w:gridCol w:w="2991"/>
        <w:gridCol w:w="3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1" w:type="dxa"/>
            <w:tcBorders>
              <w:top w:val="single" w:color="auto" w:sz="4" w:space="0"/>
              <w:left w:val="single" w:color="auto" w:sz="4" w:space="0"/>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种类</w:t>
            </w:r>
          </w:p>
        </w:tc>
        <w:tc>
          <w:tcPr>
            <w:tcW w:w="2991"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物  质</w:t>
            </w:r>
          </w:p>
        </w:tc>
        <w:tc>
          <w:tcPr>
            <w:tcW w:w="3947"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含量限值(ppm)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1" w:type="dxa"/>
            <w:vMerge w:val="restart"/>
            <w:tcBorders>
              <w:top w:val="nil"/>
              <w:left w:val="single" w:color="auto" w:sz="4" w:space="0"/>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重金属</w:t>
            </w:r>
          </w:p>
        </w:tc>
        <w:tc>
          <w:tcPr>
            <w:tcW w:w="2991"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铅及其化合物</w:t>
            </w:r>
          </w:p>
        </w:tc>
        <w:tc>
          <w:tcPr>
            <w:tcW w:w="3947"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2991"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镉及其化合物</w:t>
            </w:r>
          </w:p>
        </w:tc>
        <w:tc>
          <w:tcPr>
            <w:tcW w:w="3947"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2991"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汞及其化合物</w:t>
            </w:r>
          </w:p>
        </w:tc>
        <w:tc>
          <w:tcPr>
            <w:tcW w:w="3947"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2991"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6价镉的化合物</w:t>
            </w:r>
          </w:p>
        </w:tc>
        <w:tc>
          <w:tcPr>
            <w:tcW w:w="3947"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1" w:type="dxa"/>
            <w:vMerge w:val="restart"/>
            <w:tcBorders>
              <w:top w:val="nil"/>
              <w:left w:val="single" w:color="auto" w:sz="4" w:space="0"/>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有机溴化物</w:t>
            </w:r>
          </w:p>
        </w:tc>
        <w:tc>
          <w:tcPr>
            <w:tcW w:w="2991"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多溴联笨（PBB）</w:t>
            </w:r>
          </w:p>
        </w:tc>
        <w:tc>
          <w:tcPr>
            <w:tcW w:w="3947"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2991"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多溴二笨醚(PBDE)</w:t>
            </w:r>
          </w:p>
        </w:tc>
        <w:tc>
          <w:tcPr>
            <w:tcW w:w="3947" w:type="dxa"/>
            <w:tcBorders>
              <w:top w:val="single" w:color="auto" w:sz="4" w:space="0"/>
              <w:left w:val="nil"/>
              <w:bottom w:val="single" w:color="auto" w:sz="4" w:space="0"/>
              <w:right w:val="single" w:color="auto" w:sz="4" w:space="0"/>
            </w:tcBorders>
            <w:vAlign w:val="center"/>
          </w:tcPr>
          <w:p>
            <w:pPr>
              <w:spacing w:line="360" w:lineRule="auto"/>
              <w:ind w:firstLine="400" w:firstLineChars="200"/>
              <w:rPr>
                <w:rFonts w:ascii="宋体" w:hAnsi="宋体"/>
                <w:kern w:val="0"/>
                <w:sz w:val="20"/>
                <w:szCs w:val="20"/>
              </w:rPr>
            </w:pPr>
            <w:r>
              <w:rPr>
                <w:rFonts w:hint="eastAsia" w:ascii="宋体" w:hAnsi="宋体"/>
                <w:kern w:val="0"/>
                <w:sz w:val="20"/>
                <w:szCs w:val="20"/>
              </w:rPr>
              <w:t>≤800</w:t>
            </w:r>
          </w:p>
        </w:tc>
      </w:tr>
    </w:tbl>
    <w:p>
      <w:pPr>
        <w:widowControl/>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9206B"/>
    <w:multiLevelType w:val="multilevel"/>
    <w:tmpl w:val="06A9206B"/>
    <w:lvl w:ilvl="0" w:tentative="0">
      <w:start w:val="1"/>
      <w:numFmt w:val="chineseCountingThousand"/>
      <w:suff w:val="nothing"/>
      <w:lvlText w:val="第%1部分"/>
      <w:lvlJc w:val="center"/>
      <w:pPr>
        <w:ind w:left="-288" w:firstLine="288"/>
      </w:pPr>
      <w:rPr>
        <w:rFonts w:hint="eastAsia" w:ascii="宋体" w:hAnsi="宋体" w:eastAsia="宋体"/>
        <w:sz w:val="28"/>
        <w:szCs w:val="28"/>
      </w:rPr>
    </w:lvl>
    <w:lvl w:ilvl="1" w:tentative="0">
      <w:start w:val="1"/>
      <w:numFmt w:val="chineseCountingThousand"/>
      <w:suff w:val="nothing"/>
      <w:lvlText w:val="%2、"/>
      <w:lvlJc w:val="left"/>
      <w:pPr>
        <w:ind w:left="254" w:firstLine="0"/>
      </w:pPr>
      <w:rPr>
        <w:rFonts w:hint="eastAsia" w:ascii="宋体" w:hAnsi="宋体" w:eastAsia="宋体"/>
        <w:sz w:val="21"/>
        <w:szCs w:val="21"/>
      </w:rPr>
    </w:lvl>
    <w:lvl w:ilvl="2" w:tentative="0">
      <w:start w:val="1"/>
      <w:numFmt w:val="chineseCountingThousand"/>
      <w:suff w:val="nothing"/>
      <w:lvlText w:val="(%3)"/>
      <w:lvlJc w:val="left"/>
      <w:pPr>
        <w:ind w:left="0" w:firstLine="0"/>
      </w:pPr>
      <w:rPr>
        <w:rFonts w:hint="default" w:ascii="Times New Roman" w:hAnsi="Times New Roman" w:eastAsia="宋体" w:cs="Times New Roman"/>
        <w:b/>
        <w:bCs/>
        <w:i w:val="0"/>
        <w:iCs w:val="0"/>
        <w:spacing w:val="0"/>
        <w:sz w:val="21"/>
        <w:szCs w:val="21"/>
      </w:rPr>
    </w:lvl>
    <w:lvl w:ilvl="3" w:tentative="0">
      <w:start w:val="1"/>
      <w:numFmt w:val="decimal"/>
      <w:suff w:val="nothing"/>
      <w:lvlText w:val="%4、"/>
      <w:lvlJc w:val="left"/>
      <w:pPr>
        <w:ind w:left="0" w:firstLine="0"/>
      </w:pPr>
      <w:rPr>
        <w:rFonts w:hint="eastAsia" w:ascii="宋体" w:hAnsi="宋体" w:eastAsia="宋体"/>
      </w:rPr>
    </w:lvl>
    <w:lvl w:ilvl="4" w:tentative="0">
      <w:start w:val="1"/>
      <w:numFmt w:val="upperLetter"/>
      <w:suff w:val="nothing"/>
      <w:lvlText w:val="%5、"/>
      <w:lvlJc w:val="left"/>
      <w:pPr>
        <w:ind w:left="0" w:firstLine="0"/>
      </w:pPr>
      <w:rPr>
        <w:rFonts w:hint="eastAsia" w:ascii="宋体" w:hAnsi="宋体" w:eastAsia="宋体"/>
      </w:rPr>
    </w:lvl>
    <w:lvl w:ilvl="5" w:tentative="0">
      <w:start w:val="1"/>
      <w:numFmt w:val="none"/>
      <w:suff w:val="nothing"/>
      <w:lvlText w:val="%6."/>
      <w:lvlJc w:val="left"/>
      <w:pPr>
        <w:ind w:left="4320" w:hanging="360"/>
      </w:pPr>
    </w:lvl>
    <w:lvl w:ilvl="6" w:tentative="0">
      <w:start w:val="1"/>
      <w:numFmt w:val="none"/>
      <w:suff w:val="nothing"/>
      <w:lvlText w:val="%7."/>
      <w:lvlJc w:val="left"/>
      <w:pPr>
        <w:ind w:left="5040" w:hanging="360"/>
      </w:pPr>
    </w:lvl>
    <w:lvl w:ilvl="7" w:tentative="0">
      <w:start w:val="1"/>
      <w:numFmt w:val="none"/>
      <w:suff w:val="nothing"/>
      <w:lvlText w:val="%8."/>
      <w:lvlJc w:val="left"/>
      <w:pPr>
        <w:ind w:left="5760" w:hanging="360"/>
      </w:pPr>
    </w:lvl>
    <w:lvl w:ilvl="8" w:tentative="0">
      <w:start w:val="1"/>
      <w:numFmt w:val="none"/>
      <w:suff w:val="nothing"/>
      <w:lvlText w:val="%9."/>
      <w:lvlJc w:val="left"/>
      <w:pPr>
        <w:ind w:left="6480" w:hanging="360"/>
      </w:pPr>
    </w:lvl>
  </w:abstractNum>
  <w:abstractNum w:abstractNumId="1">
    <w:nsid w:val="518D6178"/>
    <w:multiLevelType w:val="multilevel"/>
    <w:tmpl w:val="518D6178"/>
    <w:lvl w:ilvl="0" w:tentative="0">
      <w:start w:val="1"/>
      <w:numFmt w:val="chineseCountingThousand"/>
      <w:suff w:val="nothing"/>
      <w:lvlText w:val="第%1部分"/>
      <w:lvlJc w:val="center"/>
      <w:pPr>
        <w:ind w:left="-288" w:firstLine="288"/>
      </w:pPr>
      <w:rPr>
        <w:rFonts w:hint="eastAsia" w:ascii="宋体" w:hAnsi="宋体" w:eastAsia="宋体"/>
        <w:sz w:val="28"/>
        <w:szCs w:val="28"/>
      </w:rPr>
    </w:lvl>
    <w:lvl w:ilvl="1" w:tentative="0">
      <w:start w:val="1"/>
      <w:numFmt w:val="chineseCountingThousand"/>
      <w:suff w:val="nothing"/>
      <w:lvlText w:val="%2、"/>
      <w:lvlJc w:val="left"/>
      <w:pPr>
        <w:ind w:left="254" w:firstLine="0"/>
      </w:pPr>
      <w:rPr>
        <w:rFonts w:hint="eastAsia" w:ascii="宋体" w:hAnsi="宋体" w:eastAsia="宋体"/>
        <w:sz w:val="21"/>
        <w:szCs w:val="21"/>
      </w:rPr>
    </w:lvl>
    <w:lvl w:ilvl="2" w:tentative="0">
      <w:start w:val="1"/>
      <w:numFmt w:val="chineseCountingThousand"/>
      <w:suff w:val="nothing"/>
      <w:lvlText w:val="(%3)"/>
      <w:lvlJc w:val="left"/>
      <w:pPr>
        <w:ind w:left="0" w:firstLine="0"/>
      </w:pPr>
      <w:rPr>
        <w:rFonts w:hint="default" w:ascii="Times New Roman" w:hAnsi="Times New Roman" w:eastAsia="宋体" w:cs="Times New Roman"/>
        <w:b/>
        <w:bCs/>
        <w:i w:val="0"/>
        <w:iCs w:val="0"/>
        <w:spacing w:val="0"/>
        <w:sz w:val="21"/>
        <w:szCs w:val="21"/>
      </w:rPr>
    </w:lvl>
    <w:lvl w:ilvl="3" w:tentative="0">
      <w:start w:val="1"/>
      <w:numFmt w:val="decimal"/>
      <w:suff w:val="nothing"/>
      <w:lvlText w:val="%4、"/>
      <w:lvlJc w:val="left"/>
      <w:pPr>
        <w:ind w:left="0" w:firstLine="0"/>
      </w:pPr>
      <w:rPr>
        <w:rFonts w:hint="eastAsia" w:ascii="宋体" w:hAnsi="宋体" w:eastAsia="宋体"/>
      </w:rPr>
    </w:lvl>
    <w:lvl w:ilvl="4" w:tentative="0">
      <w:start w:val="1"/>
      <w:numFmt w:val="upperLetter"/>
      <w:suff w:val="nothing"/>
      <w:lvlText w:val="%5、"/>
      <w:lvlJc w:val="left"/>
      <w:pPr>
        <w:ind w:left="0" w:firstLine="0"/>
      </w:pPr>
      <w:rPr>
        <w:rFonts w:hint="eastAsia" w:ascii="宋体" w:hAnsi="宋体" w:eastAsia="宋体"/>
      </w:rPr>
    </w:lvl>
    <w:lvl w:ilvl="5" w:tentative="0">
      <w:start w:val="1"/>
      <w:numFmt w:val="none"/>
      <w:suff w:val="nothing"/>
      <w:lvlText w:val="%6."/>
      <w:lvlJc w:val="left"/>
      <w:pPr>
        <w:ind w:left="4320" w:hanging="360"/>
      </w:pPr>
    </w:lvl>
    <w:lvl w:ilvl="6" w:tentative="0">
      <w:start w:val="1"/>
      <w:numFmt w:val="none"/>
      <w:suff w:val="nothing"/>
      <w:lvlText w:val="%7."/>
      <w:lvlJc w:val="left"/>
      <w:pPr>
        <w:ind w:left="5040" w:hanging="360"/>
      </w:pPr>
    </w:lvl>
    <w:lvl w:ilvl="7" w:tentative="0">
      <w:start w:val="1"/>
      <w:numFmt w:val="none"/>
      <w:suff w:val="nothing"/>
      <w:lvlText w:val="%8."/>
      <w:lvlJc w:val="left"/>
      <w:pPr>
        <w:ind w:left="5760" w:hanging="360"/>
      </w:pPr>
    </w:lvl>
    <w:lvl w:ilvl="8" w:tentative="0">
      <w:start w:val="1"/>
      <w:numFmt w:val="none"/>
      <w:suff w:val="nothing"/>
      <w:lvlText w:val="%9."/>
      <w:lvlJc w:val="left"/>
      <w:pPr>
        <w:ind w:left="6480" w:hanging="360"/>
      </w:pPr>
    </w:lvl>
  </w:abstractNum>
  <w:abstractNum w:abstractNumId="2">
    <w:nsid w:val="5A353821"/>
    <w:multiLevelType w:val="singleLevel"/>
    <w:tmpl w:val="5A353821"/>
    <w:lvl w:ilvl="0" w:tentative="0">
      <w:start w:val="3"/>
      <w:numFmt w:val="decimal"/>
      <w:suff w:val="nothing"/>
      <w:lvlText w:val="%1、"/>
      <w:lvlJc w:val="left"/>
      <w:pPr>
        <w:ind w:left="0" w:firstLine="0"/>
      </w:pPr>
      <w:rPr>
        <w:rFonts w:cs="Times New Roman"/>
      </w:rPr>
    </w:lvl>
  </w:abstractNum>
  <w:abstractNum w:abstractNumId="3">
    <w:nsid w:val="78A53453"/>
    <w:multiLevelType w:val="multilevel"/>
    <w:tmpl w:val="78A53453"/>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3"/>
    </w:lvlOverride>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4F31CE"/>
    <w:rsid w:val="57912CD8"/>
    <w:rsid w:val="6D535020"/>
    <w:rsid w:val="754F3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2"/>
    <w:basedOn w:val="1"/>
    <w:next w:val="1"/>
    <w:qFormat/>
    <w:uiPriority w:val="9"/>
    <w:pPr>
      <w:autoSpaceDE w:val="0"/>
      <w:autoSpaceDN w:val="0"/>
      <w:adjustRightInd w:val="0"/>
      <w:spacing w:line="600" w:lineRule="exact"/>
      <w:jc w:val="center"/>
      <w:outlineLvl w:val="1"/>
    </w:pPr>
    <w:rPr>
      <w:rFonts w:ascii="黑体" w:eastAsia="黑体"/>
      <w:b/>
      <w:kern w:val="0"/>
      <w:sz w:val="32"/>
    </w:rPr>
  </w:style>
  <w:style w:type="paragraph" w:styleId="4">
    <w:name w:val="heading 3"/>
    <w:basedOn w:val="1"/>
    <w:next w:val="1"/>
    <w:qFormat/>
    <w:uiPriority w:val="9"/>
    <w:pPr>
      <w:autoSpaceDE w:val="0"/>
      <w:autoSpaceDN w:val="0"/>
      <w:adjustRightInd w:val="0"/>
      <w:spacing w:line="600" w:lineRule="exact"/>
      <w:jc w:val="center"/>
      <w:outlineLvl w:val="2"/>
    </w:pPr>
    <w:rPr>
      <w:rFonts w:ascii="黑体" w:eastAsia="黑体"/>
      <w:b/>
      <w:kern w:val="0"/>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semiHidden/>
    <w:unhideWhenUsed/>
    <w:qFormat/>
    <w:uiPriority w:val="0"/>
    <w:pPr>
      <w:keepNext/>
      <w:keepLines/>
      <w:spacing w:before="280" w:after="290" w:line="372" w:lineRule="auto"/>
      <w:outlineLvl w:val="4"/>
    </w:pPr>
    <w:rPr>
      <w:b/>
      <w:sz w:val="28"/>
    </w:rPr>
  </w:style>
  <w:style w:type="character" w:default="1" w:styleId="7">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Message Header"/>
    <w:basedOn w:val="1"/>
    <w:unhideWhenUsed/>
    <w:qFormat/>
    <w:uiPriority w:val="99"/>
    <w:pPr>
      <w:pBdr>
        <w:top w:val="single" w:color="auto" w:sz="6" w:space="1"/>
        <w:left w:val="single" w:color="auto" w:sz="6" w:space="1"/>
        <w:bottom w:val="single" w:color="auto" w:sz="6" w:space="1"/>
        <w:right w:val="single" w:color="auto" w:sz="6" w:space="1"/>
      </w:pBdr>
      <w:shd w:val="clear" w:color="auto" w:fill="7F7F7F"/>
      <w:spacing w:before="100" w:beforeAutospacing="1" w:after="100" w:afterAutospacing="1"/>
      <w:ind w:left="1080" w:leftChars="500" w:hanging="1080" w:hangingChars="500"/>
    </w:pPr>
    <w:rPr>
      <w:rFonts w:ascii="Arial" w:hAnsi="Arial" w:cs="Arial"/>
      <w:sz w:val="24"/>
      <w:szCs w:val="24"/>
    </w:rPr>
  </w:style>
  <w:style w:type="character" w:styleId="8">
    <w:name w:val="Hyperlink"/>
    <w:basedOn w:val="7"/>
    <w:qFormat/>
    <w:uiPriority w:val="99"/>
    <w:rPr>
      <w:rFonts w:cs="Times New Roman"/>
      <w:color w:val="0000FF"/>
      <w:u w:val="single"/>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16"/>
    <w:basedOn w:val="7"/>
    <w:qFormat/>
    <w:uiPriority w:val="0"/>
    <w:rPr>
      <w:rFonts w:hint="default" w:ascii="Times New Roman" w:hAnsi="Times New Roman" w:cs="Times New Roman"/>
      <w:b/>
      <w:bCs/>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jpeg"/><Relationship Id="rId28" Type="http://schemas.openxmlformats.org/officeDocument/2006/relationships/image" Target="media/image24.wmf"/><Relationship Id="rId27" Type="http://schemas.openxmlformats.org/officeDocument/2006/relationships/oleObject" Target="embeddings/oleObject1.bin"/><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3</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2018-08-08T02:59:00Z</dcterms:created>
  <dc:creator>旅途</dc:creator>
  <cp:lastModifiedBy>WPS办公</cp:lastModifiedBy>
  <dcterms:modified xsi:type="dcterms:W3CDTF">2018-08-09T02:50:20Z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