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jc w:val="center"/>
        <w:rPr>
          <w:rFonts w:ascii="仿宋" w:hAnsi="仿宋" w:eastAsia="仿宋" w:cs="仿宋_GB2312"/>
          <w:b/>
          <w:color w:val="000000"/>
          <w:sz w:val="36"/>
          <w:szCs w:val="36"/>
          <w:shd w:val="clear" w:color="auto" w:fill="FFFFFF"/>
        </w:rPr>
      </w:pPr>
      <w:r>
        <w:rPr>
          <w:rFonts w:hint="eastAsia" w:ascii="仿宋" w:hAnsi="仿宋" w:eastAsia="仿宋" w:cs="仿宋_GB2312"/>
          <w:b/>
          <w:color w:val="000000"/>
          <w:sz w:val="36"/>
          <w:szCs w:val="36"/>
          <w:shd w:val="clear" w:color="auto" w:fill="FFFFFF"/>
        </w:rPr>
        <w:t>许昌市广电大厦物业管理</w:t>
      </w:r>
    </w:p>
    <w:p>
      <w:pPr>
        <w:shd w:val="clear" w:color="auto" w:fill="FFFFFF"/>
        <w:adjustRightInd/>
        <w:snapToGrid/>
        <w:spacing w:after="0" w:line="360" w:lineRule="auto"/>
        <w:jc w:val="center"/>
        <w:rPr>
          <w:rFonts w:ascii="仿宋" w:hAnsi="仿宋" w:eastAsia="仿宋" w:cs="宋体"/>
          <w:b/>
          <w:color w:val="000000"/>
          <w:sz w:val="36"/>
          <w:szCs w:val="36"/>
        </w:rPr>
      </w:pPr>
      <w:r>
        <w:rPr>
          <w:rFonts w:hint="eastAsia" w:ascii="仿宋" w:hAnsi="仿宋" w:eastAsia="仿宋" w:cs="仿宋_GB2312"/>
          <w:b/>
          <w:color w:val="000000"/>
          <w:sz w:val="36"/>
          <w:szCs w:val="36"/>
          <w:shd w:val="clear" w:color="auto" w:fill="FFFFFF"/>
        </w:rPr>
        <w:t>采购需求、评标标准等说明</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eastAsia="仿宋" w:cs="黑体" w:asciiTheme="minorEastAsia" w:hAnsiTheme="minorEastAsia"/>
          <w:color w:val="000000"/>
          <w:sz w:val="28"/>
          <w:szCs w:val="28"/>
          <w:shd w:val="clear" w:color="auto" w:fill="FFFFFF"/>
        </w:rPr>
        <w:t> </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黑体"/>
          <w:color w:val="000000"/>
          <w:sz w:val="28"/>
          <w:szCs w:val="28"/>
          <w:shd w:val="clear" w:color="auto" w:fill="FFFFFF"/>
        </w:rPr>
        <w:t>一、项目概况</w:t>
      </w:r>
    </w:p>
    <w:p>
      <w:pPr>
        <w:shd w:val="clear" w:color="auto" w:fill="FFFFFF"/>
        <w:adjustRightInd/>
        <w:snapToGrid/>
        <w:spacing w:after="0" w:line="360" w:lineRule="auto"/>
        <w:rPr>
          <w:rFonts w:ascii="仿宋" w:hAnsi="仿宋" w:eastAsia="仿宋" w:cs="宋体"/>
          <w:color w:val="000000"/>
          <w:sz w:val="28"/>
          <w:szCs w:val="28"/>
        </w:rPr>
      </w:pPr>
      <w:r>
        <w:rPr>
          <w:rFonts w:hint="eastAsia" w:eastAsia="仿宋" w:cs="微软雅黑" w:asciiTheme="minorEastAsia" w:hAnsiTheme="minorEastAsia"/>
          <w:color w:val="000000"/>
          <w:sz w:val="28"/>
          <w:szCs w:val="28"/>
          <w:shd w:val="clear" w:color="auto" w:fill="FFFFFF"/>
        </w:rPr>
        <w:t>  </w:t>
      </w:r>
      <w:r>
        <w:rPr>
          <w:rFonts w:hint="eastAsia" w:ascii="仿宋" w:hAnsi="仿宋" w:eastAsia="仿宋" w:cs="仿宋"/>
          <w:color w:val="000000"/>
          <w:sz w:val="28"/>
          <w:szCs w:val="28"/>
          <w:shd w:val="clear" w:color="auto" w:fill="FFFFFF"/>
        </w:rPr>
        <w:t>（一）项目名称：</w:t>
      </w:r>
      <w:r>
        <w:rPr>
          <w:rFonts w:hint="eastAsia" w:ascii="仿宋" w:hAnsi="仿宋" w:eastAsia="仿宋" w:cs="宋体"/>
          <w:sz w:val="28"/>
          <w:szCs w:val="28"/>
          <w:lang w:val="zh-CN"/>
        </w:rPr>
        <w:t>许昌市广电大厦物业管理</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（二）采购方式：</w:t>
      </w:r>
      <w:r>
        <w:rPr>
          <w:rFonts w:hint="eastAsia" w:ascii="仿宋" w:hAnsi="仿宋" w:eastAsia="仿宋" w:cs="宋体"/>
          <w:color w:val="000000"/>
          <w:sz w:val="28"/>
          <w:szCs w:val="28"/>
          <w:shd w:val="clear" w:color="auto" w:fill="FFFFFF"/>
        </w:rPr>
        <w:t>公开招标</w:t>
      </w:r>
    </w:p>
    <w:p>
      <w:pPr>
        <w:shd w:val="clear" w:color="auto" w:fill="FFFFFF"/>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（三）主要内容、数量及要求：</w:t>
      </w:r>
      <w:r>
        <w:rPr>
          <w:rFonts w:hint="eastAsia" w:ascii="仿宋" w:hAnsi="仿宋" w:eastAsia="仿宋" w:cs="宋体"/>
          <w:spacing w:val="6"/>
          <w:sz w:val="28"/>
          <w:szCs w:val="28"/>
        </w:rPr>
        <w:t>许昌市广电大厦物业管理(含保洁管理，绿化管理，公共秩序管理，设施设备运行、维护、管理，档案管理等)</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（四）预算金额：273</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color w:val="000000"/>
          <w:sz w:val="28"/>
          <w:szCs w:val="28"/>
          <w:shd w:val="clear" w:color="auto" w:fill="FFFFFF"/>
        </w:rPr>
        <w:t>640元，</w:t>
      </w:r>
      <w:r>
        <w:rPr>
          <w:rFonts w:hint="eastAsia" w:ascii="仿宋" w:hAnsi="仿宋" w:eastAsia="仿宋" w:cs="宋体"/>
          <w:color w:val="000000"/>
          <w:sz w:val="28"/>
          <w:szCs w:val="28"/>
          <w:shd w:val="clear" w:color="auto" w:fill="FFFFFF"/>
        </w:rPr>
        <w:t>1369320</w:t>
      </w:r>
      <w:r>
        <w:rPr>
          <w:rFonts w:hint="eastAsia" w:ascii="仿宋" w:hAnsi="仿宋" w:eastAsia="仿宋" w:cs="宋体"/>
          <w:color w:val="000000"/>
          <w:sz w:val="28"/>
          <w:szCs w:val="28"/>
          <w:shd w:val="clear" w:color="auto" w:fill="FFFFFF"/>
          <w:lang w:eastAsia="zh-CN"/>
        </w:rPr>
        <w:t>元</w:t>
      </w:r>
      <w:r>
        <w:rPr>
          <w:rFonts w:hint="eastAsia" w:ascii="仿宋" w:hAnsi="仿宋" w:eastAsia="仿宋" w:cs="宋体"/>
          <w:color w:val="000000"/>
          <w:sz w:val="28"/>
          <w:szCs w:val="28"/>
          <w:shd w:val="clear" w:color="auto" w:fill="FFFFFF"/>
        </w:rPr>
        <w:t>/年</w:t>
      </w:r>
      <w:r>
        <w:rPr>
          <w:rFonts w:hint="eastAsia" w:ascii="仿宋" w:hAnsi="仿宋" w:eastAsia="仿宋" w:cs="仿宋"/>
          <w:color w:val="000000"/>
          <w:sz w:val="28"/>
          <w:szCs w:val="28"/>
          <w:shd w:val="clear" w:color="auto" w:fill="FFFFFF"/>
        </w:rPr>
        <w:t>；最高限价：273</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color w:val="000000"/>
          <w:sz w:val="28"/>
          <w:szCs w:val="28"/>
          <w:shd w:val="clear" w:color="auto" w:fill="FFFFFF"/>
        </w:rPr>
        <w:t>640元，</w:t>
      </w:r>
      <w:r>
        <w:rPr>
          <w:rFonts w:hint="eastAsia" w:ascii="仿宋" w:hAnsi="仿宋" w:eastAsia="仿宋" w:cs="宋体"/>
          <w:color w:val="000000"/>
          <w:sz w:val="28"/>
          <w:szCs w:val="28"/>
          <w:shd w:val="clear" w:color="auto" w:fill="FFFFFF"/>
        </w:rPr>
        <w:t>1369320元/年；</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（五）服务期限：合同签</w:t>
      </w:r>
      <w:bookmarkStart w:id="0" w:name="_GoBack"/>
      <w:bookmarkEnd w:id="0"/>
      <w:r>
        <w:rPr>
          <w:rFonts w:hint="eastAsia" w:ascii="仿宋" w:hAnsi="仿宋" w:eastAsia="仿宋" w:cs="仿宋"/>
          <w:color w:val="000000"/>
          <w:sz w:val="28"/>
          <w:szCs w:val="28"/>
          <w:shd w:val="clear" w:color="auto" w:fill="FFFFFF"/>
        </w:rPr>
        <w:t>订后2年</w:t>
      </w:r>
    </w:p>
    <w:p>
      <w:pPr>
        <w:shd w:val="clear" w:color="auto" w:fill="FFFFFF"/>
        <w:adjustRightInd/>
        <w:snapToGrid/>
        <w:spacing w:after="0" w:line="360" w:lineRule="auto"/>
        <w:ind w:firstLine="6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（六）服务地点：许昌市广电大厦</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（七）分包：不允许</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黑体"/>
          <w:color w:val="000000"/>
          <w:sz w:val="28"/>
          <w:szCs w:val="28"/>
          <w:shd w:val="clear" w:color="auto" w:fill="FFFFFF"/>
        </w:rPr>
        <w:t>二、投标人资格要求</w:t>
      </w:r>
    </w:p>
    <w:p>
      <w:pPr>
        <w:spacing w:after="0" w:line="360" w:lineRule="auto"/>
        <w:ind w:left="839" w:leftChars="254" w:hanging="280" w:hangingChars="100"/>
        <w:rPr>
          <w:rFonts w:ascii="仿宋" w:hAnsi="仿宋" w:eastAsia="仿宋" w:cs="楷体"/>
          <w:sz w:val="28"/>
          <w:szCs w:val="28"/>
        </w:rPr>
      </w:pPr>
      <w:r>
        <w:rPr>
          <w:rFonts w:hint="eastAsia" w:ascii="仿宋" w:hAnsi="仿宋" w:eastAsia="仿宋" w:cs="楷体"/>
          <w:sz w:val="28"/>
          <w:szCs w:val="28"/>
        </w:rPr>
        <w:t>（一）符合《中华人民共和国政府采购法》第二十二条的规定。</w:t>
      </w:r>
    </w:p>
    <w:p>
      <w:pPr>
        <w:spacing w:after="0" w:line="360" w:lineRule="auto"/>
        <w:ind w:left="839" w:leftChars="254" w:hanging="280" w:hangingChars="100"/>
        <w:rPr>
          <w:rFonts w:ascii="仿宋" w:hAnsi="仿宋" w:eastAsia="仿宋" w:cs="楷体"/>
          <w:sz w:val="28"/>
          <w:szCs w:val="28"/>
          <w:lang w:val="zh-CN"/>
        </w:rPr>
      </w:pPr>
      <w:r>
        <w:rPr>
          <w:rFonts w:hint="eastAsia" w:ascii="仿宋" w:hAnsi="仿宋" w:eastAsia="仿宋" w:cs="楷体"/>
          <w:sz w:val="28"/>
          <w:szCs w:val="28"/>
          <w:lang w:val="zh-CN"/>
        </w:rPr>
        <w:t>（二）本次招标不接受联合体投标。</w:t>
      </w:r>
    </w:p>
    <w:p>
      <w:pPr>
        <w:tabs>
          <w:tab w:val="left" w:pos="540"/>
        </w:tabs>
        <w:spacing w:after="0" w:line="360" w:lineRule="auto"/>
        <w:ind w:firstLine="548" w:firstLineChars="196"/>
        <w:rPr>
          <w:rFonts w:ascii="仿宋" w:hAnsi="仿宋" w:eastAsia="仿宋"/>
          <w:bCs/>
          <w:sz w:val="28"/>
          <w:szCs w:val="28"/>
        </w:rPr>
      </w:pPr>
      <w:r>
        <w:rPr>
          <w:rFonts w:hint="eastAsia" w:ascii="仿宋" w:hAnsi="仿宋" w:eastAsia="仿宋"/>
          <w:bCs/>
          <w:sz w:val="28"/>
          <w:szCs w:val="28"/>
        </w:rPr>
        <w:t>三、采购需求</w:t>
      </w:r>
    </w:p>
    <w:p>
      <w:pPr>
        <w:widowControl w:val="0"/>
        <w:numPr>
          <w:ilvl w:val="0"/>
          <w:numId w:val="1"/>
        </w:numPr>
        <w:adjustRightInd/>
        <w:snapToGrid/>
        <w:spacing w:after="0" w:line="360" w:lineRule="auto"/>
        <w:jc w:val="both"/>
        <w:rPr>
          <w:rFonts w:ascii="仿宋" w:hAnsi="仿宋" w:eastAsia="仿宋"/>
          <w:sz w:val="28"/>
          <w:szCs w:val="28"/>
        </w:rPr>
      </w:pPr>
      <w:r>
        <w:rPr>
          <w:rFonts w:hint="eastAsia" w:ascii="仿宋" w:hAnsi="仿宋" w:eastAsia="仿宋" w:cs="宋体"/>
          <w:spacing w:val="6"/>
          <w:sz w:val="28"/>
          <w:szCs w:val="28"/>
        </w:rPr>
        <w:t>服务需求</w:t>
      </w:r>
    </w:p>
    <w:p>
      <w:pPr>
        <w:pStyle w:val="10"/>
        <w:numPr>
          <w:ilvl w:val="0"/>
          <w:numId w:val="2"/>
        </w:numPr>
        <w:tabs>
          <w:tab w:val="left" w:pos="993"/>
        </w:tabs>
        <w:spacing w:line="360" w:lineRule="auto"/>
        <w:ind w:left="0" w:firstLine="504" w:firstLineChars="0"/>
        <w:rPr>
          <w:rFonts w:ascii="仿宋" w:hAnsi="仿宋" w:eastAsia="仿宋" w:cs="宋体"/>
          <w:spacing w:val="6"/>
          <w:sz w:val="28"/>
          <w:szCs w:val="28"/>
        </w:rPr>
      </w:pPr>
      <w:r>
        <w:rPr>
          <w:rFonts w:hint="eastAsia" w:ascii="仿宋" w:hAnsi="仿宋" w:eastAsia="仿宋" w:cs="宋体"/>
          <w:sz w:val="28"/>
          <w:szCs w:val="28"/>
        </w:rPr>
        <w:t>项目概况：项目位于魏武大道与八一路交汇处东南角；主体建筑为地下一层，地上22层，建筑面积32776平方米。</w:t>
      </w:r>
    </w:p>
    <w:p>
      <w:pPr>
        <w:pStyle w:val="10"/>
        <w:numPr>
          <w:ilvl w:val="0"/>
          <w:numId w:val="2"/>
        </w:numPr>
        <w:tabs>
          <w:tab w:val="left" w:pos="993"/>
        </w:tabs>
        <w:spacing w:line="360" w:lineRule="auto"/>
        <w:ind w:left="0" w:firstLine="504" w:firstLineChars="0"/>
        <w:rPr>
          <w:rFonts w:ascii="仿宋" w:hAnsi="仿宋" w:eastAsia="仿宋" w:cs="宋体"/>
          <w:spacing w:val="6"/>
          <w:sz w:val="28"/>
          <w:szCs w:val="28"/>
        </w:rPr>
      </w:pPr>
      <w:r>
        <w:rPr>
          <w:rFonts w:hint="eastAsia" w:ascii="仿宋" w:hAnsi="仿宋" w:eastAsia="仿宋" w:cs="宋体"/>
          <w:spacing w:val="6"/>
          <w:sz w:val="28"/>
          <w:szCs w:val="28"/>
        </w:rPr>
        <w:t>服务范围、标准：</w:t>
      </w:r>
    </w:p>
    <w:p>
      <w:pPr>
        <w:pStyle w:val="10"/>
        <w:tabs>
          <w:tab w:val="left" w:pos="993"/>
        </w:tabs>
        <w:spacing w:line="360" w:lineRule="auto"/>
        <w:ind w:left="504" w:firstLine="0" w:firstLineChars="0"/>
        <w:rPr>
          <w:rFonts w:ascii="仿宋" w:hAnsi="仿宋" w:eastAsia="仿宋" w:cs="宋体"/>
          <w:b/>
          <w:spacing w:val="6"/>
          <w:sz w:val="28"/>
          <w:szCs w:val="28"/>
        </w:rPr>
      </w:pPr>
      <w:r>
        <w:rPr>
          <w:rFonts w:hint="eastAsia" w:ascii="仿宋" w:hAnsi="仿宋" w:eastAsia="仿宋" w:cs="宋体"/>
          <w:b/>
          <w:spacing w:val="6"/>
          <w:sz w:val="28"/>
          <w:szCs w:val="28"/>
        </w:rPr>
        <w:t>服务范围：</w:t>
      </w:r>
    </w:p>
    <w:p>
      <w:pPr>
        <w:pStyle w:val="10"/>
        <w:tabs>
          <w:tab w:val="left" w:pos="993"/>
        </w:tabs>
        <w:spacing w:line="360" w:lineRule="auto"/>
        <w:ind w:firstLine="513" w:firstLineChars="176"/>
        <w:rPr>
          <w:rFonts w:ascii="仿宋" w:hAnsi="仿宋" w:eastAsia="仿宋" w:cs="宋体"/>
          <w:spacing w:val="6"/>
          <w:sz w:val="28"/>
          <w:szCs w:val="28"/>
        </w:rPr>
      </w:pPr>
      <w:r>
        <w:rPr>
          <w:rFonts w:hint="eastAsia" w:ascii="仿宋" w:hAnsi="仿宋" w:eastAsia="仿宋" w:cs="宋体"/>
          <w:spacing w:val="6"/>
          <w:sz w:val="28"/>
          <w:szCs w:val="28"/>
        </w:rPr>
        <w:t>许昌市广电大厦物业管理(含保洁管理，绿化管理，公共秩序维护，设施设备运行、维护、管理，档案管理等)。</w:t>
      </w:r>
    </w:p>
    <w:p>
      <w:pPr>
        <w:pStyle w:val="10"/>
        <w:shd w:val="clear" w:color="auto" w:fill="FFFFFF"/>
        <w:spacing w:line="360" w:lineRule="auto"/>
        <w:ind w:left="420" w:firstLine="141" w:firstLineChars="5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服务标准：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1、基本要求</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1.1员工统一着装，佩戴标志；</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1.2服务热情主动，礼貌，细致；</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1.3职责清晰，制度、作业标准、流程完善；</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2、客户服务管理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2.1在受理客户报修、求助、咨询、投诉时，记录清晰，处理及时，记录表格填写规范、存档完备；</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2.2投诉、报修处理、回访流程完善，并有相关记录，存档完备；</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2.3急修服务15分钟内到场，其他报修按合同或双方约定时间；</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3、档案管理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3.1档案资料管理有专人保管，建立专门的档案管理室；</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3.2档案室管理制度，归档、借阅、销毁等制度完善；</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3.3客户信息、日常服务记录、工程图纸、设施设备安装图纸及使用说明书等重要档案管理达到档案管理的相关要求。</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4、公共秩序管理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4.1门岗、巡逻、消防监控、安防监控、大堂助理（工作日）等公共秩序维护人员24小时值班，各类岗位制度、资料、档案完善，并配合公安机关等做好公共区域的安全防范工作；</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4.2</w:t>
      </w:r>
      <w:r>
        <w:rPr>
          <w:rFonts w:hint="eastAsia" w:ascii="仿宋" w:hAnsi="仿宋" w:eastAsia="仿宋" w:cs="宋体"/>
          <w:sz w:val="28"/>
          <w:szCs w:val="28"/>
        </w:rPr>
        <w:t>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r>
        <w:rPr>
          <w:rFonts w:hint="eastAsia" w:ascii="仿宋" w:hAnsi="仿宋" w:eastAsia="仿宋"/>
          <w:sz w:val="28"/>
          <w:szCs w:val="28"/>
        </w:rPr>
        <w:t>；</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4.3建立、健全安全事故、突发事件的防范应急预案，并定期组织演练。</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4.4消防设施每天巡查、定期进行消防训练、演练，应急预案齐全。</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4.5机动车停放规范、有序，指挥得当，无交通堵塞。</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4.6非机动车停放规范、有序，无倾倒、堵塞现象。</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5、环境卫生</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.1 </w:t>
      </w:r>
      <w:r>
        <w:rPr>
          <w:rFonts w:hint="eastAsia" w:ascii="仿宋" w:hAnsi="仿宋" w:eastAsia="仿宋"/>
          <w:sz w:val="28"/>
          <w:szCs w:val="28"/>
        </w:rPr>
        <w:t>大厅</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t>保持地面无脚印、无污渍、无烟蒂、无痰迹、无垃圾</w:t>
      </w:r>
      <w:r>
        <w:rPr>
          <w:rFonts w:hint="eastAsia" w:ascii="仿宋" w:hAnsi="仿宋" w:eastAsia="仿宋"/>
          <w:sz w:val="28"/>
          <w:szCs w:val="28"/>
        </w:rPr>
        <w:t>，每日尘推2次，楼梯、扶手每日擦试1次，大厅玻璃每周擦洗1次</w:t>
      </w:r>
      <w:r>
        <w:rPr>
          <w:rFonts w:ascii="仿宋" w:hAnsi="仿宋" w:eastAsia="仿宋"/>
          <w:sz w:val="28"/>
          <w:szCs w:val="28"/>
        </w:rPr>
        <w:t>。</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.1.2 大厅内的其它部位，如柱面、墙面、台面、沙发、公告栏等，整洁、无灰尘。</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.1.3 玻璃大门无手印</w:t>
      </w:r>
      <w:r>
        <w:rPr>
          <w:rFonts w:hint="eastAsia" w:ascii="仿宋" w:hAnsi="仿宋" w:eastAsia="仿宋"/>
          <w:sz w:val="28"/>
          <w:szCs w:val="28"/>
        </w:rPr>
        <w:t>、</w:t>
      </w:r>
      <w:r>
        <w:rPr>
          <w:rFonts w:ascii="仿宋" w:hAnsi="仿宋" w:eastAsia="仿宋"/>
          <w:sz w:val="28"/>
          <w:szCs w:val="28"/>
        </w:rPr>
        <w:t>灰尘，保持干净、光亮。</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.1.4 </w:t>
      </w:r>
      <w:r>
        <w:rPr>
          <w:rFonts w:hint="eastAsia" w:ascii="仿宋" w:hAnsi="仿宋" w:eastAsia="仿宋"/>
          <w:sz w:val="28"/>
          <w:szCs w:val="28"/>
        </w:rPr>
        <w:t>果皮箱</w:t>
      </w:r>
      <w:r>
        <w:rPr>
          <w:rFonts w:ascii="仿宋" w:hAnsi="仿宋" w:eastAsia="仿宋"/>
          <w:sz w:val="28"/>
          <w:szCs w:val="28"/>
        </w:rPr>
        <w:t>，保持光亮，无灰</w:t>
      </w:r>
      <w:r>
        <w:rPr>
          <w:rFonts w:hint="eastAsia" w:ascii="仿宋" w:hAnsi="仿宋" w:eastAsia="仿宋"/>
          <w:sz w:val="28"/>
          <w:szCs w:val="28"/>
        </w:rPr>
        <w:t>尘</w:t>
      </w:r>
      <w:r>
        <w:rPr>
          <w:rFonts w:ascii="仿宋" w:hAnsi="仿宋" w:eastAsia="仿宋"/>
          <w:sz w:val="28"/>
          <w:szCs w:val="28"/>
        </w:rPr>
        <w:t>、痰迹。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.2公共区域</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.2.1 </w:t>
      </w:r>
      <w:r>
        <w:rPr>
          <w:rFonts w:hint="eastAsia" w:ascii="仿宋" w:hAnsi="仿宋" w:eastAsia="仿宋"/>
          <w:sz w:val="28"/>
          <w:szCs w:val="28"/>
        </w:rPr>
        <w:t>每天清扫二次，</w:t>
      </w:r>
      <w:r>
        <w:rPr>
          <w:rFonts w:ascii="仿宋" w:hAnsi="仿宋" w:eastAsia="仿宋"/>
          <w:sz w:val="28"/>
          <w:szCs w:val="28"/>
        </w:rPr>
        <w:t>地面保持清洁、光亮、无污迹、无水迹、无脚印。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.2.2 走道四角及踢脚板保持干净，无垃圾。</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 xml:space="preserve"> 垃圾桶按指定位置摆放，四周无散积垃圾，无异味。</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t xml:space="preserve"> 墙面及走道设施、门框、通风口，保持干净，无积灰。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 xml:space="preserve"> 安全扶梯台阶保持清洁，无污物、垃圾；扶</w:t>
      </w:r>
      <w:r>
        <w:rPr>
          <w:rFonts w:hint="eastAsia" w:ascii="仿宋" w:hAnsi="仿宋" w:eastAsia="仿宋"/>
          <w:sz w:val="28"/>
          <w:szCs w:val="28"/>
        </w:rPr>
        <w:t>手</w:t>
      </w:r>
      <w:r>
        <w:rPr>
          <w:rFonts w:ascii="仿宋" w:hAnsi="仿宋" w:eastAsia="仿宋"/>
          <w:sz w:val="28"/>
          <w:szCs w:val="28"/>
        </w:rPr>
        <w:t>保持光亮，无灰尘。</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t xml:space="preserve"> 保持电梯门光洁、明亮，轿厢及四壁地面干净、整洁。</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t xml:space="preserve"> 室外场地的</w:t>
      </w:r>
      <w:r>
        <w:rPr>
          <w:rFonts w:hint="eastAsia" w:ascii="仿宋" w:hAnsi="仿宋" w:eastAsia="仿宋"/>
          <w:sz w:val="28"/>
          <w:szCs w:val="28"/>
        </w:rPr>
        <w:t>台阶及</w:t>
      </w:r>
      <w:r>
        <w:rPr>
          <w:rFonts w:ascii="仿宋" w:hAnsi="仿宋" w:eastAsia="仿宋"/>
          <w:sz w:val="28"/>
          <w:szCs w:val="28"/>
        </w:rPr>
        <w:t>地面，做到无垃圾、无灰尘、无烟蒂、无纸屑。</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8垃圾每天清运1次。</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.3卫生间</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.3.1 镜面光亮无灰尘，化妆台台面无水迹、无洗手液滴（或肥皂液滴）</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.3.2 门及护板表面无尘、无划痕、无污迹。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.3.3 不锈钢光亮见本色。</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.3.4 纸盒、便池要不间断清洁，保持无灰尘，无水迹。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.3.5 坐厕要通畅，不得有异物，不得有便渍、水锈和异味。</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.3.6 小便池内无尿碱、烟头、痰迹等异物，及时更换</w:t>
      </w:r>
      <w:r>
        <w:rPr>
          <w:rFonts w:hint="eastAsia" w:ascii="仿宋" w:hAnsi="仿宋" w:eastAsia="仿宋"/>
          <w:sz w:val="28"/>
          <w:szCs w:val="28"/>
        </w:rPr>
        <w:t>樟脑</w:t>
      </w:r>
      <w:r>
        <w:rPr>
          <w:rFonts w:ascii="仿宋" w:hAnsi="仿宋" w:eastAsia="仿宋"/>
          <w:sz w:val="28"/>
          <w:szCs w:val="28"/>
        </w:rPr>
        <w:t>球。</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.3.7 地面保持干燥、无水迹。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.3.8 门转轴和门通风孔无积灰。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.3.9 纸篓内污物不超过2/3。</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.3.10 水龙头光亮见本色，无水迹、水印。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.3.11 提供使用的物品摆放整齐，清洁工具隐形存放。</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.3.12 </w:t>
      </w:r>
      <w:r>
        <w:rPr>
          <w:rFonts w:hint="eastAsia" w:ascii="仿宋" w:hAnsi="仿宋" w:eastAsia="仿宋"/>
          <w:sz w:val="28"/>
          <w:szCs w:val="28"/>
        </w:rPr>
        <w:t>建立</w:t>
      </w:r>
      <w:r>
        <w:rPr>
          <w:rFonts w:ascii="仿宋" w:hAnsi="仿宋" w:eastAsia="仿宋"/>
          <w:sz w:val="28"/>
          <w:szCs w:val="28"/>
        </w:rPr>
        <w:t>夏季</w:t>
      </w:r>
      <w:r>
        <w:rPr>
          <w:rFonts w:hint="eastAsia" w:ascii="仿宋" w:hAnsi="仿宋" w:eastAsia="仿宋"/>
          <w:sz w:val="28"/>
          <w:szCs w:val="28"/>
        </w:rPr>
        <w:t>消杀制度</w:t>
      </w:r>
      <w:r>
        <w:rPr>
          <w:rFonts w:ascii="仿宋" w:hAnsi="仿宋" w:eastAsia="仿宋"/>
          <w:sz w:val="28"/>
          <w:szCs w:val="28"/>
        </w:rPr>
        <w:t>，洗手间区域</w:t>
      </w:r>
      <w:r>
        <w:rPr>
          <w:rFonts w:hint="eastAsia" w:ascii="仿宋" w:hAnsi="仿宋" w:eastAsia="仿宋"/>
          <w:sz w:val="28"/>
          <w:szCs w:val="28"/>
        </w:rPr>
        <w:t>不得有</w:t>
      </w:r>
      <w:r>
        <w:rPr>
          <w:rFonts w:ascii="仿宋" w:hAnsi="仿宋" w:eastAsia="仿宋"/>
          <w:sz w:val="28"/>
          <w:szCs w:val="28"/>
        </w:rPr>
        <w:t>蚊蝇</w:t>
      </w:r>
      <w:r>
        <w:rPr>
          <w:rFonts w:hint="eastAsia" w:ascii="仿宋" w:hAnsi="仿宋" w:eastAsia="仿宋"/>
          <w:sz w:val="28"/>
          <w:szCs w:val="28"/>
        </w:rPr>
        <w:t>存在。</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.4停车区域</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.4.1 保持道路畅通，无堆积垃圾及物品。</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.4.2 保持地面无尘土、无垃圾。</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.5玻璃及不锈钢</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.5.1 玻璃无灰尘、无水迹，保持干净、光亮。</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.5.2 玻璃上的污斑、手印应及时清除，保持清洁。</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.5.3 要防止玻璃因清洁不当而发毛。</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.5.4 爱护清洁工具，注意保养，不得用损坏的工具擦洗玻璃。</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.5.5 不锈钢无灰尘、无水迹、无污迹、无手印。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绿化管理</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 春季要对绿化植物、草坪进行施肥灌溉。</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 春末夏初气温上升及时修剪绿篱、草坪，进行病虫害防治。</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.3 夏秋季气温高雨水量大要及时清理杂草、增加修剪次数。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.4冬季对乔木、灌木进行修剪，消灭越冬的病虫害。</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7、公共设施、设备管理、维护</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7.1建立、健全设施、设备台账；</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7.2建立设施、设备年度维保计划，并按照计划实施；</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7.3设备房管理做到制度齐全，标识齐全，24小时值班；</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7.4电梯、用电、消防等设备应急预案齐全，每年定期进行演练。</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7.5电梯、消防等专业维保按照国家规定由专业维保公司承担，专业维保费用由招标方承担。</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8、人员最低配置要求：经理1人，主管1人，前台接待员1人，工程人员7人，公共秩序维护员20人，保洁员11人，绿化工1人。</w:t>
      </w:r>
    </w:p>
    <w:p>
      <w:pPr>
        <w:autoSpaceDE w:val="0"/>
        <w:autoSpaceDN w:val="0"/>
        <w:spacing w:after="0" w:line="360" w:lineRule="auto"/>
        <w:ind w:firstLine="548" w:firstLineChars="196"/>
        <w:rPr>
          <w:rFonts w:ascii="仿宋" w:hAnsi="仿宋" w:eastAsia="仿宋"/>
          <w:sz w:val="28"/>
          <w:szCs w:val="28"/>
        </w:rPr>
      </w:pPr>
      <w:r>
        <w:rPr>
          <w:rFonts w:hint="eastAsia" w:ascii="仿宋" w:hAnsi="仿宋" w:eastAsia="仿宋"/>
          <w:sz w:val="28"/>
          <w:szCs w:val="28"/>
        </w:rPr>
        <w:t>（二）其它要求</w:t>
      </w:r>
    </w:p>
    <w:p>
      <w:pPr>
        <w:autoSpaceDE w:val="0"/>
        <w:autoSpaceDN w:val="0"/>
        <w:spacing w:after="0" w:line="360" w:lineRule="auto"/>
        <w:ind w:firstLine="560" w:firstLineChars="200"/>
        <w:rPr>
          <w:rFonts w:ascii="仿宋" w:hAnsi="仿宋" w:eastAsia="仿宋" w:cs="宋体"/>
          <w:sz w:val="28"/>
          <w:szCs w:val="28"/>
          <w:lang w:val="zh-CN"/>
        </w:rPr>
      </w:pPr>
      <w:r>
        <w:rPr>
          <w:rFonts w:hint="eastAsia" w:ascii="仿宋" w:hAnsi="仿宋" w:eastAsia="仿宋"/>
          <w:sz w:val="28"/>
          <w:szCs w:val="28"/>
        </w:rPr>
        <w:t>1、</w:t>
      </w:r>
      <w:r>
        <w:rPr>
          <w:rFonts w:hint="eastAsia" w:ascii="仿宋" w:hAnsi="仿宋" w:eastAsia="仿宋" w:cs="宋体"/>
          <w:sz w:val="28"/>
          <w:szCs w:val="28"/>
          <w:lang w:val="zh-CN"/>
        </w:rPr>
        <w:t>投标人投标文件中须有详细的实施方案，</w:t>
      </w:r>
      <w:r>
        <w:rPr>
          <w:rFonts w:hint="eastAsia" w:ascii="仿宋" w:hAnsi="仿宋" w:eastAsia="仿宋"/>
          <w:sz w:val="28"/>
          <w:szCs w:val="28"/>
        </w:rPr>
        <w:t>否则为无效投标。</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2、所派管理服务人员必须恪守职责，遵守采购单位的各项规章制度，服从采购单位的管理。采购单位有权对管理服务人员进行具体的工作安排，并对工作进行监督检查，对不称职的管理服务人员采购单位有权要求调换。</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3、投标人须定期对管理服务人员进行岗位再培训。</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4、工作期间管理服务人员对于突发事件必须能够在第一时间进行现场处置。</w:t>
      </w:r>
    </w:p>
    <w:p>
      <w:pPr>
        <w:pStyle w:val="10"/>
        <w:shd w:val="clear" w:color="auto" w:fill="FFFFFF"/>
        <w:spacing w:line="360" w:lineRule="auto"/>
        <w:ind w:left="420" w:firstLine="0" w:firstLineChars="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（三）验收标准</w:t>
      </w:r>
    </w:p>
    <w:p>
      <w:pPr>
        <w:shd w:val="clear" w:color="auto" w:fill="FFFFFF"/>
        <w:spacing w:after="0" w:line="360" w:lineRule="auto"/>
        <w:ind w:firstLine="560" w:firstLineChars="2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after="0" w:line="360" w:lineRule="auto"/>
        <w:ind w:firstLine="560" w:firstLineChars="2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按照招标文件要求、投标文件响应和承诺验收；</w:t>
      </w:r>
    </w:p>
    <w:p>
      <w:pPr>
        <w:pStyle w:val="10"/>
        <w:shd w:val="clear" w:color="auto" w:fill="FFFFFF"/>
        <w:spacing w:line="360" w:lineRule="auto"/>
        <w:ind w:left="420" w:firstLine="0" w:firstLineChars="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四、评标方法和评标标准</w:t>
      </w:r>
    </w:p>
    <w:p>
      <w:pPr>
        <w:shd w:val="clear" w:color="auto" w:fill="FFFFFF"/>
        <w:adjustRightInd/>
        <w:snapToGrid/>
        <w:spacing w:after="0" w:line="360" w:lineRule="auto"/>
        <w:ind w:firstLine="600"/>
        <w:rPr>
          <w:rFonts w:ascii="仿宋" w:hAnsi="仿宋" w:eastAsia="仿宋" w:cs="宋体"/>
          <w:color w:val="000000"/>
          <w:sz w:val="28"/>
          <w:szCs w:val="28"/>
          <w:lang w:val="zh-CN"/>
        </w:rPr>
      </w:pPr>
      <w:r>
        <w:rPr>
          <w:rFonts w:hint="eastAsia" w:ascii="仿宋" w:hAnsi="仿宋" w:eastAsia="仿宋" w:cs="仿宋"/>
          <w:color w:val="000000"/>
          <w:sz w:val="28"/>
          <w:szCs w:val="28"/>
          <w:shd w:val="clear" w:color="auto" w:fill="FFFFFF"/>
        </w:rPr>
        <w:t>（一）评标方法：综合评分法</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（二）综合评分法评标标准：</w:t>
      </w:r>
    </w:p>
    <w:tbl>
      <w:tblPr>
        <w:tblStyle w:val="7"/>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6037"/>
        <w:gridCol w:w="12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分值构成</w:t>
            </w:r>
          </w:p>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(总分100分)</w:t>
            </w:r>
          </w:p>
        </w:tc>
        <w:tc>
          <w:tcPr>
            <w:tcW w:w="729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ind w:firstLine="480"/>
              <w:jc w:val="center"/>
              <w:rPr>
                <w:rFonts w:ascii="仿宋" w:hAnsi="仿宋" w:eastAsia="仿宋" w:cs="宋体"/>
                <w:color w:val="000000"/>
                <w:sz w:val="28"/>
                <w:szCs w:val="28"/>
              </w:rPr>
            </w:pPr>
            <w:r>
              <w:rPr>
                <w:rFonts w:hint="eastAsia" w:ascii="仿宋" w:hAnsi="仿宋" w:eastAsia="仿宋" w:cs="仿宋"/>
                <w:color w:val="000000"/>
                <w:sz w:val="28"/>
                <w:szCs w:val="28"/>
              </w:rPr>
              <w:t>价格分值：</w:t>
            </w: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p>
            <w:pPr>
              <w:adjustRightInd/>
              <w:snapToGrid/>
              <w:spacing w:after="0" w:line="360" w:lineRule="auto"/>
              <w:ind w:firstLine="480"/>
              <w:jc w:val="center"/>
              <w:rPr>
                <w:rFonts w:ascii="仿宋" w:hAnsi="仿宋" w:eastAsia="仿宋" w:cs="宋体"/>
                <w:color w:val="000000"/>
                <w:sz w:val="28"/>
                <w:szCs w:val="28"/>
              </w:rPr>
            </w:pPr>
            <w:r>
              <w:rPr>
                <w:rFonts w:hint="eastAsia" w:ascii="仿宋" w:hAnsi="仿宋" w:eastAsia="仿宋" w:cs="仿宋"/>
                <w:color w:val="000000"/>
                <w:sz w:val="28"/>
                <w:szCs w:val="28"/>
              </w:rPr>
              <w:t>商务部分：</w:t>
            </w:r>
            <w:r>
              <w:rPr>
                <w:rFonts w:hint="eastAsia" w:ascii="仿宋" w:hAnsi="仿宋" w:eastAsia="仿宋" w:cs="宋体"/>
                <w:color w:val="000000"/>
                <w:sz w:val="28"/>
                <w:szCs w:val="28"/>
              </w:rPr>
              <w:t>58</w:t>
            </w:r>
            <w:r>
              <w:rPr>
                <w:rFonts w:hint="eastAsia" w:ascii="仿宋" w:hAnsi="仿宋" w:eastAsia="仿宋" w:cs="仿宋"/>
                <w:color w:val="000000"/>
                <w:sz w:val="28"/>
                <w:szCs w:val="28"/>
              </w:rPr>
              <w:t>分</w:t>
            </w:r>
          </w:p>
          <w:p>
            <w:pPr>
              <w:adjustRightInd/>
              <w:snapToGrid/>
              <w:spacing w:after="0" w:line="360" w:lineRule="auto"/>
              <w:ind w:firstLine="480"/>
              <w:jc w:val="center"/>
              <w:rPr>
                <w:rFonts w:ascii="仿宋" w:hAnsi="仿宋" w:eastAsia="仿宋" w:cs="宋体"/>
                <w:color w:val="000000"/>
                <w:sz w:val="28"/>
                <w:szCs w:val="28"/>
              </w:rPr>
            </w:pPr>
            <w:r>
              <w:rPr>
                <w:rFonts w:hint="eastAsia" w:ascii="仿宋" w:hAnsi="仿宋" w:eastAsia="仿宋" w:cs="仿宋"/>
                <w:color w:val="000000"/>
                <w:sz w:val="28"/>
                <w:szCs w:val="28"/>
              </w:rPr>
              <w:t>技术部分：</w:t>
            </w:r>
            <w:r>
              <w:rPr>
                <w:rFonts w:hint="eastAsia" w:ascii="仿宋" w:hAnsi="仿宋" w:eastAsia="仿宋" w:cs="宋体"/>
                <w:color w:val="000000"/>
                <w:sz w:val="28"/>
                <w:szCs w:val="28"/>
              </w:rPr>
              <w:t>12</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一、价格部分（满分</w:t>
            </w: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评分因素</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投标报价</w:t>
            </w:r>
          </w:p>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cs="宋体"/>
                <w:color w:val="000000"/>
                <w:sz w:val="28"/>
                <w:szCs w:val="28"/>
              </w:rPr>
            </w:pPr>
            <w:r>
              <w:rPr>
                <w:rFonts w:hint="eastAsia" w:ascii="仿宋" w:hAnsi="仿宋" w:eastAsia="仿宋" w:cs="仿宋"/>
                <w:color w:val="000000"/>
                <w:sz w:val="28"/>
                <w:szCs w:val="28"/>
              </w:rPr>
              <w:t>评标基准价：满足招标文件要求的有效投标报价中，最低的投标报价为评标基准价。</w:t>
            </w:r>
          </w:p>
          <w:p>
            <w:pPr>
              <w:adjustRightInd/>
              <w:snapToGrid/>
              <w:spacing w:after="0" w:line="360" w:lineRule="auto"/>
              <w:rPr>
                <w:rFonts w:ascii="仿宋" w:hAnsi="仿宋" w:eastAsia="仿宋" w:cs="宋体"/>
                <w:color w:val="000000"/>
                <w:sz w:val="28"/>
                <w:szCs w:val="28"/>
              </w:rPr>
            </w:pPr>
            <w:r>
              <w:rPr>
                <w:rFonts w:hint="eastAsia" w:ascii="仿宋" w:hAnsi="仿宋" w:eastAsia="仿宋" w:cs="仿宋"/>
                <w:color w:val="000000"/>
                <w:sz w:val="28"/>
                <w:szCs w:val="28"/>
              </w:rPr>
              <w:t>投标报价得分=</w:t>
            </w:r>
            <w:r>
              <w:rPr>
                <w:rFonts w:hint="eastAsia" w:ascii="仿宋" w:hAnsi="仿宋" w:eastAsia="仿宋" w:cs="仿宋"/>
                <w:sz w:val="28"/>
                <w:szCs w:val="28"/>
              </w:rPr>
              <w:t>（评标基准价/投标报价）</w:t>
            </w:r>
            <w:r>
              <w:rPr>
                <w:rFonts w:hint="eastAsia" w:ascii="仿宋" w:hAnsi="仿宋" w:eastAsia="仿宋" w:cs="仿宋"/>
                <w:color w:val="000000"/>
                <w:sz w:val="28"/>
                <w:szCs w:val="28"/>
              </w:rPr>
              <w:t>×</w:t>
            </w:r>
            <w:r>
              <w:rPr>
                <w:rFonts w:hint="eastAsia" w:ascii="仿宋" w:hAnsi="仿宋" w:eastAsia="仿宋" w:cs="宋体"/>
                <w:color w:val="000000"/>
                <w:sz w:val="28"/>
                <w:szCs w:val="28"/>
              </w:rPr>
              <w:t>30</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二、商务部分（满分</w:t>
            </w:r>
            <w:r>
              <w:rPr>
                <w:rFonts w:hint="eastAsia" w:ascii="仿宋" w:hAnsi="仿宋" w:eastAsia="仿宋" w:cs="宋体"/>
                <w:color w:val="000000"/>
                <w:sz w:val="28"/>
                <w:szCs w:val="28"/>
              </w:rPr>
              <w:t>58</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评分因素</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6" w:hRule="atLeast"/>
        </w:trPr>
        <w:tc>
          <w:tcPr>
            <w:tcW w:w="1430"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信誉</w:t>
            </w:r>
          </w:p>
        </w:tc>
        <w:tc>
          <w:tcPr>
            <w:tcW w:w="6049" w:type="dxa"/>
            <w:gridSpan w:val="2"/>
            <w:tcBorders>
              <w:top w:val="nil"/>
              <w:left w:val="nil"/>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投标人2014年以来，管理的项目获得过市级及以上</w:t>
            </w:r>
            <w:r>
              <w:rPr>
                <w:rFonts w:hint="eastAsia" w:ascii="仿宋" w:hAnsi="仿宋" w:eastAsia="仿宋"/>
                <w:sz w:val="28"/>
                <w:szCs w:val="28"/>
                <w:lang w:eastAsia="zh-CN"/>
              </w:rPr>
              <w:t>住建部门</w:t>
            </w:r>
            <w:r>
              <w:rPr>
                <w:rFonts w:hint="eastAsia" w:ascii="仿宋" w:hAnsi="仿宋" w:eastAsia="仿宋"/>
                <w:sz w:val="28"/>
                <w:szCs w:val="28"/>
              </w:rPr>
              <w:t>授予的优秀（示范）物业服务大厦或者物业服务公共物业优秀（示范）项目荣誉的，市级荣誉每个2分，省级以上荣誉每个4分。满分6分（以</w:t>
            </w:r>
            <w:r>
              <w:rPr>
                <w:rFonts w:hint="eastAsia" w:ascii="仿宋" w:hAnsi="仿宋" w:eastAsia="仿宋"/>
                <w:sz w:val="28"/>
                <w:szCs w:val="28"/>
                <w:lang w:eastAsia="zh-CN"/>
              </w:rPr>
              <w:t>住建部门</w:t>
            </w:r>
            <w:r>
              <w:rPr>
                <w:rFonts w:hint="eastAsia" w:ascii="仿宋" w:hAnsi="仿宋" w:eastAsia="仿宋"/>
                <w:sz w:val="28"/>
                <w:szCs w:val="28"/>
              </w:rPr>
              <w:t>的红头文件或颁发的证书为准，同一项目获得多个荣誉的按最高荣誉计分）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被市级及以上工商行政管理机关授予为“守合同重信用企业”称号的，得6分（以工商行政管理机关的红头文件为准）。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投标人通过ISO9001质量管理体系认证、OHSAS18001职业健康安全管理体系认证、ISO14001环境管理体系认证的，每通过一项体系认证得4分。满分12分（以相应的认证证书为准）。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投标人取得第三方认证机构AAA级企业信用等级认证，且在有效期内的得4分（以认证机构颁发的企业信用等级证书为准）。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业绩</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cs="宋体"/>
                <w:color w:val="000000"/>
                <w:sz w:val="28"/>
                <w:szCs w:val="28"/>
              </w:rPr>
            </w:pPr>
            <w:r>
              <w:rPr>
                <w:rFonts w:hint="eastAsia" w:ascii="仿宋" w:hAnsi="仿宋" w:eastAsia="仿宋"/>
                <w:sz w:val="28"/>
                <w:szCs w:val="28"/>
              </w:rPr>
              <w:t>2014年以来，有类似物业管理业绩项目且建筑面积在2万（不含）平方米以上的，每个项目得5分。满分30分（以合同为准）。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eastAsia="仿宋" w:cs="宋体" w:asciiTheme="minorEastAsia" w:hAnsiTheme="minorEastAsia"/>
                <w:color w:val="000000"/>
                <w:sz w:val="28"/>
                <w:szCs w:val="28"/>
              </w:rPr>
              <w:t> </w:t>
            </w: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三、技术部分（满分</w:t>
            </w:r>
            <w:r>
              <w:rPr>
                <w:rFonts w:hint="eastAsia" w:ascii="仿宋" w:hAnsi="仿宋" w:eastAsia="仿宋" w:cs="宋体"/>
                <w:color w:val="000000"/>
                <w:sz w:val="28"/>
                <w:szCs w:val="28"/>
              </w:rPr>
              <w:t>12</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评分因素</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投标文件规范程度</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ascii="仿宋" w:hAnsi="仿宋" w:eastAsia="仿宋"/>
                <w:sz w:val="28"/>
                <w:szCs w:val="28"/>
              </w:rPr>
            </w:pPr>
            <w:r>
              <w:rPr>
                <w:rFonts w:hint="eastAsia" w:ascii="仿宋" w:hAnsi="仿宋" w:eastAsia="仿宋"/>
                <w:sz w:val="28"/>
                <w:szCs w:val="28"/>
              </w:rPr>
              <w:t>1、装订规范、文字清晰、无差错得1分。</w:t>
            </w:r>
          </w:p>
          <w:p>
            <w:pPr>
              <w:spacing w:after="0" w:line="360" w:lineRule="auto"/>
              <w:rPr>
                <w:rFonts w:ascii="宋体" w:hAnsi="宋体"/>
                <w:sz w:val="24"/>
              </w:rPr>
            </w:pPr>
            <w:r>
              <w:rPr>
                <w:rFonts w:hint="eastAsia" w:ascii="仿宋" w:hAnsi="仿宋" w:eastAsia="仿宋"/>
                <w:sz w:val="28"/>
                <w:szCs w:val="28"/>
              </w:rPr>
              <w:t>2、所提供资料准确完整，无错字得1分。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物业管理实施方案</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ascii="仿宋" w:hAnsi="仿宋" w:eastAsia="仿宋"/>
                <w:sz w:val="28"/>
                <w:szCs w:val="28"/>
              </w:rPr>
            </w:pPr>
            <w:r>
              <w:rPr>
                <w:rFonts w:hint="eastAsia" w:eastAsia="仿宋" w:cs="宋体" w:asciiTheme="minorEastAsia" w:hAnsiTheme="minorEastAsia"/>
                <w:color w:val="000000"/>
                <w:sz w:val="28"/>
                <w:szCs w:val="28"/>
              </w:rPr>
              <w:t>1、</w:t>
            </w:r>
            <w:r>
              <w:rPr>
                <w:rFonts w:hint="eastAsia" w:ascii="仿宋" w:hAnsi="仿宋" w:eastAsia="仿宋"/>
                <w:sz w:val="28"/>
                <w:szCs w:val="28"/>
              </w:rPr>
              <w:t>对服务项目现状、物业管理特点、运作要求等理解到位、管理思路清晰，方案科学合理的得3分；</w:t>
            </w:r>
            <w:r>
              <w:rPr>
                <w:rFonts w:hint="eastAsia" w:ascii="仿宋" w:hAnsi="仿宋" w:eastAsia="仿宋"/>
                <w:sz w:val="28"/>
                <w:szCs w:val="28"/>
                <w:lang w:eastAsia="zh-CN"/>
              </w:rPr>
              <w:t>仅有简单概括描述</w:t>
            </w:r>
            <w:r>
              <w:rPr>
                <w:rFonts w:hint="eastAsia" w:ascii="仿宋" w:hAnsi="仿宋" w:eastAsia="仿宋"/>
                <w:sz w:val="28"/>
                <w:szCs w:val="28"/>
              </w:rPr>
              <w:t>的得1分；不提供不得分。</w:t>
            </w:r>
          </w:p>
          <w:p>
            <w:pPr>
              <w:spacing w:after="0" w:line="360" w:lineRule="auto"/>
              <w:rPr>
                <w:rFonts w:ascii="仿宋" w:hAnsi="仿宋" w:eastAsia="仿宋"/>
                <w:sz w:val="28"/>
                <w:szCs w:val="28"/>
              </w:rPr>
            </w:pPr>
            <w:r>
              <w:rPr>
                <w:rFonts w:hint="eastAsia" w:ascii="仿宋" w:hAnsi="仿宋" w:eastAsia="仿宋"/>
                <w:sz w:val="28"/>
                <w:szCs w:val="28"/>
              </w:rPr>
              <w:t>2、工作流程、作业程序规范、无漏项的得3分；</w:t>
            </w:r>
            <w:r>
              <w:rPr>
                <w:rFonts w:hint="eastAsia" w:ascii="仿宋" w:hAnsi="仿宋" w:eastAsia="仿宋"/>
                <w:sz w:val="28"/>
                <w:szCs w:val="28"/>
                <w:lang w:eastAsia="zh-CN"/>
              </w:rPr>
              <w:t>仅有简单概括描述</w:t>
            </w:r>
            <w:r>
              <w:rPr>
                <w:rFonts w:hint="eastAsia" w:ascii="仿宋" w:hAnsi="仿宋" w:eastAsia="仿宋"/>
                <w:sz w:val="28"/>
                <w:szCs w:val="28"/>
              </w:rPr>
              <w:t>的得1分；不提供不得分。</w:t>
            </w:r>
          </w:p>
          <w:p>
            <w:pPr>
              <w:spacing w:after="0" w:line="360" w:lineRule="auto"/>
              <w:rPr>
                <w:rFonts w:ascii="仿宋" w:hAnsi="仿宋" w:eastAsia="仿宋"/>
                <w:sz w:val="28"/>
                <w:szCs w:val="28"/>
              </w:rPr>
            </w:pPr>
            <w:r>
              <w:rPr>
                <w:rFonts w:hint="eastAsia" w:ascii="仿宋" w:hAnsi="仿宋" w:eastAsia="仿宋"/>
                <w:sz w:val="28"/>
                <w:szCs w:val="28"/>
              </w:rPr>
              <w:t>3、员工培训计划、绩效管理全面、有效的得2分；</w:t>
            </w:r>
            <w:r>
              <w:rPr>
                <w:rFonts w:hint="eastAsia" w:ascii="仿宋" w:hAnsi="仿宋" w:eastAsia="仿宋"/>
                <w:sz w:val="28"/>
                <w:szCs w:val="28"/>
                <w:lang w:eastAsia="zh-CN"/>
              </w:rPr>
              <w:t>仅有简单概括描述</w:t>
            </w:r>
            <w:r>
              <w:rPr>
                <w:rFonts w:hint="eastAsia" w:ascii="仿宋" w:hAnsi="仿宋" w:eastAsia="仿宋"/>
                <w:sz w:val="28"/>
                <w:szCs w:val="28"/>
              </w:rPr>
              <w:t>的得1分；不提供不得分。</w:t>
            </w:r>
          </w:p>
          <w:p>
            <w:pPr>
              <w:spacing w:after="0" w:line="360" w:lineRule="auto"/>
              <w:rPr>
                <w:rFonts w:ascii="仿宋" w:hAnsi="仿宋" w:eastAsia="仿宋"/>
                <w:sz w:val="28"/>
                <w:szCs w:val="28"/>
              </w:rPr>
            </w:pPr>
            <w:r>
              <w:rPr>
                <w:rFonts w:hint="eastAsia" w:ascii="仿宋" w:hAnsi="仿宋" w:eastAsia="仿宋"/>
                <w:sz w:val="28"/>
                <w:szCs w:val="28"/>
              </w:rPr>
              <w:t>4、应急情况处理方案全面、有效的得2分；</w:t>
            </w:r>
            <w:r>
              <w:rPr>
                <w:rFonts w:hint="eastAsia" w:ascii="仿宋" w:hAnsi="仿宋" w:eastAsia="仿宋"/>
                <w:sz w:val="28"/>
                <w:szCs w:val="28"/>
                <w:lang w:eastAsia="zh-CN"/>
              </w:rPr>
              <w:t>仅有简单概括描述</w:t>
            </w:r>
            <w:r>
              <w:rPr>
                <w:rFonts w:hint="eastAsia" w:ascii="仿宋" w:hAnsi="仿宋" w:eastAsia="仿宋"/>
                <w:sz w:val="28"/>
                <w:szCs w:val="28"/>
              </w:rPr>
              <w:t>的得1分；不提供不得分。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eastAsia="仿宋" w:cs="宋体" w:asciiTheme="minorEastAsia" w:hAnsiTheme="minorEastAsia"/>
                <w:color w:val="000000"/>
                <w:sz w:val="28"/>
                <w:szCs w:val="28"/>
              </w:rPr>
              <w:t> </w:t>
            </w:r>
            <w:r>
              <w:rPr>
                <w:rFonts w:hint="eastAsia" w:ascii="仿宋" w:hAnsi="仿宋" w:eastAsia="仿宋" w:cs="宋体"/>
                <w:color w:val="000000"/>
                <w:sz w:val="28"/>
                <w:szCs w:val="28"/>
              </w:rPr>
              <w:t>10</w:t>
            </w:r>
            <w:r>
              <w:rPr>
                <w:rFonts w:hint="eastAsia" w:ascii="仿宋" w:hAnsi="仿宋" w:eastAsia="仿宋" w:cs="仿宋"/>
                <w:color w:val="000000"/>
                <w:sz w:val="28"/>
                <w:szCs w:val="28"/>
              </w:rPr>
              <w:t>分</w:t>
            </w:r>
          </w:p>
        </w:tc>
      </w:tr>
    </w:tbl>
    <w:p>
      <w:pPr>
        <w:spacing w:after="0" w:line="360" w:lineRule="auto"/>
        <w:rPr>
          <w:rFonts w:ascii="仿宋" w:hAnsi="仿宋" w:eastAsia="仿宋" w:cs="宋体"/>
          <w:sz w:val="28"/>
          <w:szCs w:val="28"/>
          <w:lang w:val="zh-CN"/>
        </w:rPr>
      </w:pPr>
      <w:r>
        <w:rPr>
          <w:rFonts w:hint="eastAsia" w:ascii="仿宋" w:hAnsi="仿宋" w:eastAsia="仿宋" w:cs="宋体"/>
          <w:sz w:val="28"/>
          <w:szCs w:val="28"/>
          <w:lang w:val="zh-CN"/>
        </w:rPr>
        <w:t xml:space="preserve">    </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五、采购资金支付</w:t>
      </w:r>
    </w:p>
    <w:p>
      <w:pPr>
        <w:spacing w:after="0" w:line="360" w:lineRule="auto"/>
        <w:ind w:firstLine="584" w:firstLineChars="200"/>
        <w:rPr>
          <w:rFonts w:ascii="仿宋" w:hAnsi="仿宋" w:eastAsia="仿宋" w:cs="宋体"/>
          <w:spacing w:val="6"/>
          <w:sz w:val="28"/>
          <w:szCs w:val="28"/>
        </w:rPr>
      </w:pPr>
      <w:r>
        <w:rPr>
          <w:rFonts w:hint="eastAsia" w:ascii="仿宋" w:hAnsi="仿宋" w:eastAsia="仿宋" w:cs="宋体"/>
          <w:spacing w:val="6"/>
          <w:sz w:val="28"/>
          <w:szCs w:val="28"/>
        </w:rPr>
        <w:t>（一）支付方式：银行转账</w:t>
      </w:r>
    </w:p>
    <w:p>
      <w:pPr>
        <w:spacing w:after="0" w:line="360" w:lineRule="auto"/>
        <w:ind w:firstLine="584" w:firstLineChars="200"/>
        <w:rPr>
          <w:rFonts w:ascii="仿宋" w:hAnsi="仿宋" w:eastAsia="仿宋" w:cs="宋体"/>
          <w:spacing w:val="6"/>
          <w:sz w:val="28"/>
          <w:szCs w:val="28"/>
        </w:rPr>
      </w:pPr>
      <w:r>
        <w:rPr>
          <w:rFonts w:hint="eastAsia" w:ascii="仿宋" w:hAnsi="仿宋" w:eastAsia="仿宋" w:cs="宋体"/>
          <w:spacing w:val="6"/>
          <w:sz w:val="28"/>
          <w:szCs w:val="28"/>
        </w:rPr>
        <w:t>（二）支付时间及条件：采购单位按照中标价每月平均支付物业服务费用。</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六、联系方式</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联系人姓名：吕涛    联系电话：0374-2962078  13837446606</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单位地址：</w:t>
      </w:r>
      <w:r>
        <w:rPr>
          <w:rFonts w:hint="eastAsia" w:ascii="仿宋" w:hAnsi="仿宋" w:eastAsia="仿宋" w:cs="宋体"/>
          <w:sz w:val="28"/>
          <w:szCs w:val="28"/>
        </w:rPr>
        <w:t>魏武大道与八一路交汇处东南角</w:t>
      </w:r>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2021"/>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025"/>
    <w:multiLevelType w:val="multilevel"/>
    <w:tmpl w:val="02BF0025"/>
    <w:lvl w:ilvl="0" w:tentative="0">
      <w:start w:val="1"/>
      <w:numFmt w:val="japaneseCounting"/>
      <w:lvlText w:val="（%1）"/>
      <w:lvlJc w:val="left"/>
      <w:pPr>
        <w:ind w:left="1296" w:hanging="792"/>
      </w:pPr>
      <w:rPr>
        <w:rFonts w:hint="default" w:cs="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1">
    <w:nsid w:val="62327217"/>
    <w:multiLevelType w:val="multilevel"/>
    <w:tmpl w:val="62327217"/>
    <w:lvl w:ilvl="0" w:tentative="0">
      <w:start w:val="1"/>
      <w:numFmt w:val="decimal"/>
      <w:lvlText w:val="%1、"/>
      <w:lvlJc w:val="left"/>
      <w:pPr>
        <w:ind w:left="1224" w:hanging="720"/>
      </w:pPr>
      <w:rPr>
        <w:rFonts w:hint="default"/>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26C7"/>
    <w:rsid w:val="00033103"/>
    <w:rsid w:val="000679AF"/>
    <w:rsid w:val="000708B6"/>
    <w:rsid w:val="00080EDA"/>
    <w:rsid w:val="0009585D"/>
    <w:rsid w:val="000A3A53"/>
    <w:rsid w:val="000D3C04"/>
    <w:rsid w:val="000E5A98"/>
    <w:rsid w:val="000E6A6F"/>
    <w:rsid w:val="0010761D"/>
    <w:rsid w:val="001308BE"/>
    <w:rsid w:val="00131E0F"/>
    <w:rsid w:val="0013407F"/>
    <w:rsid w:val="0013721C"/>
    <w:rsid w:val="00151F13"/>
    <w:rsid w:val="001528C7"/>
    <w:rsid w:val="0016571C"/>
    <w:rsid w:val="00193069"/>
    <w:rsid w:val="001B6E4F"/>
    <w:rsid w:val="001D4B0A"/>
    <w:rsid w:val="001E7E4E"/>
    <w:rsid w:val="00201A6D"/>
    <w:rsid w:val="002059C8"/>
    <w:rsid w:val="00217C6E"/>
    <w:rsid w:val="0022707C"/>
    <w:rsid w:val="00256E30"/>
    <w:rsid w:val="00290345"/>
    <w:rsid w:val="0029312B"/>
    <w:rsid w:val="002A3FDB"/>
    <w:rsid w:val="002B6DD1"/>
    <w:rsid w:val="002D4801"/>
    <w:rsid w:val="002F1318"/>
    <w:rsid w:val="002F1658"/>
    <w:rsid w:val="002F430A"/>
    <w:rsid w:val="00323B43"/>
    <w:rsid w:val="00337F1E"/>
    <w:rsid w:val="00363CD8"/>
    <w:rsid w:val="003932D7"/>
    <w:rsid w:val="003A2FB4"/>
    <w:rsid w:val="003D117D"/>
    <w:rsid w:val="003D37D8"/>
    <w:rsid w:val="003E6FC8"/>
    <w:rsid w:val="00426133"/>
    <w:rsid w:val="00427C45"/>
    <w:rsid w:val="004355DB"/>
    <w:rsid w:val="004358AB"/>
    <w:rsid w:val="004437CC"/>
    <w:rsid w:val="004A2514"/>
    <w:rsid w:val="004A7368"/>
    <w:rsid w:val="004D1A05"/>
    <w:rsid w:val="004D3E00"/>
    <w:rsid w:val="00534DC9"/>
    <w:rsid w:val="00535C56"/>
    <w:rsid w:val="00543A6D"/>
    <w:rsid w:val="0055163A"/>
    <w:rsid w:val="005608F0"/>
    <w:rsid w:val="00570072"/>
    <w:rsid w:val="005840AA"/>
    <w:rsid w:val="00592D77"/>
    <w:rsid w:val="005B4771"/>
    <w:rsid w:val="005D0AC2"/>
    <w:rsid w:val="005D1D5D"/>
    <w:rsid w:val="005D267B"/>
    <w:rsid w:val="005D645A"/>
    <w:rsid w:val="005F210C"/>
    <w:rsid w:val="005F2435"/>
    <w:rsid w:val="00611E54"/>
    <w:rsid w:val="00622966"/>
    <w:rsid w:val="006345D7"/>
    <w:rsid w:val="006567B8"/>
    <w:rsid w:val="006646E1"/>
    <w:rsid w:val="00685038"/>
    <w:rsid w:val="006B4BAC"/>
    <w:rsid w:val="006C4998"/>
    <w:rsid w:val="006D7C68"/>
    <w:rsid w:val="006F3E30"/>
    <w:rsid w:val="0077514D"/>
    <w:rsid w:val="007A531D"/>
    <w:rsid w:val="007B7C0F"/>
    <w:rsid w:val="008047F5"/>
    <w:rsid w:val="008139B6"/>
    <w:rsid w:val="00831F11"/>
    <w:rsid w:val="008360B0"/>
    <w:rsid w:val="0089080E"/>
    <w:rsid w:val="008A527A"/>
    <w:rsid w:val="008B7726"/>
    <w:rsid w:val="008C1E31"/>
    <w:rsid w:val="00900EA1"/>
    <w:rsid w:val="00901217"/>
    <w:rsid w:val="00904A4C"/>
    <w:rsid w:val="00912A37"/>
    <w:rsid w:val="009150E7"/>
    <w:rsid w:val="00942DBD"/>
    <w:rsid w:val="009761AF"/>
    <w:rsid w:val="009850F1"/>
    <w:rsid w:val="009944EC"/>
    <w:rsid w:val="009A615C"/>
    <w:rsid w:val="009B522C"/>
    <w:rsid w:val="009D693B"/>
    <w:rsid w:val="009E2EDF"/>
    <w:rsid w:val="009F7E2B"/>
    <w:rsid w:val="00A03169"/>
    <w:rsid w:val="00A10FBE"/>
    <w:rsid w:val="00A14DA1"/>
    <w:rsid w:val="00A1687A"/>
    <w:rsid w:val="00A35EC8"/>
    <w:rsid w:val="00A4458D"/>
    <w:rsid w:val="00A66EAE"/>
    <w:rsid w:val="00A83709"/>
    <w:rsid w:val="00A95CD0"/>
    <w:rsid w:val="00B004B7"/>
    <w:rsid w:val="00B110B5"/>
    <w:rsid w:val="00B22AA7"/>
    <w:rsid w:val="00B645B2"/>
    <w:rsid w:val="00B76B63"/>
    <w:rsid w:val="00BA2374"/>
    <w:rsid w:val="00BA77D5"/>
    <w:rsid w:val="00BB0427"/>
    <w:rsid w:val="00BD3EC2"/>
    <w:rsid w:val="00C07C58"/>
    <w:rsid w:val="00C35A9F"/>
    <w:rsid w:val="00C55F08"/>
    <w:rsid w:val="00C60A26"/>
    <w:rsid w:val="00C7026D"/>
    <w:rsid w:val="00C74AB5"/>
    <w:rsid w:val="00CB6BA2"/>
    <w:rsid w:val="00CC0D40"/>
    <w:rsid w:val="00CE1A22"/>
    <w:rsid w:val="00CF13B2"/>
    <w:rsid w:val="00D00D36"/>
    <w:rsid w:val="00D178B6"/>
    <w:rsid w:val="00D20F20"/>
    <w:rsid w:val="00D21362"/>
    <w:rsid w:val="00D31D50"/>
    <w:rsid w:val="00D335F0"/>
    <w:rsid w:val="00D65604"/>
    <w:rsid w:val="00D77FC7"/>
    <w:rsid w:val="00D90191"/>
    <w:rsid w:val="00DA280D"/>
    <w:rsid w:val="00DB0ACB"/>
    <w:rsid w:val="00DC1C42"/>
    <w:rsid w:val="00E04020"/>
    <w:rsid w:val="00E20EBF"/>
    <w:rsid w:val="00E3600F"/>
    <w:rsid w:val="00E40A72"/>
    <w:rsid w:val="00E4425C"/>
    <w:rsid w:val="00E44BCB"/>
    <w:rsid w:val="00E47BA2"/>
    <w:rsid w:val="00E70B7F"/>
    <w:rsid w:val="00E86FE2"/>
    <w:rsid w:val="00EA37D4"/>
    <w:rsid w:val="00ED1AE0"/>
    <w:rsid w:val="00ED6579"/>
    <w:rsid w:val="00F16C7F"/>
    <w:rsid w:val="00F40AC6"/>
    <w:rsid w:val="00F75301"/>
    <w:rsid w:val="00FA6A98"/>
    <w:rsid w:val="00FB0CF0"/>
    <w:rsid w:val="00FB7FD5"/>
    <w:rsid w:val="00FF4B70"/>
    <w:rsid w:val="07C101D1"/>
    <w:rsid w:val="09BD3A04"/>
    <w:rsid w:val="09EA3D7D"/>
    <w:rsid w:val="0B9F3D16"/>
    <w:rsid w:val="0D960680"/>
    <w:rsid w:val="13790112"/>
    <w:rsid w:val="1803053F"/>
    <w:rsid w:val="26573160"/>
    <w:rsid w:val="297B48C0"/>
    <w:rsid w:val="31417850"/>
    <w:rsid w:val="31E626B0"/>
    <w:rsid w:val="32886901"/>
    <w:rsid w:val="362E2CC6"/>
    <w:rsid w:val="3797305B"/>
    <w:rsid w:val="37D46DE0"/>
    <w:rsid w:val="400C3C36"/>
    <w:rsid w:val="42694E81"/>
    <w:rsid w:val="443E4D8B"/>
    <w:rsid w:val="485672A2"/>
    <w:rsid w:val="4B224AD0"/>
    <w:rsid w:val="56A85650"/>
    <w:rsid w:val="5E645BD4"/>
    <w:rsid w:val="630C63BB"/>
    <w:rsid w:val="6F727C74"/>
    <w:rsid w:val="7CA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rFonts w:cs="Times New Roman"/>
      <w:color w:val="0000FF"/>
      <w:u w:val="single"/>
    </w:rPr>
  </w:style>
  <w:style w:type="character" w:customStyle="1" w:styleId="8">
    <w:name w:val="页眉 Char"/>
    <w:basedOn w:val="5"/>
    <w:link w:val="4"/>
    <w:semiHidden/>
    <w:qFormat/>
    <w:uiPriority w:val="99"/>
    <w:rPr>
      <w:rFonts w:ascii="Tahoma" w:hAnsi="Tahoma"/>
      <w:sz w:val="18"/>
      <w:szCs w:val="18"/>
    </w:rPr>
  </w:style>
  <w:style w:type="character" w:customStyle="1" w:styleId="9">
    <w:name w:val="页脚 Char"/>
    <w:basedOn w:val="5"/>
    <w:link w:val="3"/>
    <w:qFormat/>
    <w:uiPriority w:val="99"/>
    <w:rPr>
      <w:rFonts w:ascii="Tahoma" w:hAnsi="Tahoma"/>
      <w:sz w:val="18"/>
      <w:szCs w:val="18"/>
    </w:rPr>
  </w:style>
  <w:style w:type="paragraph" w:styleId="10">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1">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40190-1C42-4960-A151-0EEAD1F6D158}">
  <ds:schemaRefs/>
</ds:datastoreItem>
</file>

<file path=docProps/app.xml><?xml version="1.0" encoding="utf-8"?>
<Properties xmlns="http://schemas.openxmlformats.org/officeDocument/2006/extended-properties" xmlns:vt="http://schemas.openxmlformats.org/officeDocument/2006/docPropsVTypes">
  <Template>Normal</Template>
  <Pages>8</Pages>
  <Words>569</Words>
  <Characters>3244</Characters>
  <Lines>27</Lines>
  <Paragraphs>7</Paragraphs>
  <TotalTime>3</TotalTime>
  <ScaleCrop>false</ScaleCrop>
  <LinksUpToDate>false</LinksUpToDate>
  <CharactersWithSpaces>3806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2018-07-03T02:11:00Z</dcterms:created>
  <dc:creator>LENOVO</dc:creator>
  <cp:lastModifiedBy>许昌市公共资源交易中心:杨丹丹</cp:lastModifiedBy>
  <cp:lastPrinted>2018-06-13T00:28:00Z</cp:lastPrinted>
  <dcterms:modified xsi:type="dcterms:W3CDTF">2018-07-16T03:04:39Z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