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b/>
          <w:sz w:val="32"/>
          <w:szCs w:val="32"/>
        </w:rPr>
      </w:pPr>
      <w:r>
        <w:rPr>
          <w:rFonts w:hint="eastAsia"/>
          <w:b/>
          <w:sz w:val="32"/>
          <w:szCs w:val="32"/>
        </w:rPr>
        <w:t>公安信息化建设</w:t>
      </w:r>
    </w:p>
    <w:p>
      <w:pPr>
        <w:widowControl/>
        <w:shd w:val="clear" w:color="auto" w:fill="FFFFFF"/>
        <w:spacing w:line="360" w:lineRule="atLeast"/>
        <w:jc w:val="left"/>
        <w:rPr>
          <w:b/>
          <w:sz w:val="32"/>
          <w:szCs w:val="32"/>
        </w:rPr>
      </w:pPr>
      <w:bookmarkStart w:id="0" w:name="_GoBack"/>
      <w:bookmarkEnd w:id="0"/>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lang w:bidi="ar"/>
        </w:rPr>
        <w:t>一、项目概况</w:t>
      </w:r>
    </w:p>
    <w:p>
      <w:pPr>
        <w:widowControl/>
        <w:shd w:val="clear" w:color="auto" w:fill="FFFFFF"/>
        <w:spacing w:line="360" w:lineRule="atLeast"/>
        <w:ind w:firstLine="570"/>
        <w:jc w:val="left"/>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（一）项目名称：A包：警务云平台扩容建设</w:t>
      </w:r>
    </w:p>
    <w:p>
      <w:pPr>
        <w:widowControl/>
        <w:shd w:val="clear" w:color="auto" w:fill="FFFFFF"/>
        <w:spacing w:line="360" w:lineRule="atLeast"/>
        <w:ind w:firstLine="2970" w:firstLineChars="990"/>
        <w:jc w:val="left"/>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B包：公安网核心交换机升级</w:t>
      </w:r>
    </w:p>
    <w:p>
      <w:pPr>
        <w:widowControl/>
        <w:shd w:val="clear" w:color="auto" w:fill="FFFFFF"/>
        <w:spacing w:line="360" w:lineRule="atLeast"/>
        <w:ind w:firstLine="2970" w:firstLineChars="990"/>
        <w:jc w:val="left"/>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C包：</w:t>
      </w:r>
      <w:r>
        <w:rPr>
          <w:rFonts w:ascii="仿宋" w:hAnsi="仿宋" w:eastAsia="仿宋" w:cs="仿宋"/>
          <w:color w:val="000000"/>
          <w:kern w:val="0"/>
          <w:sz w:val="30"/>
          <w:szCs w:val="30"/>
          <w:shd w:val="clear" w:color="auto" w:fill="FFFFFF"/>
          <w:lang w:bidi="ar"/>
        </w:rPr>
        <w:t>基础生产数据库改造</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（二）采购方式：公开招标     </w:t>
      </w:r>
    </w:p>
    <w:p>
      <w:pPr>
        <w:wordWrap w:val="0"/>
        <w:topLinePunct/>
        <w:snapToGrid w:val="0"/>
        <w:spacing w:line="360" w:lineRule="auto"/>
        <w:ind w:firstLine="750" w:firstLineChars="250"/>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（三）主要内容、数量及要求：</w:t>
      </w:r>
    </w:p>
    <w:p>
      <w:pPr>
        <w:wordWrap w:val="0"/>
        <w:topLinePunct/>
        <w:snapToGrid w:val="0"/>
        <w:spacing w:line="360" w:lineRule="auto"/>
        <w:ind w:firstLine="750" w:firstLineChars="250"/>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A包：3台超融合平台硬件服务器，3套虚拟化软件、3套分布式存储软件，80条内存条以及集成实施服务。</w:t>
      </w:r>
    </w:p>
    <w:p>
      <w:pPr>
        <w:wordWrap w:val="0"/>
        <w:topLinePunct/>
        <w:snapToGrid w:val="0"/>
        <w:spacing w:line="360" w:lineRule="auto"/>
        <w:ind w:firstLine="750" w:firstLineChars="250"/>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B包：2台核心交换机，相应配套的千兆电口板卡，万兆光口板卡、防火墙、负载均衡、网管系统、以及相应的数据迁移和集成服务。</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lang w:bidi="ar"/>
        </w:rPr>
        <w:t>C包:2套数据库系统、存储系统、2台汇聚交换机、1台身份证解码服务器、数据迁移服务、灾备迁移服务、驻场服务、系统集成实施服务等。</w:t>
      </w:r>
      <w:r>
        <w:rPr>
          <w:rFonts w:ascii="宋体" w:hAnsi="宋体" w:eastAsia="宋体" w:cs="宋体"/>
          <w:color w:val="000000"/>
          <w:kern w:val="0"/>
          <w:sz w:val="24"/>
          <w:szCs w:val="24"/>
        </w:rPr>
        <w:t xml:space="preserve"> </w:t>
      </w:r>
    </w:p>
    <w:p>
      <w:pPr>
        <w:widowControl/>
        <w:shd w:val="clear" w:color="auto" w:fill="FFFFFF"/>
        <w:spacing w:line="360" w:lineRule="atLeast"/>
        <w:ind w:firstLine="600"/>
        <w:jc w:val="left"/>
        <w:rPr>
          <w:rFonts w:ascii="宋体" w:hAnsi="宋体" w:eastAsia="宋体" w:cs="宋体"/>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（四）A包</w:t>
      </w:r>
      <w:r>
        <w:rPr>
          <w:rFonts w:hint="eastAsia" w:ascii="仿宋" w:hAnsi="仿宋" w:eastAsia="仿宋" w:cs="仿宋"/>
          <w:color w:val="000000"/>
          <w:kern w:val="0"/>
          <w:sz w:val="30"/>
          <w:szCs w:val="30"/>
          <w:shd w:val="clear" w:color="auto" w:fill="FFFFFF"/>
          <w:lang w:eastAsia="zh-CN" w:bidi="ar"/>
        </w:rPr>
        <w:t>：</w:t>
      </w:r>
      <w:r>
        <w:rPr>
          <w:rFonts w:hint="eastAsia" w:ascii="仿宋" w:hAnsi="仿宋" w:eastAsia="仿宋" w:cs="仿宋"/>
          <w:color w:val="000000"/>
          <w:kern w:val="0"/>
          <w:sz w:val="30"/>
          <w:szCs w:val="30"/>
          <w:shd w:val="clear" w:color="auto" w:fill="FFFFFF"/>
          <w:lang w:bidi="ar"/>
        </w:rPr>
        <w:t>预算金额：109万；最高限价：109万。</w:t>
      </w:r>
    </w:p>
    <w:p>
      <w:pPr>
        <w:widowControl/>
        <w:shd w:val="clear" w:color="auto" w:fill="FFFFFF"/>
        <w:spacing w:line="360" w:lineRule="atLeast"/>
        <w:ind w:firstLine="1500" w:firstLineChars="500"/>
        <w:jc w:val="left"/>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B包：预算金额：200万；最高限价：200万。</w:t>
      </w:r>
    </w:p>
    <w:p>
      <w:pPr>
        <w:widowControl/>
        <w:shd w:val="clear" w:color="auto" w:fill="FFFFFF"/>
        <w:spacing w:line="360" w:lineRule="atLeast"/>
        <w:ind w:firstLine="1500" w:firstLineChars="500"/>
        <w:jc w:val="left"/>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C包：预算金额：236万；最高限价：236万。</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（五）交付（服务、完工）时间：</w:t>
      </w:r>
    </w:p>
    <w:p>
      <w:pPr>
        <w:widowControl/>
        <w:shd w:val="clear" w:color="auto" w:fill="FFFFFF"/>
        <w:spacing w:line="360" w:lineRule="atLeast"/>
        <w:ind w:left="1495" w:leftChars="712"/>
        <w:jc w:val="left"/>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A包：合同签订后30天内；B包：合同签订后30天内；C包：合同签订后30天内；</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lang w:bidi="ar"/>
        </w:rPr>
        <w:t>（六）交付（服务、施工）地点：许昌市公安局</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（七）进口产品：允许□不允许</w:t>
      </w:r>
      <w:r>
        <w:rPr>
          <w:rFonts w:hint="eastAsia" w:ascii="仿宋" w:hAnsi="仿宋" w:eastAsia="仿宋" w:cs="仿宋"/>
          <w:color w:val="000000"/>
          <w:kern w:val="0"/>
          <w:sz w:val="30"/>
          <w:szCs w:val="30"/>
          <w:shd w:val="clear" w:color="auto" w:fill="FFFFFF"/>
          <w:lang w:bidi="ar"/>
        </w:rPr>
        <w:sym w:font="Wingdings 2" w:char="F052"/>
      </w:r>
      <w:r>
        <w:rPr>
          <w:rFonts w:hint="eastAsia" w:ascii="仿宋" w:hAnsi="仿宋" w:eastAsia="仿宋" w:cs="仿宋"/>
          <w:color w:val="000000"/>
          <w:kern w:val="0"/>
          <w:sz w:val="30"/>
          <w:szCs w:val="30"/>
          <w:shd w:val="clear" w:color="auto" w:fill="FFFFFF"/>
          <w:lang w:bidi="ar"/>
        </w:rPr>
        <w:t>。</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lang w:bidi="ar"/>
        </w:rPr>
        <w:t>（八）分包：允许□不允许</w:t>
      </w:r>
      <w:r>
        <w:rPr>
          <w:rFonts w:hint="eastAsia" w:ascii="仿宋" w:hAnsi="仿宋" w:eastAsia="仿宋" w:cs="仿宋"/>
          <w:color w:val="000000"/>
          <w:kern w:val="0"/>
          <w:sz w:val="30"/>
          <w:szCs w:val="30"/>
          <w:shd w:val="clear" w:color="auto" w:fill="FFFFFF"/>
          <w:lang w:bidi="ar"/>
        </w:rPr>
        <w:sym w:font="Wingdings 2" w:char="F052"/>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lang w:bidi="ar"/>
        </w:rPr>
        <w:t>二、需要落实的政府采购政策</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lang w:bidi="ar"/>
        </w:rPr>
        <w:t>本项目落实节能环保</w:t>
      </w:r>
      <w:r>
        <w:rPr>
          <w:rFonts w:hint="eastAsia" w:ascii="仿宋" w:hAnsi="仿宋" w:eastAsia="仿宋" w:cs="仿宋"/>
          <w:color w:val="000000"/>
          <w:kern w:val="0"/>
          <w:sz w:val="30"/>
          <w:szCs w:val="30"/>
          <w:shd w:val="clear" w:color="auto" w:fill="FFFFFF"/>
          <w:lang w:bidi="ar"/>
        </w:rPr>
        <w:sym w:font="Wingdings 2" w:char="F052"/>
      </w:r>
      <w:r>
        <w:rPr>
          <w:rFonts w:hint="eastAsia" w:ascii="仿宋" w:hAnsi="仿宋" w:eastAsia="仿宋" w:cs="仿宋"/>
          <w:color w:val="000000"/>
          <w:kern w:val="0"/>
          <w:sz w:val="30"/>
          <w:szCs w:val="30"/>
          <w:shd w:val="clear" w:color="auto" w:fill="FFFFFF"/>
          <w:lang w:bidi="ar"/>
        </w:rPr>
        <w:t>、中小微型企业扶持</w:t>
      </w:r>
      <w:r>
        <w:rPr>
          <w:rFonts w:hint="eastAsia" w:ascii="仿宋" w:hAnsi="仿宋" w:eastAsia="仿宋" w:cs="仿宋"/>
          <w:color w:val="000000"/>
          <w:kern w:val="0"/>
          <w:sz w:val="30"/>
          <w:szCs w:val="30"/>
          <w:shd w:val="clear" w:color="auto" w:fill="FFFFFF"/>
          <w:lang w:bidi="ar"/>
        </w:rPr>
        <w:sym w:font="Wingdings 2" w:char="F052"/>
      </w:r>
      <w:r>
        <w:rPr>
          <w:rFonts w:hint="eastAsia" w:ascii="仿宋" w:hAnsi="仿宋" w:eastAsia="仿宋" w:cs="仿宋"/>
          <w:color w:val="000000"/>
          <w:kern w:val="0"/>
          <w:sz w:val="30"/>
          <w:szCs w:val="30"/>
          <w:shd w:val="clear" w:color="auto" w:fill="FFFFFF"/>
          <w:lang w:bidi="ar"/>
        </w:rPr>
        <w:t>、支持监狱企业发展</w:t>
      </w:r>
      <w:r>
        <w:rPr>
          <w:rFonts w:hint="eastAsia" w:ascii="仿宋" w:hAnsi="仿宋" w:eastAsia="仿宋" w:cs="仿宋"/>
          <w:color w:val="000000"/>
          <w:kern w:val="0"/>
          <w:sz w:val="30"/>
          <w:szCs w:val="30"/>
          <w:shd w:val="clear" w:color="auto" w:fill="FFFFFF"/>
          <w:lang w:bidi="ar"/>
        </w:rPr>
        <w:sym w:font="Wingdings 2" w:char="F052"/>
      </w:r>
      <w:r>
        <w:rPr>
          <w:rFonts w:hint="eastAsia" w:ascii="仿宋" w:hAnsi="仿宋" w:eastAsia="仿宋" w:cs="仿宋"/>
          <w:color w:val="000000"/>
          <w:kern w:val="0"/>
          <w:sz w:val="30"/>
          <w:szCs w:val="30"/>
          <w:shd w:val="clear" w:color="auto" w:fill="FFFFFF"/>
          <w:lang w:bidi="ar"/>
        </w:rPr>
        <w:t>、残疾人福利性单位扶持</w:t>
      </w:r>
      <w:r>
        <w:rPr>
          <w:rFonts w:hint="eastAsia" w:ascii="仿宋" w:hAnsi="仿宋" w:eastAsia="仿宋" w:cs="仿宋"/>
          <w:color w:val="000000"/>
          <w:kern w:val="0"/>
          <w:sz w:val="30"/>
          <w:szCs w:val="30"/>
          <w:shd w:val="clear" w:color="auto" w:fill="FFFFFF"/>
          <w:lang w:bidi="ar"/>
        </w:rPr>
        <w:sym w:font="Wingdings 2" w:char="F052"/>
      </w:r>
      <w:r>
        <w:rPr>
          <w:rFonts w:hint="eastAsia" w:ascii="仿宋" w:hAnsi="仿宋" w:eastAsia="仿宋" w:cs="仿宋"/>
          <w:color w:val="000000"/>
          <w:kern w:val="0"/>
          <w:sz w:val="30"/>
          <w:szCs w:val="30"/>
          <w:shd w:val="clear" w:color="auto" w:fill="FFFFFF"/>
          <w:lang w:bidi="ar"/>
        </w:rPr>
        <w:t>等相关政府采购政策。</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lang w:bidi="ar"/>
        </w:rPr>
        <w:t>三、投标人资格要求</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lang w:bidi="ar"/>
        </w:rPr>
        <w:t>（一）具备《政府采购法》第二十二条第一款规定条件并提供相关材料。</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lang w:bidi="ar"/>
        </w:rPr>
        <w:t>（二）本次招标接受□不接受</w:t>
      </w:r>
      <w:r>
        <w:rPr>
          <w:rFonts w:hint="eastAsia" w:ascii="仿宋" w:hAnsi="仿宋" w:eastAsia="仿宋" w:cs="仿宋"/>
          <w:color w:val="000000"/>
          <w:kern w:val="0"/>
          <w:sz w:val="30"/>
          <w:szCs w:val="30"/>
          <w:shd w:val="clear" w:color="auto" w:fill="FFFFFF"/>
          <w:lang w:bidi="ar"/>
        </w:rPr>
        <w:sym w:font="Wingdings 2" w:char="F052"/>
      </w:r>
      <w:r>
        <w:rPr>
          <w:rFonts w:hint="eastAsia" w:ascii="仿宋" w:hAnsi="仿宋" w:eastAsia="仿宋" w:cs="仿宋"/>
          <w:color w:val="000000"/>
          <w:kern w:val="0"/>
          <w:sz w:val="30"/>
          <w:szCs w:val="30"/>
          <w:shd w:val="clear" w:color="auto" w:fill="FFFFFF"/>
          <w:lang w:bidi="ar"/>
        </w:rPr>
        <w:t>联合体投标。</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（三）根据采购项目特殊要求：“无”</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lang w:bidi="ar"/>
        </w:rPr>
        <w:t>四、采购需求</w:t>
      </w:r>
    </w:p>
    <w:p>
      <w:pPr>
        <w:wordWrap w:val="0"/>
        <w:topLinePunct/>
        <w:snapToGrid w:val="0"/>
        <w:spacing w:line="360" w:lineRule="auto"/>
        <w:ind w:firstLine="600" w:firstLineChars="200"/>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一）A包：本项目需实现的功能或者目标：许昌市公安局警务云平台因计算、存储和内存资源不足，需要扩容3个节点服务器（含配套软件）和相应的内存条，一是新增节点加入现有云平台原11个节点的集群，形成14个节点集群统一管理。二是将原有节点服务器的内存提升至512GB。</w:t>
      </w:r>
    </w:p>
    <w:p>
      <w:pPr>
        <w:wordWrap w:val="0"/>
        <w:topLinePunct/>
        <w:snapToGrid w:val="0"/>
        <w:spacing w:line="360" w:lineRule="auto"/>
        <w:ind w:firstLine="1200" w:firstLineChars="400"/>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B包：许昌市公安局公安信息网核心交换机购置较早，随着业务的增长，已不能满足实际工作需要。本次需购置新的公安网核心交换机以及配套的设备和组件，替换掉原有的核心交换机。本着利旧原则，原有核心交换机迁移至视频专网，用作警务云中心视频专网的汇聚交换机。由于公安网和视频专网为全市公安业务的重要载体，须对网络进行无缝割接，确保两个网络不发生中断，不影响正常的公安业务。</w:t>
      </w:r>
    </w:p>
    <w:p>
      <w:pPr>
        <w:widowControl/>
        <w:shd w:val="clear" w:color="auto" w:fill="FFFFFF"/>
        <w:spacing w:line="360" w:lineRule="atLeast"/>
        <w:ind w:firstLine="1050" w:firstLineChars="35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lang w:bidi="ar"/>
        </w:rPr>
        <w:t>C包:新购置两套数据库系统，替换原来5套数据库系统，将业务生产数据迁移至新数据库系统中（需迁移的系统为：常住人口系统、警务综合系统、打综系统、旅馆业系统、派综系统、PGIS系统、省市一体化警综系统、社区警务系统、地级资源库、地级中间库、卡口系统、电子签章系统、交管6合1系统、交管科目一考试系统、交管缉查布控系统、交管异地缴费代收系统、指挥中心接处警系统、网上警局系统、装备管理系统、工资系统、大数据平台生产库、情报库等重要的业务生产系统），灾备迁移服务，身份证解码服务、驻场服务，集成服务等。</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（二）采购清单</w:t>
      </w:r>
    </w:p>
    <w:p>
      <w:pPr>
        <w:widowControl/>
        <w:shd w:val="clear" w:color="auto" w:fill="FFFFFF"/>
        <w:spacing w:line="360" w:lineRule="atLeast"/>
        <w:ind w:firstLine="750" w:firstLineChars="25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lang w:bidi="ar"/>
        </w:rPr>
        <w:t>1、A包采购清单</w:t>
      </w:r>
    </w:p>
    <w:tbl>
      <w:tblPr>
        <w:tblStyle w:val="7"/>
        <w:tblW w:w="8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424"/>
        <w:gridCol w:w="5524"/>
        <w:gridCol w:w="568"/>
        <w:gridCol w:w="425"/>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blHeader/>
        </w:trPr>
        <w:tc>
          <w:tcPr>
            <w:tcW w:w="397"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42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名称</w:t>
            </w:r>
          </w:p>
        </w:tc>
        <w:tc>
          <w:tcPr>
            <w:tcW w:w="552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技术规格及主要参数</w:t>
            </w:r>
          </w:p>
        </w:tc>
        <w:tc>
          <w:tcPr>
            <w:tcW w:w="568"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数量</w:t>
            </w:r>
          </w:p>
        </w:tc>
        <w:tc>
          <w:tcPr>
            <w:tcW w:w="42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单位</w:t>
            </w:r>
          </w:p>
        </w:tc>
        <w:tc>
          <w:tcPr>
            <w:tcW w:w="113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5" w:hRule="atLeast"/>
        </w:trPr>
        <w:tc>
          <w:tcPr>
            <w:tcW w:w="397"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42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超融合平台硬件</w:t>
            </w:r>
          </w:p>
        </w:tc>
        <w:tc>
          <w:tcPr>
            <w:tcW w:w="552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国产品牌；配置≥1个机箱：</w:t>
            </w:r>
            <w:r>
              <w:rPr>
                <w:rFonts w:hint="eastAsia" w:ascii="宋体" w:hAnsi="宋体" w:eastAsia="宋体" w:cs="宋体"/>
                <w:kern w:val="0"/>
                <w:szCs w:val="21"/>
              </w:rPr>
              <w:br w:type="textWrapping"/>
            </w:r>
            <w:r>
              <w:rPr>
                <w:rFonts w:hint="eastAsia" w:ascii="宋体" w:hAnsi="宋体" w:eastAsia="宋体" w:cs="宋体"/>
                <w:kern w:val="0"/>
                <w:szCs w:val="21"/>
              </w:rPr>
              <w:t>高密度机箱：≥4U机架式，可放入42U标准机柜，高密度服务器架构，多节点服务器框（单框≥4节点），共享风扇、电源；≥4个冗余电源，支持N+N，N+1冗余；≥5个风扇，支持N+1冗余，支持单风扇失效；</w:t>
            </w:r>
            <w:r>
              <w:rPr>
                <w:rFonts w:hint="eastAsia" w:ascii="宋体" w:hAnsi="宋体" w:eastAsia="宋体" w:cs="宋体"/>
                <w:kern w:val="0"/>
                <w:szCs w:val="21"/>
              </w:rPr>
              <w:br w:type="textWrapping"/>
            </w:r>
            <w:r>
              <w:rPr>
                <w:rFonts w:hint="eastAsia" w:ascii="宋体" w:hAnsi="宋体" w:eastAsia="宋体" w:cs="宋体"/>
                <w:kern w:val="0"/>
                <w:szCs w:val="21"/>
              </w:rPr>
              <w:t>本次配置3个节点，超融合刀片</w:t>
            </w:r>
            <w:r>
              <w:rPr>
                <w:rFonts w:hint="eastAsia" w:ascii="宋体" w:hAnsi="宋体" w:eastAsia="宋体" w:cs="宋体"/>
                <w:kern w:val="0"/>
                <w:szCs w:val="21"/>
              </w:rPr>
              <w:br w:type="textWrapping"/>
            </w:r>
            <w:r>
              <w:rPr>
                <w:rFonts w:hint="eastAsia" w:ascii="宋体" w:hAnsi="宋体" w:eastAsia="宋体" w:cs="宋体"/>
                <w:b/>
                <w:kern w:val="0"/>
                <w:szCs w:val="21"/>
              </w:rPr>
              <w:t>每节点参数要求：</w:t>
            </w:r>
            <w:r>
              <w:rPr>
                <w:rFonts w:hint="eastAsia" w:ascii="宋体" w:hAnsi="宋体" w:eastAsia="宋体" w:cs="宋体"/>
                <w:kern w:val="0"/>
                <w:szCs w:val="21"/>
              </w:rPr>
              <w:br w:type="textWrapping"/>
            </w:r>
            <w:r>
              <w:rPr>
                <w:rFonts w:hint="eastAsia" w:ascii="宋体" w:hAnsi="宋体" w:eastAsia="宋体" w:cs="宋体"/>
                <w:kern w:val="0"/>
                <w:szCs w:val="21"/>
              </w:rPr>
              <w:t>配置2颗Intel E5-2600 V4系列CPU ，单颗CPU核数≥14，主频≥2.4 GHz，L3缓存≥30M；</w:t>
            </w:r>
            <w:r>
              <w:rPr>
                <w:rFonts w:hint="eastAsia" w:ascii="宋体" w:hAnsi="宋体" w:eastAsia="宋体" w:cs="宋体"/>
                <w:kern w:val="0"/>
                <w:szCs w:val="21"/>
              </w:rPr>
              <w:br w:type="textWrapping"/>
            </w:r>
            <w:r>
              <w:rPr>
                <w:rFonts w:hint="eastAsia" w:ascii="宋体" w:hAnsi="宋体" w:eastAsia="宋体" w:cs="宋体"/>
                <w:kern w:val="0"/>
                <w:szCs w:val="21"/>
              </w:rPr>
              <w:t>配置≥512G DDR4内存;</w:t>
            </w:r>
            <w:r>
              <w:rPr>
                <w:rFonts w:hint="eastAsia" w:ascii="宋体" w:hAnsi="宋体" w:eastAsia="宋体" w:cs="宋体"/>
                <w:kern w:val="0"/>
                <w:szCs w:val="21"/>
              </w:rPr>
              <w:br w:type="textWrapping"/>
            </w:r>
            <w:r>
              <w:rPr>
                <w:rFonts w:hint="eastAsia" w:ascii="宋体" w:hAnsi="宋体" w:eastAsia="宋体" w:cs="宋体"/>
                <w:kern w:val="0"/>
                <w:szCs w:val="21"/>
              </w:rPr>
              <w:t>配置≥2*600G 10K SAS硬盘, ≥10*4TB 7.2K SATA硬盘，支持热拔插功能，</w:t>
            </w:r>
            <w:r>
              <w:rPr>
                <w:rFonts w:hint="eastAsia" w:ascii="宋体" w:hAnsi="宋体" w:eastAsia="宋体" w:cs="宋体"/>
                <w:kern w:val="0"/>
                <w:szCs w:val="21"/>
              </w:rPr>
              <w:br w:type="textWrapping"/>
            </w:r>
            <w:r>
              <w:rPr>
                <w:rFonts w:hint="eastAsia" w:ascii="宋体" w:hAnsi="宋体" w:eastAsia="宋体" w:cs="宋体"/>
                <w:kern w:val="0"/>
                <w:szCs w:val="21"/>
              </w:rPr>
              <w:t>配置≥1*800G PCI-E SSD卡/硬盘，要求为企业级（使用寿命：每天写3倍容量，使用年限≥5年）；</w:t>
            </w:r>
            <w:r>
              <w:rPr>
                <w:rFonts w:hint="eastAsia" w:ascii="宋体" w:hAnsi="宋体" w:eastAsia="宋体" w:cs="宋体"/>
                <w:kern w:val="0"/>
                <w:szCs w:val="21"/>
              </w:rPr>
              <w:br w:type="textWrapping"/>
            </w:r>
            <w:r>
              <w:rPr>
                <w:rFonts w:hint="eastAsia" w:ascii="宋体" w:hAnsi="宋体" w:eastAsia="宋体" w:cs="宋体"/>
                <w:kern w:val="0"/>
                <w:szCs w:val="21"/>
              </w:rPr>
              <w:t xml:space="preserve">配置≥2*10GE（含万兆光模块）网口；                                             </w:t>
            </w:r>
          </w:p>
        </w:tc>
        <w:tc>
          <w:tcPr>
            <w:tcW w:w="568"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42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113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397"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42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虚拟化软件</w:t>
            </w:r>
          </w:p>
        </w:tc>
        <w:tc>
          <w:tcPr>
            <w:tcW w:w="552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虚拟化平台软件具有软件自主知识产权，具有自主研发能力，保障后续产品的连续性；</w:t>
            </w:r>
            <w:r>
              <w:rPr>
                <w:rFonts w:hint="eastAsia" w:ascii="宋体" w:hAnsi="宋体" w:eastAsia="宋体" w:cs="宋体"/>
                <w:kern w:val="0"/>
                <w:szCs w:val="21"/>
              </w:rPr>
              <w:br w:type="textWrapping"/>
            </w:r>
            <w:r>
              <w:rPr>
                <w:rFonts w:hint="eastAsia" w:ascii="宋体" w:hAnsi="宋体" w:eastAsia="宋体" w:cs="宋体"/>
                <w:kern w:val="0"/>
                <w:szCs w:val="21"/>
              </w:rPr>
              <w:t xml:space="preserve">虚拟化架构须采用裸金属架构，充分利用Intel VT和AMD-V的硬件虚拟化技术，支持Intel扩展页表技术。虚拟化软件必须直接安装在服务器硬件设备上，不能采用在服务器上先安装操作系统的方式，虚拟化软件要直接管理硬件资源。 </w:t>
            </w:r>
            <w:r>
              <w:rPr>
                <w:rFonts w:hint="eastAsia" w:ascii="宋体" w:hAnsi="宋体" w:eastAsia="宋体" w:cs="宋体"/>
                <w:kern w:val="0"/>
                <w:szCs w:val="21"/>
              </w:rPr>
              <w:br w:type="textWrapping"/>
            </w:r>
            <w:r>
              <w:rPr>
                <w:rFonts w:hint="eastAsia" w:ascii="宋体" w:hAnsi="宋体" w:eastAsia="宋体" w:cs="宋体"/>
                <w:kern w:val="0"/>
                <w:szCs w:val="21"/>
              </w:rPr>
              <w:t xml:space="preserve">支持将当前虚拟机的操作系统、应用、用户配置等数据保存为虚拟机模板；模板可根据需要修改并重新保存；并可通过模板快速、批量部署虚拟机。 </w:t>
            </w:r>
            <w:r>
              <w:rPr>
                <w:rFonts w:hint="eastAsia" w:ascii="宋体" w:hAnsi="宋体" w:eastAsia="宋体" w:cs="宋体"/>
                <w:kern w:val="0"/>
                <w:szCs w:val="21"/>
              </w:rPr>
              <w:br w:type="textWrapping"/>
            </w:r>
            <w:r>
              <w:rPr>
                <w:rFonts w:hint="eastAsia" w:ascii="宋体" w:hAnsi="宋体" w:eastAsia="宋体" w:cs="宋体"/>
                <w:kern w:val="0"/>
                <w:szCs w:val="21"/>
              </w:rPr>
              <w:t>关键的管理节点/服务器支持做到主备冗余</w:t>
            </w:r>
            <w:r>
              <w:rPr>
                <w:rFonts w:hint="eastAsia" w:ascii="宋体" w:hAnsi="宋体" w:eastAsia="宋体" w:cs="宋体"/>
                <w:kern w:val="0"/>
                <w:szCs w:val="21"/>
              </w:rPr>
              <w:br w:type="textWrapping"/>
            </w:r>
            <w:r>
              <w:rPr>
                <w:rFonts w:hint="eastAsia" w:ascii="宋体" w:hAnsi="宋体" w:eastAsia="宋体" w:cs="宋体"/>
                <w:kern w:val="0"/>
                <w:szCs w:val="21"/>
              </w:rPr>
              <w:t xml:space="preserve">支持虚拟机HA功能，系统可自动地将虚拟机从故障服务器上迁移至正常的服务器。 </w:t>
            </w:r>
            <w:r>
              <w:rPr>
                <w:rFonts w:hint="eastAsia" w:ascii="宋体" w:hAnsi="宋体" w:eastAsia="宋体" w:cs="宋体"/>
                <w:kern w:val="0"/>
                <w:szCs w:val="21"/>
              </w:rPr>
              <w:br w:type="textWrapping"/>
            </w:r>
            <w:r>
              <w:rPr>
                <w:rFonts w:hint="eastAsia" w:ascii="宋体" w:hAnsi="宋体" w:eastAsia="宋体" w:cs="宋体"/>
                <w:kern w:val="0"/>
                <w:szCs w:val="21"/>
              </w:rPr>
              <w:t>虚拟化软件含虚拟化许可、云平台许可、备份许可；支持硬件设备、虚拟化平台、应用统一管理，自动化管理、自助服务平台；每套提供2颗 CPU许可，共6颗 CPU许可，三年升级服务；要求加入现网云平台统一管理.</w:t>
            </w:r>
            <w:r>
              <w:rPr>
                <w:rFonts w:ascii="宋体" w:hAnsi="宋体" w:eastAsia="宋体" w:cs="宋体"/>
                <w:kern w:val="0"/>
                <w:szCs w:val="21"/>
              </w:rPr>
              <w:t xml:space="preserve"> </w:t>
            </w:r>
          </w:p>
        </w:tc>
        <w:tc>
          <w:tcPr>
            <w:tcW w:w="568"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42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1135"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397"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42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分布式存储软件</w:t>
            </w:r>
          </w:p>
        </w:tc>
        <w:tc>
          <w:tcPr>
            <w:tcW w:w="552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分布存储平台，采用2/3副本部署，支持链接克隆、精简配置、快照，支持多厂家虚拟化平台（VMWARE\XEN\KVM),本次采用PCI-E 闪盘做为其分布式CaChe,支持大于500节点扩容；本次每套配置40T容量许可，共120T容量许可；三年升级服务，原厂交付；要求加入现网平台统一管理；</w:t>
            </w:r>
          </w:p>
        </w:tc>
        <w:tc>
          <w:tcPr>
            <w:tcW w:w="568"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3 </w:t>
            </w:r>
          </w:p>
        </w:tc>
        <w:tc>
          <w:tcPr>
            <w:tcW w:w="425" w:type="dxa"/>
            <w:vAlign w:val="center"/>
          </w:tcPr>
          <w:p>
            <w:pPr>
              <w:widowControl/>
              <w:rPr>
                <w:rFonts w:ascii="宋体" w:hAnsi="宋体" w:eastAsia="宋体" w:cs="宋体"/>
                <w:kern w:val="0"/>
                <w:szCs w:val="21"/>
              </w:rPr>
            </w:pPr>
            <w:r>
              <w:rPr>
                <w:rFonts w:hint="eastAsia" w:ascii="宋体" w:hAnsi="宋体" w:eastAsia="宋体" w:cs="宋体"/>
                <w:kern w:val="0"/>
                <w:szCs w:val="21"/>
              </w:rPr>
              <w:t>套</w:t>
            </w:r>
          </w:p>
        </w:tc>
        <w:tc>
          <w:tcPr>
            <w:tcW w:w="113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trPr>
        <w:tc>
          <w:tcPr>
            <w:tcW w:w="397"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42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内存条</w:t>
            </w:r>
          </w:p>
        </w:tc>
        <w:tc>
          <w:tcPr>
            <w:tcW w:w="552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警务云中心10台节点服务器，每节点配置8个内存条，单个内存条配置为：32G DDR4 2400主频内存条，须与现有警务云中心10台节点服务器硬件无缝兼容</w:t>
            </w:r>
          </w:p>
        </w:tc>
        <w:tc>
          <w:tcPr>
            <w:tcW w:w="568"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80 </w:t>
            </w:r>
          </w:p>
        </w:tc>
        <w:tc>
          <w:tcPr>
            <w:tcW w:w="425" w:type="dxa"/>
            <w:vAlign w:val="center"/>
          </w:tcPr>
          <w:p>
            <w:pPr>
              <w:widowControl/>
              <w:jc w:val="center"/>
              <w:rPr>
                <w:rFonts w:ascii="宋体" w:hAnsi="宋体" w:eastAsia="宋体" w:cs="宋体"/>
                <w:kern w:val="0"/>
                <w:szCs w:val="21"/>
              </w:rPr>
            </w:pPr>
          </w:p>
          <w:p>
            <w:pPr>
              <w:widowControl/>
              <w:jc w:val="center"/>
              <w:rPr>
                <w:rFonts w:ascii="宋体" w:hAnsi="宋体" w:eastAsia="宋体" w:cs="宋体"/>
                <w:kern w:val="0"/>
                <w:szCs w:val="21"/>
              </w:rPr>
            </w:pPr>
            <w:r>
              <w:rPr>
                <w:rFonts w:hint="eastAsia" w:ascii="宋体" w:hAnsi="宋体" w:eastAsia="宋体" w:cs="宋体"/>
                <w:kern w:val="0"/>
                <w:szCs w:val="21"/>
              </w:rPr>
              <w:t xml:space="preserve">个 </w:t>
            </w:r>
          </w:p>
        </w:tc>
        <w:tc>
          <w:tcPr>
            <w:tcW w:w="113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397"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42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系统集成</w:t>
            </w:r>
          </w:p>
        </w:tc>
        <w:tc>
          <w:tcPr>
            <w:tcW w:w="552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1、原有10个节点内存的安装（</w:t>
            </w:r>
            <w:r>
              <w:rPr>
                <w:rFonts w:hint="eastAsia" w:asciiTheme="minorEastAsia" w:hAnsiTheme="minorEastAsia"/>
                <w:szCs w:val="21"/>
              </w:rPr>
              <w:t>由于之前</w:t>
            </w:r>
            <w:r>
              <w:rPr>
                <w:rFonts w:asciiTheme="minorEastAsia" w:hAnsiTheme="minorEastAsia"/>
                <w:szCs w:val="21"/>
              </w:rPr>
              <w:t>的内存条</w:t>
            </w:r>
            <w:r>
              <w:rPr>
                <w:rFonts w:hint="eastAsia" w:asciiTheme="minorEastAsia" w:hAnsiTheme="minorEastAsia"/>
                <w:szCs w:val="21"/>
              </w:rPr>
              <w:t>为2133MHZ主频，目前市场主流内存条基本上是2400</w:t>
            </w:r>
            <w:r>
              <w:rPr>
                <w:rFonts w:asciiTheme="minorEastAsia" w:hAnsiTheme="minorEastAsia"/>
                <w:szCs w:val="21"/>
              </w:rPr>
              <w:t>MHZ主频</w:t>
            </w:r>
            <w:r>
              <w:rPr>
                <w:rFonts w:hint="eastAsia" w:asciiTheme="minorEastAsia" w:hAnsiTheme="minorEastAsia"/>
                <w:szCs w:val="21"/>
              </w:rPr>
              <w:t>，而本次购置的内存也是2400</w:t>
            </w:r>
            <w:r>
              <w:rPr>
                <w:rFonts w:asciiTheme="minorEastAsia" w:hAnsiTheme="minorEastAsia"/>
                <w:szCs w:val="21"/>
              </w:rPr>
              <w:t>MHZ主频</w:t>
            </w:r>
            <w:r>
              <w:rPr>
                <w:rFonts w:hint="eastAsia" w:asciiTheme="minorEastAsia" w:hAnsiTheme="minorEastAsia"/>
                <w:szCs w:val="21"/>
              </w:rPr>
              <w:t>；因此，为避免单台节点内存主频不一致导致蓝屏死机等问题，需要将现网节点2133M</w:t>
            </w:r>
            <w:r>
              <w:rPr>
                <w:rFonts w:asciiTheme="minorEastAsia" w:hAnsiTheme="minorEastAsia"/>
                <w:szCs w:val="21"/>
              </w:rPr>
              <w:t>HZ主频调整到</w:t>
            </w:r>
            <w:r>
              <w:rPr>
                <w:rFonts w:hint="eastAsia" w:asciiTheme="minorEastAsia" w:hAnsiTheme="minorEastAsia"/>
                <w:szCs w:val="21"/>
              </w:rPr>
              <w:t>前5台服务器节点，然后再将新购内存安装至后5台服务器节点，须提供合理的迁移和安装方案以及测试用例，确保云平台零中断、各虚拟业务主机零停机</w:t>
            </w:r>
            <w:r>
              <w:rPr>
                <w:rFonts w:hint="eastAsia" w:ascii="宋体" w:hAnsi="宋体" w:eastAsia="宋体" w:cs="宋体"/>
                <w:kern w:val="0"/>
                <w:szCs w:val="21"/>
              </w:rPr>
              <w:t>）</w:t>
            </w:r>
            <w:r>
              <w:rPr>
                <w:rFonts w:hint="eastAsia" w:asciiTheme="minorEastAsia" w:hAnsiTheme="minorEastAsia"/>
                <w:szCs w:val="21"/>
              </w:rPr>
              <w:t>。</w:t>
            </w:r>
          </w:p>
          <w:p>
            <w:pPr>
              <w:widowControl/>
              <w:jc w:val="left"/>
              <w:rPr>
                <w:rFonts w:ascii="宋体" w:hAnsi="宋体" w:eastAsia="宋体" w:cs="宋体"/>
                <w:kern w:val="0"/>
                <w:szCs w:val="21"/>
              </w:rPr>
            </w:pPr>
            <w:r>
              <w:rPr>
                <w:rFonts w:hint="eastAsia" w:ascii="宋体" w:hAnsi="宋体" w:eastAsia="宋体" w:cs="宋体"/>
                <w:kern w:val="0"/>
                <w:szCs w:val="21"/>
              </w:rPr>
              <w:t>2、新节点软硬件的安装部署、集群的调试、以及所需的各类耗材，必须满足项目的需求。</w:t>
            </w:r>
          </w:p>
          <w:p>
            <w:pPr>
              <w:widowControl/>
              <w:jc w:val="left"/>
              <w:rPr>
                <w:rFonts w:ascii="宋体" w:hAnsi="宋体" w:eastAsia="宋体" w:cs="宋体"/>
                <w:kern w:val="0"/>
                <w:szCs w:val="21"/>
              </w:rPr>
            </w:pPr>
            <w:r>
              <w:rPr>
                <w:rFonts w:hint="eastAsia" w:ascii="宋体" w:hAnsi="宋体" w:eastAsia="宋体" w:cs="宋体"/>
                <w:kern w:val="0"/>
                <w:szCs w:val="21"/>
              </w:rPr>
              <w:t>3、由于警务云平台承载全市各类重要的业务系统，因此在安装调试过程中，必须保证平台的畅通和稳定，绝不允许出现业务中断或者数据丢失等事故的发生，且施工调试完成后，需提供云平台系统的整体测试报告和数据一致性校验报告。</w:t>
            </w:r>
          </w:p>
          <w:p>
            <w:pPr>
              <w:widowControl/>
              <w:jc w:val="left"/>
              <w:rPr>
                <w:rFonts w:ascii="宋体" w:hAnsi="宋体" w:eastAsia="宋体" w:cs="宋体"/>
                <w:kern w:val="0"/>
                <w:szCs w:val="21"/>
              </w:rPr>
            </w:pPr>
            <w:r>
              <w:rPr>
                <w:rFonts w:hint="eastAsia" w:ascii="宋体" w:hAnsi="宋体" w:eastAsia="宋体" w:cs="宋体"/>
                <w:kern w:val="0"/>
                <w:szCs w:val="21"/>
              </w:rPr>
              <w:t>4、须提供原厂的安装部署和集群调试服务。</w:t>
            </w:r>
          </w:p>
        </w:tc>
        <w:tc>
          <w:tcPr>
            <w:tcW w:w="568"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42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113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否</w:t>
            </w:r>
          </w:p>
        </w:tc>
      </w:tr>
    </w:tbl>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lang w:bidi="ar"/>
        </w:rPr>
        <w:t>2、B包采购清单</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948"/>
        <w:gridCol w:w="5365"/>
        <w:gridCol w:w="436"/>
        <w:gridCol w:w="436"/>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blHeader/>
        </w:trPr>
        <w:tc>
          <w:tcPr>
            <w:tcW w:w="437" w:type="dxa"/>
            <w:vAlign w:val="center"/>
          </w:tcPr>
          <w:p>
            <w:pPr>
              <w:widowControl/>
              <w:jc w:val="center"/>
              <w:rPr>
                <w:rFonts w:ascii="宋体" w:hAnsi="宋体" w:eastAsia="宋体" w:cs="宋体"/>
                <w:kern w:val="0"/>
                <w:sz w:val="22"/>
              </w:rPr>
            </w:pPr>
            <w:r>
              <w:rPr>
                <w:rFonts w:hint="eastAsia" w:ascii="宋体" w:hAnsi="宋体" w:eastAsia="宋体" w:cs="宋体"/>
                <w:kern w:val="0"/>
                <w:sz w:val="22"/>
              </w:rPr>
              <w:t>序号</w:t>
            </w:r>
          </w:p>
        </w:tc>
        <w:tc>
          <w:tcPr>
            <w:tcW w:w="948"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名称</w:t>
            </w:r>
          </w:p>
        </w:tc>
        <w:tc>
          <w:tcPr>
            <w:tcW w:w="5365"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Cs w:val="21"/>
              </w:rPr>
              <w:t>技术规格及主要参数</w:t>
            </w:r>
          </w:p>
        </w:tc>
        <w:tc>
          <w:tcPr>
            <w:tcW w:w="43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数</w:t>
            </w:r>
          </w:p>
          <w:p>
            <w:pPr>
              <w:widowControl/>
              <w:jc w:val="center"/>
              <w:rPr>
                <w:rFonts w:ascii="宋体" w:hAnsi="宋体" w:eastAsia="宋体" w:cs="宋体"/>
                <w:kern w:val="0"/>
                <w:sz w:val="22"/>
              </w:rPr>
            </w:pPr>
            <w:r>
              <w:rPr>
                <w:rFonts w:hint="eastAsia" w:ascii="宋体" w:hAnsi="宋体" w:eastAsia="宋体" w:cs="宋体"/>
                <w:kern w:val="0"/>
                <w:sz w:val="22"/>
              </w:rPr>
              <w:t>量</w:t>
            </w:r>
          </w:p>
        </w:tc>
        <w:tc>
          <w:tcPr>
            <w:tcW w:w="436" w:type="dxa"/>
            <w:vAlign w:val="center"/>
          </w:tcPr>
          <w:p>
            <w:pPr>
              <w:widowControl/>
              <w:jc w:val="center"/>
              <w:rPr>
                <w:rFonts w:ascii="宋体" w:hAnsi="宋体" w:eastAsia="宋体" w:cs="宋体"/>
                <w:kern w:val="0"/>
                <w:sz w:val="22"/>
              </w:rPr>
            </w:pPr>
            <w:r>
              <w:rPr>
                <w:rFonts w:hint="eastAsia" w:ascii="宋体" w:hAnsi="宋体" w:eastAsia="宋体" w:cs="宋体"/>
                <w:kern w:val="0"/>
                <w:sz w:val="22"/>
              </w:rPr>
              <w:t>单位</w:t>
            </w:r>
          </w:p>
        </w:tc>
        <w:tc>
          <w:tcPr>
            <w:tcW w:w="90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是否核心产品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437" w:type="dxa"/>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948"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核心交换机主机</w:t>
            </w:r>
          </w:p>
        </w:tc>
        <w:tc>
          <w:tcPr>
            <w:tcW w:w="5365"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高端槽位式核心交换机，采用CLOS交换架构，采用无背板/无中板设计；具有独立的交换网板，控制引擎和交换网板硬件相互独立；采用正交网板设计，业务板卡与交换网板采用完全90°正交设计，跨线卡业务流量通过正交连接器直接上交换网板，背板走线降低为零，规避信号衰减；支持高密40GE和100GE以太网端口，满足未来发展需求；</w:t>
            </w:r>
            <w:r>
              <w:rPr>
                <w:rFonts w:hint="eastAsia" w:ascii="宋体" w:hAnsi="宋体" w:eastAsia="宋体" w:cs="宋体"/>
                <w:kern w:val="0"/>
                <w:sz w:val="22"/>
              </w:rPr>
              <w:br w:type="textWrapping"/>
            </w:r>
            <w:r>
              <w:rPr>
                <w:rFonts w:hint="eastAsia" w:ascii="宋体" w:hAnsi="宋体" w:eastAsia="宋体" w:cs="宋体"/>
                <w:kern w:val="0"/>
                <w:sz w:val="22"/>
              </w:rPr>
              <w:t>交换容量≥516Tbps，包转发率≥230000Mpps；主控槽位≥2个，业务槽位≥8个，独立交换网板槽位≥6个，电源槽位≥8个；独立风扇框≥2个，且前后通风居中设计，更有利于散热；</w:t>
            </w:r>
            <w:r>
              <w:rPr>
                <w:rFonts w:hint="eastAsia" w:ascii="宋体" w:hAnsi="宋体" w:eastAsia="宋体" w:cs="宋体"/>
                <w:kern w:val="0"/>
                <w:sz w:val="22"/>
              </w:rPr>
              <w:br w:type="textWrapping"/>
            </w:r>
            <w:r>
              <w:rPr>
                <w:rFonts w:hint="eastAsia" w:ascii="宋体" w:hAnsi="宋体" w:eastAsia="宋体" w:cs="宋体"/>
                <w:kern w:val="0"/>
                <w:sz w:val="22"/>
              </w:rPr>
              <w:t>支持多业务板卡，支持独立的硬件防火墙/入侵防御/上网行为管理/负载均衡等；支持N:1虚拟化，可将N（N≥4）台物理设备虚拟成一台逻辑设备；支持1:N（N≥16）虚拟化功能，可将一台物理设备虚拟成多台逻辑设备；支持纵向虚拟化；支持FCoE、EVB、TRILL等数据中心技术；支持SDN，支持VXLAN；支持静态路由、RIP、OSPF、IS-IS、BGP4等；</w:t>
            </w:r>
          </w:p>
          <w:p>
            <w:pPr>
              <w:widowControl/>
              <w:jc w:val="left"/>
              <w:rPr>
                <w:rFonts w:ascii="宋体" w:hAnsi="宋体" w:eastAsia="宋体" w:cs="宋体"/>
                <w:kern w:val="0"/>
                <w:sz w:val="22"/>
              </w:rPr>
            </w:pPr>
            <w:r>
              <w:rPr>
                <w:rFonts w:hint="eastAsia" w:ascii="宋体" w:hAnsi="宋体" w:eastAsia="宋体" w:cs="宋体"/>
                <w:kern w:val="0"/>
                <w:sz w:val="22"/>
              </w:rPr>
              <w:t>配置主机箱1台，配置双主控，6块独立交换网板，4个2400W交流电源模块，2个风扇模块，2根40G QSFP+ to 40G QSFP+10m 堆叠线缆，安装滑道附件-适合500mm~800mm机柜，配置VXLAN、MPLS、IPv6、横向虚拟化、纵向虚拟化等功能，配置高端产品现场软硬件技术支持服务。</w:t>
            </w:r>
            <w:r>
              <w:rPr>
                <w:rFonts w:ascii="宋体" w:hAnsi="宋体" w:eastAsia="宋体" w:cs="宋体"/>
                <w:kern w:val="0"/>
                <w:sz w:val="22"/>
              </w:rPr>
              <w:t xml:space="preserve"> </w:t>
            </w:r>
          </w:p>
        </w:tc>
        <w:tc>
          <w:tcPr>
            <w:tcW w:w="43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436" w:type="dxa"/>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90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437" w:type="dxa"/>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948"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千兆电口业务板卡</w:t>
            </w:r>
          </w:p>
        </w:tc>
        <w:tc>
          <w:tcPr>
            <w:tcW w:w="5365"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48端口千兆电口以太网接口模块(RJ45)</w:t>
            </w:r>
          </w:p>
        </w:tc>
        <w:tc>
          <w:tcPr>
            <w:tcW w:w="43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436" w:type="dxa"/>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90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437" w:type="dxa"/>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948"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万兆光口业务板卡</w:t>
            </w:r>
          </w:p>
        </w:tc>
        <w:tc>
          <w:tcPr>
            <w:tcW w:w="5365"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48端口万兆以太网光接口模块(SFP+,LC)</w:t>
            </w:r>
          </w:p>
        </w:tc>
        <w:tc>
          <w:tcPr>
            <w:tcW w:w="43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436" w:type="dxa"/>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90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437" w:type="dxa"/>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948"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40G光口业务板卡</w:t>
            </w:r>
          </w:p>
        </w:tc>
        <w:tc>
          <w:tcPr>
            <w:tcW w:w="5365"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12端口40G以太网光接口模块(QSFP+)</w:t>
            </w:r>
          </w:p>
        </w:tc>
        <w:tc>
          <w:tcPr>
            <w:tcW w:w="43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436" w:type="dxa"/>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90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437" w:type="dxa"/>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948"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单模光模块</w:t>
            </w:r>
          </w:p>
        </w:tc>
        <w:tc>
          <w:tcPr>
            <w:tcW w:w="5365"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SFP+ 万兆模块(1310nm,10km,LC)</w:t>
            </w:r>
          </w:p>
        </w:tc>
        <w:tc>
          <w:tcPr>
            <w:tcW w:w="43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60</w:t>
            </w:r>
          </w:p>
        </w:tc>
        <w:tc>
          <w:tcPr>
            <w:tcW w:w="436" w:type="dxa"/>
            <w:vAlign w:val="center"/>
          </w:tcPr>
          <w:p>
            <w:pPr>
              <w:widowControl/>
              <w:jc w:val="center"/>
              <w:rPr>
                <w:rFonts w:ascii="宋体" w:hAnsi="宋体" w:eastAsia="宋体" w:cs="宋体"/>
                <w:kern w:val="0"/>
                <w:sz w:val="22"/>
              </w:rPr>
            </w:pPr>
            <w:r>
              <w:rPr>
                <w:rFonts w:hint="eastAsia" w:ascii="宋体" w:hAnsi="宋体" w:eastAsia="宋体" w:cs="宋体"/>
                <w:kern w:val="0"/>
                <w:sz w:val="22"/>
              </w:rPr>
              <w:t>个</w:t>
            </w:r>
          </w:p>
        </w:tc>
        <w:tc>
          <w:tcPr>
            <w:tcW w:w="90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437" w:type="dxa"/>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948"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多模光模块</w:t>
            </w:r>
          </w:p>
        </w:tc>
        <w:tc>
          <w:tcPr>
            <w:tcW w:w="5365"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SFP+ 万兆模块(850nm,300m,LC)</w:t>
            </w:r>
          </w:p>
        </w:tc>
        <w:tc>
          <w:tcPr>
            <w:tcW w:w="43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30</w:t>
            </w:r>
          </w:p>
        </w:tc>
        <w:tc>
          <w:tcPr>
            <w:tcW w:w="436" w:type="dxa"/>
            <w:vAlign w:val="center"/>
          </w:tcPr>
          <w:p>
            <w:pPr>
              <w:widowControl/>
              <w:jc w:val="center"/>
              <w:rPr>
                <w:rFonts w:ascii="宋体" w:hAnsi="宋体" w:eastAsia="宋体" w:cs="宋体"/>
                <w:kern w:val="0"/>
                <w:sz w:val="22"/>
              </w:rPr>
            </w:pPr>
            <w:r>
              <w:rPr>
                <w:rFonts w:hint="eastAsia" w:ascii="宋体" w:hAnsi="宋体" w:eastAsia="宋体" w:cs="宋体"/>
                <w:kern w:val="0"/>
                <w:sz w:val="22"/>
              </w:rPr>
              <w:t>个</w:t>
            </w:r>
          </w:p>
        </w:tc>
        <w:tc>
          <w:tcPr>
            <w:tcW w:w="900" w:type="dxa"/>
            <w:shd w:val="clear" w:color="auto" w:fill="auto"/>
            <w:vAlign w:val="center"/>
          </w:tcPr>
          <w:p>
            <w:pPr>
              <w:widowControl/>
              <w:jc w:val="center"/>
              <w:rPr>
                <w:rFonts w:ascii="宋体" w:hAnsi="宋体" w:eastAsia="宋体" w:cs="宋体"/>
                <w:color w:val="FF0000"/>
                <w:kern w:val="0"/>
                <w:sz w:val="22"/>
              </w:rPr>
            </w:pPr>
            <w:r>
              <w:rPr>
                <w:rFonts w:hint="eastAsia" w:ascii="宋体" w:hAnsi="宋体" w:eastAsia="宋体" w:cs="宋体"/>
                <w:kern w:val="0"/>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437" w:type="dxa"/>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948"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防火墙功能组件</w:t>
            </w:r>
          </w:p>
        </w:tc>
        <w:tc>
          <w:tcPr>
            <w:tcW w:w="5365" w:type="dxa"/>
            <w:shd w:val="clear" w:color="auto" w:fill="auto"/>
            <w:vAlign w:val="center"/>
          </w:tcPr>
          <w:p>
            <w:pPr>
              <w:widowControl/>
              <w:jc w:val="left"/>
              <w:rPr>
                <w:rFonts w:ascii="宋体" w:hAnsi="宋体" w:eastAsia="宋体" w:cs="宋体"/>
                <w:color w:val="FF0000"/>
                <w:kern w:val="0"/>
                <w:sz w:val="22"/>
              </w:rPr>
            </w:pPr>
            <w:r>
              <w:rPr>
                <w:rFonts w:ascii="宋体" w:hAnsi="宋体" w:eastAsia="宋体" w:cs="宋体"/>
                <w:kern w:val="0"/>
                <w:sz w:val="22"/>
              </w:rPr>
              <w:t>防火前</w:t>
            </w:r>
            <w:r>
              <w:rPr>
                <w:rFonts w:hint="eastAsia" w:ascii="宋体" w:hAnsi="宋体" w:eastAsia="宋体" w:cs="宋体"/>
                <w:kern w:val="0"/>
                <w:sz w:val="22"/>
              </w:rPr>
              <w:t>墙业务板卡：</w:t>
            </w:r>
            <w:r>
              <w:rPr>
                <w:rFonts w:ascii="宋体" w:hAnsi="宋体" w:eastAsia="宋体" w:cs="宋体"/>
                <w:kern w:val="0"/>
                <w:sz w:val="22"/>
              </w:rPr>
              <w:t>防火墙业务板支持N:1虚拟化技术，支持跨设备的双机热备；支持1:N虚拟化技术，可实现CPU、内存、存储等硬件资源划分的完全虚拟化，可在设备上划分多个逻辑的虚拟防火墙，虚拟系统与实际物理系统特性一致，并且可以基于虚拟系统进行吞吐、并发、新建、策略等性能分配；要求防火墙插卡吞吐量可达100G</w:t>
            </w:r>
            <w:r>
              <w:rPr>
                <w:rFonts w:hint="eastAsia" w:ascii="宋体" w:hAnsi="宋体" w:eastAsia="宋体" w:cs="宋体"/>
                <w:kern w:val="0"/>
                <w:sz w:val="22"/>
              </w:rPr>
              <w:t>。</w:t>
            </w:r>
            <w:r>
              <w:rPr>
                <w:rFonts w:ascii="宋体" w:hAnsi="宋体" w:eastAsia="宋体" w:cs="宋体"/>
                <w:color w:val="FF0000"/>
                <w:kern w:val="0"/>
                <w:sz w:val="22"/>
              </w:rPr>
              <w:t xml:space="preserve"> </w:t>
            </w:r>
          </w:p>
        </w:tc>
        <w:tc>
          <w:tcPr>
            <w:tcW w:w="43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436" w:type="dxa"/>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90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3" w:hRule="atLeast"/>
        </w:trPr>
        <w:tc>
          <w:tcPr>
            <w:tcW w:w="437" w:type="dxa"/>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948"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负载均衡功能组件</w:t>
            </w:r>
          </w:p>
        </w:tc>
        <w:tc>
          <w:tcPr>
            <w:tcW w:w="5365" w:type="dxa"/>
            <w:shd w:val="clear" w:color="auto" w:fill="auto"/>
            <w:vAlign w:val="center"/>
          </w:tcPr>
          <w:p>
            <w:pPr>
              <w:spacing w:before="100" w:beforeAutospacing="1" w:after="100" w:afterAutospacing="1"/>
              <w:rPr>
                <w:rFonts w:ascii="Helvetica" w:hAnsi="Helvetica" w:eastAsia="宋体" w:cs="宋体"/>
                <w:color w:val="000000"/>
                <w:kern w:val="0"/>
                <w:szCs w:val="21"/>
              </w:rPr>
            </w:pPr>
            <w:r>
              <w:rPr>
                <w:rFonts w:hint="eastAsia" w:ascii="宋体" w:hAnsi="宋体" w:eastAsia="宋体" w:cs="宋体"/>
                <w:kern w:val="0"/>
                <w:sz w:val="22"/>
              </w:rPr>
              <w:t>负载均衡业务组件：支持出站、入站链路负载均衡，结合内置的IP地址库进行出、入站流量的智能调度，实现基于不同运营商、链路健康度、链路带宽大小等多要素的链路负载均衡；支持TCP的连接复用功能，使用连接池技术，可以将前端大量的用户的HTTP请求复用到后端与服务器建立的少量的TCP长连接上，减小服务器的性能负载，减小与服务器之间新建TCP连接所带来的延时，并最大限度减少后端服务器的并发连接数，降低服务器的资源占用；</w:t>
            </w:r>
          </w:p>
        </w:tc>
        <w:tc>
          <w:tcPr>
            <w:tcW w:w="43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436" w:type="dxa"/>
            <w:vAlign w:val="center"/>
          </w:tcPr>
          <w:p>
            <w:pPr>
              <w:widowControl/>
              <w:jc w:val="center"/>
              <w:rPr>
                <w:rFonts w:ascii="宋体" w:hAnsi="宋体" w:eastAsia="宋体" w:cs="宋体"/>
                <w:kern w:val="0"/>
                <w:sz w:val="22"/>
              </w:rPr>
            </w:pPr>
            <w:r>
              <w:rPr>
                <w:rFonts w:hint="eastAsia" w:ascii="宋体" w:hAnsi="宋体" w:eastAsia="宋体" w:cs="宋体"/>
                <w:kern w:val="0"/>
                <w:sz w:val="22"/>
              </w:rPr>
              <w:t>套</w:t>
            </w:r>
          </w:p>
        </w:tc>
        <w:tc>
          <w:tcPr>
            <w:tcW w:w="90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437" w:type="dxa"/>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948"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网络管理系统软件</w:t>
            </w:r>
          </w:p>
        </w:tc>
        <w:tc>
          <w:tcPr>
            <w:tcW w:w="5365"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具有自主知识产权，基于B/S架构的综合性管理平台，采用模块化功能架构设计理念，涵盖设备管理、终端准入管理、应用程序管理、报表管理等多个功能，所有功能均集成在一个统一的平台上，能够通过统一的管理页面针对全网资源进行全面管控，满足统一运维管理的需要；支持IP拓扑、二层拓扑、邻居拓扑、网络拓扑视图（支持网络区域的任意划分、命名、拖拽、折叠和展开）、业务拓扑、STP拓扑、MSTP拓扑等多种拓扑类型；支持对全网设备告警的实时监控和统一浏览；支持多种提醒方式，如告警实时提醒（告警板）、告警音响提示；支持多种转发方式，比如转E-mail，转短信，转上级网管或其它网管等；支持实现网络IP地址自动扫描、统计、分配和管理，同时允许用户手工分配和管理IP地址，以达到更加灵活的分配管理。结合IP地址段的管理功能，将整个网络的IP，划入各个不同的IP地址段，分别进行管理，并给出详细直观的IP分配情况统计图表，使管理员能清楚的了解和掌握整个网络的IP使用情况；支持通过扫描器扫描并上报终端信息功能、按区域管理终端功能、扫描器定时启动扫描任务功能、管理员对新发现终端进行审批功能、管理员对非法终端进行审批功能、管理员批量导入导出终端信息功能、终端信息变更审计日志功能等。能够主动感知网络设备、终端接入网络，并对接入网络的网络设备、终端进行精准识别，识别信息包括：网络设备、终端的IP、MAC、厂商信息，型号，操作系统、在线状态、合规状态、所属区域等；能够按区域位置识别，扫描并发现指定区域内的所有在线终端及网络设备；支持扫描并发现指定IP地址段内的所有在线终端设备；支持自定义终端指纹、支持终端指纹导入、导出、手工增加（包括DHCP指纹）及更新。支持对IP地址的图形化管理，统一展示某IP地址对应设备、终端的详细信息（在线状态，合规状态，终端及设备类型，厂商，操作系统，接入位置，责任人等）。</w:t>
            </w:r>
            <w:r>
              <w:rPr>
                <w:rFonts w:hint="eastAsia" w:ascii="宋体" w:hAnsi="宋体" w:eastAsia="宋体" w:cs="宋体"/>
                <w:kern w:val="0"/>
                <w:sz w:val="22"/>
              </w:rPr>
              <w:br w:type="textWrapping"/>
            </w:r>
            <w:r>
              <w:rPr>
                <w:rFonts w:hint="eastAsia" w:ascii="宋体" w:hAnsi="宋体" w:eastAsia="宋体" w:cs="宋体"/>
                <w:kern w:val="0"/>
                <w:sz w:val="22"/>
              </w:rPr>
              <w:t>配置网络管理系统基础平台1套。</w:t>
            </w:r>
          </w:p>
          <w:p>
            <w:pPr>
              <w:widowControl/>
              <w:jc w:val="left"/>
              <w:rPr>
                <w:rFonts w:ascii="宋体" w:hAnsi="宋体" w:eastAsia="宋体" w:cs="宋体"/>
                <w:kern w:val="0"/>
                <w:sz w:val="22"/>
              </w:rPr>
            </w:pPr>
            <w:r>
              <w:rPr>
                <w:rFonts w:hint="eastAsia" w:ascii="宋体" w:hAnsi="宋体" w:eastAsia="宋体" w:cs="宋体"/>
                <w:kern w:val="0"/>
                <w:sz w:val="22"/>
              </w:rPr>
              <w:t>配置不少于100个节点授权许可。</w:t>
            </w:r>
          </w:p>
          <w:p>
            <w:pPr>
              <w:widowControl/>
              <w:jc w:val="left"/>
              <w:rPr>
                <w:rFonts w:ascii="宋体" w:hAnsi="宋体" w:eastAsia="宋体" w:cs="宋体"/>
                <w:kern w:val="0"/>
                <w:sz w:val="22"/>
              </w:rPr>
            </w:pPr>
            <w:r>
              <w:rPr>
                <w:rFonts w:hint="eastAsia" w:ascii="宋体" w:hAnsi="宋体" w:eastAsia="宋体" w:cs="宋体"/>
                <w:kern w:val="0"/>
                <w:sz w:val="22"/>
              </w:rPr>
              <w:t>配置不少于3000个终端探测管理功能许可。</w:t>
            </w:r>
          </w:p>
        </w:tc>
        <w:tc>
          <w:tcPr>
            <w:tcW w:w="43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436" w:type="dxa"/>
            <w:vAlign w:val="center"/>
          </w:tcPr>
          <w:p>
            <w:pPr>
              <w:widowControl/>
              <w:jc w:val="center"/>
              <w:rPr>
                <w:rFonts w:ascii="宋体" w:hAnsi="宋体" w:eastAsia="宋体" w:cs="宋体"/>
                <w:kern w:val="0"/>
                <w:sz w:val="22"/>
              </w:rPr>
            </w:pPr>
            <w:r>
              <w:rPr>
                <w:rFonts w:hint="eastAsia" w:ascii="宋体" w:hAnsi="宋体" w:eastAsia="宋体" w:cs="宋体"/>
                <w:kern w:val="0"/>
                <w:sz w:val="22"/>
              </w:rPr>
              <w:t>套</w:t>
            </w:r>
          </w:p>
        </w:tc>
        <w:tc>
          <w:tcPr>
            <w:tcW w:w="90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437" w:type="dxa"/>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948" w:type="dxa"/>
            <w:shd w:val="clear" w:color="auto" w:fill="auto"/>
            <w:vAlign w:val="center"/>
          </w:tcPr>
          <w:p>
            <w:pPr>
              <w:widowControl/>
              <w:jc w:val="center"/>
              <w:rPr>
                <w:rFonts w:ascii="宋体" w:hAnsi="宋体" w:eastAsia="宋体" w:cs="宋体"/>
                <w:kern w:val="0"/>
                <w:sz w:val="22"/>
              </w:rPr>
            </w:pPr>
            <w:r>
              <w:rPr>
                <w:rFonts w:ascii="宋体" w:hAnsi="宋体" w:eastAsia="宋体" w:cs="宋体"/>
                <w:kern w:val="0"/>
                <w:sz w:val="22"/>
              </w:rPr>
              <w:t>网络迁移服务</w:t>
            </w:r>
          </w:p>
        </w:tc>
        <w:tc>
          <w:tcPr>
            <w:tcW w:w="5365" w:type="dxa"/>
            <w:shd w:val="clear" w:color="auto" w:fill="auto"/>
            <w:vAlign w:val="center"/>
          </w:tcPr>
          <w:p>
            <w:pPr>
              <w:widowControl/>
              <w:jc w:val="left"/>
              <w:rPr>
                <w:rFonts w:ascii="宋体" w:hAnsi="宋体" w:eastAsia="宋体" w:cs="宋体"/>
                <w:kern w:val="0"/>
                <w:sz w:val="22"/>
              </w:rPr>
            </w:pPr>
            <w:r>
              <w:rPr>
                <w:rFonts w:ascii="宋体" w:hAnsi="宋体" w:eastAsia="宋体" w:cs="宋体"/>
                <w:kern w:val="0"/>
                <w:sz w:val="22"/>
              </w:rPr>
              <w:t>核心交换机上联省公安厅二级网</w:t>
            </w:r>
            <w:r>
              <w:rPr>
                <w:rFonts w:hint="eastAsia" w:ascii="宋体" w:hAnsi="宋体" w:eastAsia="宋体" w:cs="宋体"/>
                <w:kern w:val="0"/>
                <w:sz w:val="22"/>
              </w:rPr>
              <w:t>，</w:t>
            </w:r>
            <w:r>
              <w:rPr>
                <w:rFonts w:ascii="宋体" w:hAnsi="宋体" w:eastAsia="宋体" w:cs="宋体"/>
                <w:kern w:val="0"/>
                <w:sz w:val="22"/>
              </w:rPr>
              <w:t>下联各县市</w:t>
            </w:r>
            <w:r>
              <w:rPr>
                <w:rFonts w:hint="eastAsia" w:ascii="宋体" w:hAnsi="宋体" w:eastAsia="宋体" w:cs="宋体"/>
                <w:kern w:val="0"/>
                <w:sz w:val="22"/>
              </w:rPr>
              <w:t>、分局、</w:t>
            </w:r>
            <w:r>
              <w:rPr>
                <w:rFonts w:ascii="宋体" w:hAnsi="宋体" w:eastAsia="宋体" w:cs="宋体"/>
                <w:kern w:val="0"/>
                <w:sz w:val="22"/>
              </w:rPr>
              <w:t>科所队三级网和接入网</w:t>
            </w:r>
            <w:r>
              <w:rPr>
                <w:rFonts w:hint="eastAsia" w:ascii="宋体" w:hAnsi="宋体" w:eastAsia="宋体" w:cs="宋体"/>
                <w:kern w:val="0"/>
                <w:sz w:val="22"/>
              </w:rPr>
              <w:t>。网络迁移时，须合理规划迁移方案，二级网、三级网、接入网不能发生中断。2台旧交换机的安全运输、设备清洁，以及分别重新入网安装配置服务，须合理规划入网方案，确保核心公安网、警务云中心公安网、视频专网不能发生中断。</w:t>
            </w:r>
          </w:p>
        </w:tc>
        <w:tc>
          <w:tcPr>
            <w:tcW w:w="43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436" w:type="dxa"/>
            <w:vAlign w:val="center"/>
          </w:tcPr>
          <w:p>
            <w:pPr>
              <w:widowControl/>
              <w:jc w:val="center"/>
              <w:rPr>
                <w:rFonts w:ascii="宋体" w:hAnsi="宋体" w:eastAsia="宋体" w:cs="宋体"/>
                <w:kern w:val="0"/>
                <w:sz w:val="22"/>
              </w:rPr>
            </w:pPr>
            <w:r>
              <w:rPr>
                <w:rFonts w:ascii="宋体" w:hAnsi="宋体" w:eastAsia="宋体" w:cs="宋体"/>
                <w:kern w:val="0"/>
                <w:sz w:val="22"/>
              </w:rPr>
              <w:t>套</w:t>
            </w:r>
          </w:p>
        </w:tc>
        <w:tc>
          <w:tcPr>
            <w:tcW w:w="90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437" w:type="dxa"/>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948"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系统集成服务</w:t>
            </w:r>
          </w:p>
        </w:tc>
        <w:tc>
          <w:tcPr>
            <w:tcW w:w="5365"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1、核心交换机系统软硬件安装、部署、调试。</w:t>
            </w:r>
          </w:p>
          <w:p>
            <w:pPr>
              <w:widowControl/>
              <w:jc w:val="left"/>
              <w:rPr>
                <w:rFonts w:ascii="宋体" w:hAnsi="宋体" w:eastAsia="宋体" w:cs="宋体"/>
                <w:kern w:val="0"/>
                <w:sz w:val="22"/>
              </w:rPr>
            </w:pPr>
            <w:r>
              <w:rPr>
                <w:rFonts w:hint="eastAsia" w:ascii="宋体" w:hAnsi="宋体" w:eastAsia="宋体" w:cs="宋体"/>
                <w:kern w:val="0"/>
                <w:sz w:val="22"/>
              </w:rPr>
              <w:t>2、相关耗材：网线、跳纤、PDU、扎带、电源、工具、人工费用等。</w:t>
            </w:r>
          </w:p>
          <w:p>
            <w:pPr>
              <w:widowControl/>
              <w:jc w:val="left"/>
              <w:rPr>
                <w:rFonts w:ascii="宋体" w:hAnsi="宋体" w:eastAsia="宋体" w:cs="宋体"/>
                <w:kern w:val="0"/>
                <w:sz w:val="22"/>
              </w:rPr>
            </w:pPr>
            <w:r>
              <w:rPr>
                <w:rFonts w:hint="eastAsia" w:ascii="宋体" w:hAnsi="宋体" w:eastAsia="宋体" w:cs="宋体"/>
                <w:kern w:val="0"/>
                <w:sz w:val="22"/>
              </w:rPr>
              <w:t>3、其它必须耗材和服务，必须满足该项目实际需求。</w:t>
            </w:r>
          </w:p>
        </w:tc>
        <w:tc>
          <w:tcPr>
            <w:tcW w:w="43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436" w:type="dxa"/>
            <w:vAlign w:val="center"/>
          </w:tcPr>
          <w:p>
            <w:pPr>
              <w:widowControl/>
              <w:jc w:val="center"/>
              <w:rPr>
                <w:rFonts w:ascii="宋体" w:hAnsi="宋体" w:eastAsia="宋体" w:cs="宋体"/>
                <w:kern w:val="0"/>
                <w:sz w:val="22"/>
              </w:rPr>
            </w:pPr>
            <w:r>
              <w:rPr>
                <w:rFonts w:ascii="宋体" w:hAnsi="宋体" w:eastAsia="宋体" w:cs="宋体"/>
                <w:kern w:val="0"/>
                <w:sz w:val="22"/>
              </w:rPr>
              <w:t>套</w:t>
            </w:r>
          </w:p>
        </w:tc>
        <w:tc>
          <w:tcPr>
            <w:tcW w:w="90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否</w:t>
            </w:r>
          </w:p>
        </w:tc>
      </w:tr>
    </w:tbl>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lang w:bidi="ar"/>
        </w:rPr>
        <w:t>3、C包采购清单</w:t>
      </w:r>
    </w:p>
    <w:tbl>
      <w:tblPr>
        <w:tblStyle w:val="7"/>
        <w:tblW w:w="8522" w:type="dxa"/>
        <w:tblInd w:w="0" w:type="dxa"/>
        <w:tblLayout w:type="fixed"/>
        <w:tblCellMar>
          <w:top w:w="0" w:type="dxa"/>
          <w:left w:w="108" w:type="dxa"/>
          <w:bottom w:w="0" w:type="dxa"/>
          <w:right w:w="108" w:type="dxa"/>
        </w:tblCellMar>
      </w:tblPr>
      <w:tblGrid>
        <w:gridCol w:w="389"/>
        <w:gridCol w:w="421"/>
        <w:gridCol w:w="5962"/>
        <w:gridCol w:w="424"/>
        <w:gridCol w:w="424"/>
        <w:gridCol w:w="902"/>
      </w:tblGrid>
      <w:tr>
        <w:tblPrEx>
          <w:tblLayout w:type="fixed"/>
          <w:tblCellMar>
            <w:top w:w="0" w:type="dxa"/>
            <w:left w:w="108" w:type="dxa"/>
            <w:bottom w:w="0" w:type="dxa"/>
            <w:right w:w="108" w:type="dxa"/>
          </w:tblCellMar>
        </w:tblPrEx>
        <w:trPr>
          <w:trHeight w:val="315" w:hRule="atLeast"/>
          <w:tblHeader/>
        </w:trPr>
        <w:tc>
          <w:tcPr>
            <w:tcW w:w="3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序号</w:t>
            </w:r>
          </w:p>
        </w:tc>
        <w:tc>
          <w:tcPr>
            <w:tcW w:w="4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名称</w:t>
            </w:r>
          </w:p>
        </w:tc>
        <w:tc>
          <w:tcPr>
            <w:tcW w:w="59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Cs w:val="21"/>
              </w:rPr>
              <w:t>技术规格及主要参数</w:t>
            </w:r>
          </w:p>
        </w:tc>
        <w:tc>
          <w:tcPr>
            <w:tcW w:w="4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数量</w:t>
            </w:r>
          </w:p>
        </w:tc>
        <w:tc>
          <w:tcPr>
            <w:tcW w:w="42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单位</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是否为核心产品</w:t>
            </w:r>
          </w:p>
        </w:tc>
      </w:tr>
      <w:tr>
        <w:tblPrEx>
          <w:tblLayout w:type="fixed"/>
          <w:tblCellMar>
            <w:top w:w="0" w:type="dxa"/>
            <w:left w:w="108" w:type="dxa"/>
            <w:bottom w:w="0" w:type="dxa"/>
            <w:right w:w="108" w:type="dxa"/>
          </w:tblCellMar>
        </w:tblPrEx>
        <w:trPr>
          <w:trHeight w:val="3780" w:hRule="atLeast"/>
        </w:trPr>
        <w:tc>
          <w:tcPr>
            <w:tcW w:w="3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4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基础数据库服务器</w:t>
            </w:r>
          </w:p>
        </w:tc>
        <w:tc>
          <w:tcPr>
            <w:tcW w:w="5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olor w:val="FF0000"/>
                <w:kern w:val="0"/>
                <w:szCs w:val="21"/>
              </w:rPr>
            </w:pPr>
            <w:r>
              <w:rPr>
                <w:rFonts w:hint="eastAsia" w:ascii="宋体" w:hAnsi="宋体" w:eastAsia="宋体"/>
                <w:color w:val="000000"/>
                <w:kern w:val="0"/>
                <w:szCs w:val="21"/>
              </w:rPr>
              <w:t>4U机架式服务器，配置4个CPU槽位，48个内存槽位，配置4个2.5寸热插拔硬盘槽位，最大支持25个2.5寸热插拔硬盘槽位；配置阵列卡，带2G缓存(带掉电保护)，支持raid 0，1，5，6；配置1块4端口GE电接口MLOM网卡，配置2块2端口16Gb光纤通道HBA卡(带两个SFP+ 模块)，2块2端口万兆低延时光接口网卡(SFP+)（含4个万兆多模模块及配套光纤）.</w:t>
            </w:r>
          </w:p>
          <w:p>
            <w:pPr>
              <w:widowControl/>
              <w:jc w:val="left"/>
              <w:rPr>
                <w:rFonts w:ascii="宋体" w:hAnsi="宋体" w:eastAsia="宋体"/>
                <w:color w:val="000000"/>
                <w:kern w:val="0"/>
                <w:szCs w:val="21"/>
              </w:rPr>
            </w:pPr>
            <w:r>
              <w:rPr>
                <w:rFonts w:hint="eastAsia" w:ascii="宋体" w:hAnsi="宋体" w:eastAsia="宋体"/>
                <w:color w:val="000000"/>
                <w:kern w:val="0"/>
                <w:szCs w:val="21"/>
              </w:rPr>
              <w:t>配置4块</w:t>
            </w:r>
            <w:r>
              <w:rPr>
                <w:rFonts w:hint="eastAsia" w:ascii="宋体" w:hAnsi="宋体" w:eastAsia="宋体"/>
                <w:szCs w:val="21"/>
              </w:rPr>
              <w:t>≥</w:t>
            </w:r>
            <w:r>
              <w:rPr>
                <w:rFonts w:hint="eastAsia" w:ascii="宋体" w:hAnsi="宋体" w:eastAsia="宋体"/>
                <w:color w:val="000000"/>
                <w:kern w:val="0"/>
                <w:szCs w:val="21"/>
              </w:rPr>
              <w:t xml:space="preserve">1500W电源模块，4U安全面板、4U滚珠滑轨、机箱抬手； </w:t>
            </w:r>
          </w:p>
          <w:p>
            <w:pPr>
              <w:widowControl/>
              <w:jc w:val="left"/>
              <w:rPr>
                <w:rFonts w:ascii="宋体" w:hAnsi="宋体" w:eastAsia="宋体"/>
                <w:color w:val="000000"/>
                <w:kern w:val="0"/>
                <w:szCs w:val="21"/>
              </w:rPr>
            </w:pPr>
            <w:r>
              <w:rPr>
                <w:rFonts w:hint="eastAsia" w:ascii="宋体" w:hAnsi="宋体" w:eastAsia="宋体"/>
                <w:color w:val="000000"/>
                <w:kern w:val="0"/>
                <w:szCs w:val="21"/>
              </w:rPr>
              <w:t>配置4颗Intel Xeon-Gold 5118(2.3GHz/12核/16.5MB/105W) CPU模块；</w:t>
            </w:r>
          </w:p>
          <w:p>
            <w:pPr>
              <w:widowControl/>
              <w:jc w:val="left"/>
              <w:rPr>
                <w:rFonts w:ascii="宋体" w:hAnsi="宋体" w:eastAsia="宋体"/>
                <w:color w:val="000000"/>
                <w:kern w:val="0"/>
                <w:szCs w:val="21"/>
              </w:rPr>
            </w:pPr>
            <w:r>
              <w:rPr>
                <w:rFonts w:hint="eastAsia" w:ascii="宋体" w:hAnsi="宋体" w:eastAsia="宋体"/>
                <w:color w:val="000000"/>
                <w:kern w:val="0"/>
                <w:szCs w:val="21"/>
              </w:rPr>
              <w:t>配置12根32GB 2Rx4 DDR4-2666P-R内存模块；</w:t>
            </w:r>
          </w:p>
          <w:p>
            <w:pPr>
              <w:widowControl/>
              <w:jc w:val="left"/>
              <w:rPr>
                <w:rFonts w:ascii="宋体" w:hAnsi="宋体" w:eastAsia="宋体"/>
                <w:color w:val="000000"/>
                <w:kern w:val="0"/>
                <w:szCs w:val="21"/>
              </w:rPr>
            </w:pPr>
            <w:r>
              <w:rPr>
                <w:rFonts w:hint="eastAsia" w:ascii="宋体" w:hAnsi="宋体" w:eastAsia="宋体"/>
                <w:color w:val="000000"/>
                <w:kern w:val="0"/>
                <w:szCs w:val="21"/>
              </w:rPr>
              <w:t>配置3块600GB 12G SAS 10K 2.5in硬盘；</w:t>
            </w:r>
          </w:p>
        </w:tc>
        <w:tc>
          <w:tcPr>
            <w:tcW w:w="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424" w:type="dxa"/>
            <w:tcBorders>
              <w:top w:val="single" w:color="auto" w:sz="4" w:space="0"/>
              <w:left w:val="nil"/>
              <w:bottom w:val="single" w:color="auto" w:sz="4" w:space="0"/>
              <w:right w:val="single" w:color="auto" w:sz="4" w:space="0"/>
            </w:tcBorders>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9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是</w:t>
            </w:r>
          </w:p>
        </w:tc>
      </w:tr>
      <w:tr>
        <w:tblPrEx>
          <w:tblLayout w:type="fixed"/>
          <w:tblCellMar>
            <w:top w:w="0" w:type="dxa"/>
            <w:left w:w="108" w:type="dxa"/>
            <w:bottom w:w="0" w:type="dxa"/>
            <w:right w:w="108" w:type="dxa"/>
          </w:tblCellMar>
        </w:tblPrEx>
        <w:trPr>
          <w:trHeight w:val="401" w:hRule="atLeast"/>
        </w:trPr>
        <w:tc>
          <w:tcPr>
            <w:tcW w:w="3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4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基础数据库存储系统</w:t>
            </w:r>
          </w:p>
        </w:tc>
        <w:tc>
          <w:tcPr>
            <w:tcW w:w="5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国产品牌高端存储设备，≥24U，配置≥4个控制器，可扩展至16个控制器；控制器之间采用PCI-E或Infiniband对等高速总线的全网状互连；</w:t>
            </w:r>
          </w:p>
          <w:p>
            <w:pPr>
              <w:widowControl/>
              <w:jc w:val="left"/>
              <w:rPr>
                <w:rFonts w:ascii="宋体" w:hAnsi="宋体" w:eastAsia="宋体" w:cs="宋体"/>
                <w:color w:val="FF0000"/>
                <w:kern w:val="0"/>
                <w:szCs w:val="21"/>
              </w:rPr>
            </w:pPr>
            <w:r>
              <w:rPr>
                <w:rFonts w:hint="eastAsia" w:ascii="宋体" w:hAnsi="宋体" w:eastAsia="宋体" w:cs="宋体"/>
                <w:kern w:val="0"/>
                <w:szCs w:val="21"/>
              </w:rPr>
              <w:t>每个控制器引擎配置CPU总核数≥16核，每核≥2.0GHz；每个控制器引擎架构相同且处理能力均衡，对于单一LUN，多个控制器可以并行读写；</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每个控制器为完全物理独立的控制器引擎。</w:t>
            </w:r>
          </w:p>
          <w:p>
            <w:pPr>
              <w:widowControl/>
              <w:jc w:val="left"/>
              <w:rPr>
                <w:rFonts w:ascii="宋体" w:hAnsi="宋体" w:eastAsia="宋体" w:cs="宋体"/>
                <w:kern w:val="0"/>
                <w:szCs w:val="21"/>
              </w:rPr>
            </w:pPr>
            <w:r>
              <w:rPr>
                <w:rFonts w:hint="eastAsia" w:ascii="宋体" w:hAnsi="宋体" w:eastAsia="宋体" w:cs="宋体"/>
                <w:kern w:val="0"/>
                <w:szCs w:val="21"/>
              </w:rPr>
              <w:t>配置高速缓存（非SSD扩展缓存）≥1024GB， 配置NAS接口4*10Gbps；后端配置32*12Gbps SAS接口；配置NAS不限容量许可，配置</w:t>
            </w:r>
            <w:r>
              <w:rPr>
                <w:rFonts w:hint="eastAsia" w:cs="宋体"/>
                <w:kern w:val="0"/>
                <w:szCs w:val="21"/>
              </w:rPr>
              <w:t>无限</w:t>
            </w:r>
            <w:r>
              <w:rPr>
                <w:rFonts w:cs="宋体"/>
                <w:kern w:val="0"/>
                <w:szCs w:val="21"/>
              </w:rPr>
              <w:t>容量的</w:t>
            </w:r>
            <w:r>
              <w:rPr>
                <w:rFonts w:hint="eastAsia" w:ascii="宋体" w:hAnsi="宋体" w:eastAsia="宋体" w:cs="宋体"/>
                <w:kern w:val="0"/>
                <w:szCs w:val="21"/>
              </w:rPr>
              <w:t>快照、</w:t>
            </w:r>
            <w:r>
              <w:rPr>
                <w:rFonts w:hint="eastAsia" w:cs="宋体"/>
                <w:kern w:val="0"/>
                <w:szCs w:val="21"/>
              </w:rPr>
              <w:t>无限</w:t>
            </w:r>
            <w:r>
              <w:rPr>
                <w:rFonts w:cs="宋体"/>
                <w:kern w:val="0"/>
                <w:szCs w:val="21"/>
              </w:rPr>
              <w:t>容量的</w:t>
            </w:r>
            <w:r>
              <w:rPr>
                <w:rFonts w:hint="eastAsia" w:ascii="宋体" w:hAnsi="宋体" w:eastAsia="宋体" w:cs="宋体"/>
                <w:kern w:val="0"/>
                <w:szCs w:val="21"/>
              </w:rPr>
              <w:t>精简配置、</w:t>
            </w:r>
            <w:r>
              <w:rPr>
                <w:rFonts w:hint="eastAsia" w:cs="宋体"/>
                <w:kern w:val="0"/>
                <w:szCs w:val="21"/>
              </w:rPr>
              <w:t>无限</w:t>
            </w:r>
            <w:r>
              <w:rPr>
                <w:rFonts w:cs="宋体"/>
                <w:kern w:val="0"/>
                <w:szCs w:val="21"/>
              </w:rPr>
              <w:t>容量的</w:t>
            </w:r>
            <w:r>
              <w:rPr>
                <w:rFonts w:hint="eastAsia" w:ascii="宋体" w:hAnsi="宋体" w:eastAsia="宋体" w:cs="宋体"/>
                <w:kern w:val="0"/>
                <w:szCs w:val="21"/>
              </w:rPr>
              <w:t>重复数据删除、</w:t>
            </w:r>
            <w:r>
              <w:rPr>
                <w:rFonts w:hint="eastAsia" w:cs="宋体"/>
                <w:kern w:val="0"/>
                <w:szCs w:val="21"/>
              </w:rPr>
              <w:t>无限</w:t>
            </w:r>
            <w:r>
              <w:rPr>
                <w:rFonts w:cs="宋体"/>
                <w:kern w:val="0"/>
                <w:szCs w:val="21"/>
              </w:rPr>
              <w:t>容量的</w:t>
            </w:r>
            <w:r>
              <w:rPr>
                <w:rFonts w:hint="eastAsia" w:ascii="宋体" w:hAnsi="宋体" w:eastAsia="宋体" w:cs="宋体"/>
                <w:kern w:val="0"/>
                <w:szCs w:val="21"/>
              </w:rPr>
              <w:t>数据压缩、多租户自动分层软件许可；</w:t>
            </w:r>
          </w:p>
          <w:p>
            <w:pPr>
              <w:widowControl/>
              <w:jc w:val="left"/>
              <w:rPr>
                <w:rFonts w:cs="宋体"/>
                <w:color w:val="FF0000"/>
                <w:kern w:val="0"/>
                <w:szCs w:val="21"/>
              </w:rPr>
            </w:pPr>
            <w:r>
              <w:rPr>
                <w:rFonts w:hint="eastAsia" w:ascii="宋体" w:hAnsi="宋体" w:eastAsia="宋体" w:cs="宋体"/>
                <w:color w:val="000000" w:themeColor="text1"/>
                <w:kern w:val="0"/>
                <w:szCs w:val="21"/>
                <w14:textFill>
                  <w14:solidFill>
                    <w14:schemeClr w14:val="tx1"/>
                  </w14:solidFill>
                </w14:textFill>
              </w:rPr>
              <w:t>支持RAID1，5，6，01，10，50，60等；</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支持AIX、HP-UX、Solaris、Windows、Linux等操作系统，VMware，CAS，Citrix，Hyper-V等虚拟平台； </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支持Oracle ASM自动回收未使用存储空间,</w:t>
            </w:r>
            <w:r>
              <w:rPr>
                <w:rFonts w:ascii="宋体" w:hAnsi="宋体" w:eastAsia="宋体" w:cs="宋体"/>
                <w:color w:val="000000" w:themeColor="text1"/>
                <w:kern w:val="0"/>
                <w:szCs w:val="21"/>
                <w14:textFill>
                  <w14:solidFill>
                    <w14:schemeClr w14:val="tx1"/>
                  </w14:solidFill>
                </w14:textFill>
              </w:rPr>
              <w:t>借助存储精简持续软件和Oracle ASM存储回收实用程序 (ASRU)， Oracle数据库可自动回收闲置数据库空间，始终保持精简</w:t>
            </w:r>
            <w:r>
              <w:rPr>
                <w:rFonts w:hint="eastAsia" w:ascii="宋体" w:hAnsi="宋体" w:eastAsia="宋体" w:cs="宋体"/>
                <w:color w:val="000000" w:themeColor="text1"/>
                <w:kern w:val="0"/>
                <w:szCs w:val="21"/>
                <w14:textFill>
                  <w14:solidFill>
                    <w14:schemeClr w14:val="tx1"/>
                  </w14:solidFill>
                </w14:textFill>
              </w:rPr>
              <w:t>；</w:t>
            </w:r>
            <w:r>
              <w:rPr>
                <w:rFonts w:ascii="宋体" w:hAnsi="宋体" w:eastAsia="宋体" w:cs="宋体"/>
                <w:color w:val="000000" w:themeColor="text1"/>
                <w:kern w:val="0"/>
                <w:szCs w:val="21"/>
                <w14:textFill>
                  <w14:solidFill>
                    <w14:schemeClr w14:val="tx1"/>
                  </w14:solidFill>
                </w14:textFill>
              </w:rPr>
              <w:t xml:space="preserve"> </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kern w:val="0"/>
                <w:szCs w:val="21"/>
              </w:rPr>
              <w:t>配置4个</w:t>
            </w:r>
            <w:r>
              <w:rPr>
                <w:rFonts w:hint="eastAsia" w:ascii="宋体" w:hAnsi="宋体" w:eastAsia="宋体"/>
                <w:szCs w:val="21"/>
              </w:rPr>
              <w:t>≥</w:t>
            </w:r>
            <w:r>
              <w:rPr>
                <w:rFonts w:hint="eastAsia" w:ascii="宋体" w:hAnsi="宋体" w:eastAsia="宋体" w:cs="宋体"/>
                <w:kern w:val="0"/>
                <w:szCs w:val="21"/>
              </w:rPr>
              <w:t>24盘位2.5寸硬盘笼；</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配置48块1.8T 10K SFF SAS硬盘；</w:t>
            </w:r>
          </w:p>
          <w:p>
            <w:pPr>
              <w:widowControl/>
              <w:jc w:val="left"/>
              <w:rPr>
                <w:rFonts w:ascii="宋体" w:hAnsi="宋体" w:eastAsia="宋体" w:cs="宋体"/>
                <w:strike/>
                <w:color w:val="FF0000"/>
                <w:kern w:val="0"/>
                <w:szCs w:val="21"/>
              </w:rPr>
            </w:pPr>
            <w:r>
              <w:rPr>
                <w:rFonts w:hint="eastAsia" w:ascii="宋体" w:hAnsi="宋体" w:eastAsia="宋体" w:cs="宋体"/>
                <w:color w:val="000000" w:themeColor="text1"/>
                <w:kern w:val="0"/>
                <w:szCs w:val="21"/>
                <w14:textFill>
                  <w14:solidFill>
                    <w14:schemeClr w14:val="tx1"/>
                  </w14:solidFill>
                </w14:textFill>
              </w:rPr>
              <w:t>配置12块1.92TB SSD硬盘</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配置4块4端口16Gbps FC HBA卡(含模块与配套线缆)</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42U标准机柜安装；提供5年7*24的原厂专业免费服务；</w:t>
            </w:r>
            <w:r>
              <w:rPr>
                <w:rFonts w:ascii="宋体" w:hAnsi="宋体" w:eastAsia="宋体" w:cs="宋体"/>
                <w:kern w:val="0"/>
                <w:sz w:val="22"/>
              </w:rPr>
              <w:t xml:space="preserve"> </w:t>
            </w:r>
          </w:p>
        </w:tc>
        <w:tc>
          <w:tcPr>
            <w:tcW w:w="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424" w:type="dxa"/>
            <w:tcBorders>
              <w:top w:val="single" w:color="auto" w:sz="4" w:space="0"/>
              <w:left w:val="nil"/>
              <w:bottom w:val="single" w:color="auto" w:sz="4" w:space="0"/>
              <w:right w:val="single" w:color="auto" w:sz="4" w:space="0"/>
            </w:tcBorders>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9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是</w:t>
            </w:r>
          </w:p>
        </w:tc>
      </w:tr>
      <w:tr>
        <w:tblPrEx>
          <w:tblLayout w:type="fixed"/>
          <w:tblCellMar>
            <w:top w:w="0" w:type="dxa"/>
            <w:left w:w="108" w:type="dxa"/>
            <w:bottom w:w="0" w:type="dxa"/>
            <w:right w:w="108" w:type="dxa"/>
          </w:tblCellMar>
        </w:tblPrEx>
        <w:trPr>
          <w:trHeight w:val="810" w:hRule="atLeast"/>
        </w:trPr>
        <w:tc>
          <w:tcPr>
            <w:tcW w:w="3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4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光纤交换机</w:t>
            </w:r>
          </w:p>
        </w:tc>
        <w:tc>
          <w:tcPr>
            <w:tcW w:w="5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24口SAN交换机，24个16Gb 端口，激活24个端口,配置24个16Gb SFP+模块和配套线缆，交流电源，含级联License服务：</w:t>
            </w:r>
            <w:r>
              <w:rPr>
                <w:rFonts w:ascii="宋体" w:hAnsi="宋体" w:eastAsia="宋体" w:cs="宋体"/>
                <w:kern w:val="0"/>
                <w:sz w:val="22"/>
              </w:rPr>
              <w:t xml:space="preserve"> </w:t>
            </w:r>
          </w:p>
        </w:tc>
        <w:tc>
          <w:tcPr>
            <w:tcW w:w="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424" w:type="dxa"/>
            <w:tcBorders>
              <w:top w:val="single" w:color="auto" w:sz="4" w:space="0"/>
              <w:left w:val="nil"/>
              <w:bottom w:val="single" w:color="auto" w:sz="4" w:space="0"/>
              <w:right w:val="single" w:color="auto" w:sz="4" w:space="0"/>
            </w:tcBorders>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9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是</w:t>
            </w:r>
          </w:p>
        </w:tc>
      </w:tr>
      <w:tr>
        <w:tblPrEx>
          <w:tblLayout w:type="fixed"/>
          <w:tblCellMar>
            <w:top w:w="0" w:type="dxa"/>
            <w:left w:w="108" w:type="dxa"/>
            <w:bottom w:w="0" w:type="dxa"/>
            <w:right w:w="108" w:type="dxa"/>
          </w:tblCellMar>
        </w:tblPrEx>
        <w:trPr>
          <w:trHeight w:val="315" w:hRule="atLeast"/>
        </w:trPr>
        <w:tc>
          <w:tcPr>
            <w:tcW w:w="3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4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数据库汇聚交换机</w:t>
            </w:r>
          </w:p>
        </w:tc>
        <w:tc>
          <w:tcPr>
            <w:tcW w:w="5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Cs w:val="21"/>
              </w:rPr>
            </w:pPr>
            <w:r>
              <w:rPr>
                <w:rFonts w:hint="eastAsia" w:ascii="宋体" w:hAnsi="宋体" w:eastAsia="宋体"/>
                <w:szCs w:val="21"/>
              </w:rPr>
              <w:t>槽位式以太网交换机，交换容量≥25Tbps，包转发率≥6000Mpps；支持40GE和100GE以太网标准，可插拔接口模块扩展卡的槽位数≥2个，可插拔风扇模块槽位数≥2个，可插拔电源模块槽位数≥2个；支持扩展万兆以太网光接口、万兆以太网电接口、40G以太网光接口、100G以太网光接口、防火墙业务板等；</w:t>
            </w:r>
          </w:p>
          <w:p>
            <w:pPr>
              <w:widowControl/>
              <w:jc w:val="left"/>
              <w:rPr>
                <w:rFonts w:ascii="宋体" w:hAnsi="宋体" w:eastAsia="宋体"/>
                <w:szCs w:val="21"/>
              </w:rPr>
            </w:pPr>
            <w:r>
              <w:rPr>
                <w:rFonts w:hint="eastAsia" w:ascii="宋体" w:hAnsi="宋体" w:eastAsia="宋体"/>
                <w:szCs w:val="21"/>
              </w:rPr>
              <w:t>支持横向虚拟化、纵向虚拟化、FCoE、EVB、TRILL、VXLAN等数据中心技术，支持MPLS L3VPN，支持MPLS L2VPN，支持静态路由、RIP、OSPF、IS-IS、BGP4等。</w:t>
            </w:r>
          </w:p>
          <w:p>
            <w:pPr>
              <w:widowControl/>
              <w:jc w:val="left"/>
              <w:rPr>
                <w:rFonts w:ascii="宋体" w:hAnsi="宋体" w:eastAsia="宋体" w:cs="宋体"/>
                <w:b/>
                <w:kern w:val="0"/>
                <w:sz w:val="22"/>
              </w:rPr>
            </w:pPr>
            <w:r>
              <w:rPr>
                <w:rFonts w:hint="eastAsia" w:ascii="宋体" w:hAnsi="宋体" w:eastAsia="宋体"/>
                <w:szCs w:val="21"/>
              </w:rPr>
              <w:t>配置双电源，双风扇，配置24个万兆以太网光接口(SFP+,LC)，4个40G以太网光接口(QSFP+)，24个SFP+万兆多模模块，一根40G QSFP+ 3m电缆(含模块)，配置VXLAN、MPLS、IPv6、横向虚拟化、纵向虚拟化等功能授权。</w:t>
            </w:r>
          </w:p>
        </w:tc>
        <w:tc>
          <w:tcPr>
            <w:tcW w:w="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424" w:type="dxa"/>
            <w:tcBorders>
              <w:top w:val="single" w:color="auto" w:sz="4" w:space="0"/>
              <w:left w:val="nil"/>
              <w:bottom w:val="single" w:color="auto" w:sz="4" w:space="0"/>
              <w:right w:val="single" w:color="auto" w:sz="4" w:space="0"/>
            </w:tcBorders>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9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是</w:t>
            </w:r>
          </w:p>
        </w:tc>
      </w:tr>
      <w:tr>
        <w:tblPrEx>
          <w:tblLayout w:type="fixed"/>
          <w:tblCellMar>
            <w:top w:w="0" w:type="dxa"/>
            <w:left w:w="108" w:type="dxa"/>
            <w:bottom w:w="0" w:type="dxa"/>
            <w:right w:w="108" w:type="dxa"/>
          </w:tblCellMar>
        </w:tblPrEx>
        <w:trPr>
          <w:trHeight w:val="315" w:hRule="atLeast"/>
        </w:trPr>
        <w:tc>
          <w:tcPr>
            <w:tcW w:w="3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4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身份证解码服务器</w:t>
            </w:r>
          </w:p>
        </w:tc>
        <w:tc>
          <w:tcPr>
            <w:tcW w:w="5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Cs w:val="21"/>
              </w:rPr>
            </w:pPr>
            <w:r>
              <w:rPr>
                <w:rFonts w:hint="eastAsia" w:ascii="宋体" w:hAnsi="宋体" w:eastAsia="宋体"/>
                <w:szCs w:val="21"/>
              </w:rPr>
              <w:t>1.设备支持读取二代身份证和护照内的身份信息功能，并能验证身份证和护照的真伪。</w:t>
            </w:r>
          </w:p>
          <w:p>
            <w:pPr>
              <w:widowControl/>
              <w:jc w:val="left"/>
              <w:rPr>
                <w:rFonts w:ascii="宋体" w:hAnsi="宋体" w:eastAsia="宋体"/>
                <w:szCs w:val="21"/>
              </w:rPr>
            </w:pPr>
            <w:r>
              <w:rPr>
                <w:rFonts w:hint="eastAsia" w:ascii="宋体" w:hAnsi="宋体" w:eastAsia="宋体"/>
                <w:szCs w:val="21"/>
              </w:rPr>
              <w:t>2.配套提供SDK开发包，供移动警务应用系统调用二代身份证、护照识别接口。</w:t>
            </w:r>
          </w:p>
          <w:p>
            <w:pPr>
              <w:widowControl/>
              <w:jc w:val="left"/>
              <w:rPr>
                <w:rFonts w:ascii="宋体" w:hAnsi="宋体" w:eastAsia="宋体"/>
                <w:szCs w:val="21"/>
              </w:rPr>
            </w:pPr>
            <w:r>
              <w:rPr>
                <w:rFonts w:hint="eastAsia" w:ascii="宋体" w:hAnsi="宋体" w:eastAsia="宋体"/>
                <w:szCs w:val="21"/>
              </w:rPr>
              <w:t>3.可支持蓝牙、OTG、NFC等多种方式，读取身份信息，用于开发测试。</w:t>
            </w:r>
          </w:p>
          <w:p>
            <w:pPr>
              <w:widowControl/>
              <w:jc w:val="left"/>
              <w:rPr>
                <w:rFonts w:ascii="宋体" w:hAnsi="宋体" w:eastAsia="宋体"/>
                <w:szCs w:val="21"/>
              </w:rPr>
            </w:pPr>
            <w:r>
              <w:rPr>
                <w:rFonts w:hint="eastAsia" w:ascii="宋体" w:hAnsi="宋体" w:eastAsia="宋体"/>
                <w:szCs w:val="21"/>
              </w:rPr>
              <w:t>4.要求系统能够准确解析二代身份证、护照的所有信息，完整返回所有解析结果。</w:t>
            </w:r>
          </w:p>
          <w:p>
            <w:pPr>
              <w:widowControl/>
              <w:jc w:val="left"/>
              <w:rPr>
                <w:rFonts w:ascii="宋体" w:hAnsi="宋体" w:eastAsia="宋体"/>
                <w:szCs w:val="21"/>
              </w:rPr>
            </w:pPr>
            <w:r>
              <w:rPr>
                <w:rFonts w:hint="eastAsia" w:ascii="宋体" w:hAnsi="宋体" w:eastAsia="宋体"/>
                <w:szCs w:val="21"/>
              </w:rPr>
              <w:t>5.每个解码模块应具备恢复能力，运行中出现软件问题可自动重启恢复。</w:t>
            </w:r>
          </w:p>
          <w:p>
            <w:pPr>
              <w:widowControl/>
              <w:jc w:val="left"/>
              <w:rPr>
                <w:rFonts w:ascii="宋体" w:hAnsi="宋体" w:eastAsia="宋体"/>
                <w:szCs w:val="21"/>
              </w:rPr>
            </w:pPr>
            <w:r>
              <w:rPr>
                <w:rFonts w:hint="eastAsia" w:ascii="宋体" w:hAnsi="宋体" w:eastAsia="宋体"/>
                <w:szCs w:val="21"/>
              </w:rPr>
              <w:t>6.解码设备不配置硬盘，解码服务端不存储数据，保证公民信息不外泄。</w:t>
            </w:r>
          </w:p>
          <w:p>
            <w:pPr>
              <w:widowControl/>
              <w:jc w:val="left"/>
              <w:rPr>
                <w:rFonts w:ascii="宋体" w:hAnsi="宋体" w:eastAsia="宋体"/>
                <w:szCs w:val="21"/>
              </w:rPr>
            </w:pPr>
            <w:r>
              <w:rPr>
                <w:rFonts w:hint="eastAsia" w:ascii="宋体" w:hAnsi="宋体" w:eastAsia="宋体"/>
                <w:szCs w:val="21"/>
              </w:rPr>
              <w:t>7.系统具备平滑扩展能力，内置交换机功能，通过增加解码设备满足线性扩容要求，多台服务器间通过网线直接级联方式连接。</w:t>
            </w:r>
          </w:p>
          <w:p>
            <w:pPr>
              <w:widowControl/>
              <w:jc w:val="left"/>
              <w:rPr>
                <w:rFonts w:ascii="宋体" w:hAnsi="宋体" w:eastAsia="宋体"/>
                <w:szCs w:val="21"/>
              </w:rPr>
            </w:pPr>
            <w:r>
              <w:rPr>
                <w:rFonts w:hint="eastAsia" w:ascii="宋体" w:hAnsi="宋体" w:eastAsia="宋体"/>
                <w:szCs w:val="21"/>
              </w:rPr>
              <w:t>8.系统可对解码设备进行性能分析，通过配套管理软件直观有效监控设备运行情况和当前使用情况，并可统计使用情况。</w:t>
            </w:r>
          </w:p>
          <w:p>
            <w:pPr>
              <w:widowControl/>
              <w:jc w:val="left"/>
              <w:rPr>
                <w:rFonts w:ascii="宋体" w:hAnsi="宋体" w:eastAsia="宋体"/>
                <w:szCs w:val="21"/>
              </w:rPr>
            </w:pPr>
            <w:r>
              <w:rPr>
                <w:rFonts w:hint="eastAsia" w:ascii="宋体" w:hAnsi="宋体" w:eastAsia="宋体"/>
                <w:szCs w:val="21"/>
              </w:rPr>
              <w:t>性能参数：</w:t>
            </w:r>
          </w:p>
          <w:p>
            <w:pPr>
              <w:widowControl/>
              <w:jc w:val="left"/>
              <w:rPr>
                <w:rFonts w:ascii="宋体" w:hAnsi="宋体" w:eastAsia="宋体"/>
                <w:szCs w:val="21"/>
              </w:rPr>
            </w:pPr>
            <w:r>
              <w:rPr>
                <w:rFonts w:hint="eastAsia" w:ascii="宋体" w:hAnsi="宋体" w:eastAsia="宋体"/>
                <w:szCs w:val="21"/>
              </w:rPr>
              <w:t>1.单台需配置独立的12个解码安全模块，每个模块由独立的MCU控制运行，单个模块故障不影响其他模块正常运行，不能使用计算机主板和操作系统。</w:t>
            </w:r>
          </w:p>
          <w:p>
            <w:pPr>
              <w:widowControl/>
              <w:jc w:val="left"/>
              <w:rPr>
                <w:rFonts w:ascii="宋体" w:hAnsi="宋体" w:eastAsia="宋体"/>
                <w:szCs w:val="21"/>
              </w:rPr>
            </w:pPr>
            <w:r>
              <w:rPr>
                <w:rFonts w:hint="eastAsia" w:ascii="宋体" w:hAnsi="宋体" w:eastAsia="宋体"/>
                <w:szCs w:val="21"/>
              </w:rPr>
              <w:t>2.设备≤3U标准机箱。</w:t>
            </w:r>
          </w:p>
          <w:p>
            <w:pPr>
              <w:widowControl/>
              <w:jc w:val="left"/>
              <w:rPr>
                <w:rFonts w:ascii="宋体" w:hAnsi="宋体" w:eastAsia="宋体"/>
                <w:szCs w:val="21"/>
              </w:rPr>
            </w:pPr>
            <w:r>
              <w:rPr>
                <w:rFonts w:hint="eastAsia" w:ascii="宋体" w:hAnsi="宋体" w:eastAsia="宋体"/>
                <w:szCs w:val="21"/>
              </w:rPr>
              <w:t>3.外部LAN接口2个。</w:t>
            </w:r>
          </w:p>
          <w:p>
            <w:pPr>
              <w:widowControl/>
              <w:jc w:val="left"/>
              <w:rPr>
                <w:rFonts w:ascii="宋体" w:hAnsi="宋体" w:eastAsia="宋体"/>
                <w:szCs w:val="21"/>
              </w:rPr>
            </w:pPr>
            <w:r>
              <w:rPr>
                <w:rFonts w:ascii="宋体" w:hAnsi="宋体" w:eastAsia="宋体"/>
                <w:szCs w:val="21"/>
              </w:rPr>
              <w:t>4</w:t>
            </w:r>
            <w:r>
              <w:rPr>
                <w:rFonts w:hint="eastAsia" w:ascii="宋体" w:hAnsi="宋体" w:eastAsia="宋体"/>
                <w:szCs w:val="21"/>
              </w:rPr>
              <w:t>.设备面板上有状态指示灯，能够显示每个模块的工作状态。</w:t>
            </w:r>
          </w:p>
          <w:p>
            <w:pPr>
              <w:widowControl/>
              <w:jc w:val="left"/>
              <w:rPr>
                <w:rFonts w:ascii="宋体" w:hAnsi="宋体" w:eastAsia="宋体"/>
                <w:szCs w:val="21"/>
              </w:rPr>
            </w:pPr>
            <w:r>
              <w:rPr>
                <w:rFonts w:hint="eastAsia" w:ascii="宋体" w:hAnsi="宋体" w:eastAsia="宋体"/>
                <w:szCs w:val="21"/>
              </w:rPr>
              <w:t>5.双电源。</w:t>
            </w:r>
          </w:p>
          <w:p>
            <w:pPr>
              <w:widowControl/>
              <w:jc w:val="left"/>
              <w:rPr>
                <w:rFonts w:ascii="宋体" w:hAnsi="宋体" w:eastAsia="宋体"/>
                <w:szCs w:val="21"/>
              </w:rPr>
            </w:pPr>
            <w:r>
              <w:rPr>
                <w:rFonts w:hint="eastAsia" w:ascii="宋体" w:hAnsi="宋体" w:eastAsia="宋体"/>
                <w:szCs w:val="21"/>
              </w:rPr>
              <w:t>6.自动温度控制，当温度达到一定值时会启动散热风扇对机箱温度进行散热，机箱温度正常时风扇停止工作。</w:t>
            </w:r>
          </w:p>
          <w:p>
            <w:pPr>
              <w:widowControl/>
              <w:jc w:val="left"/>
              <w:rPr>
                <w:rFonts w:ascii="宋体" w:hAnsi="宋体" w:eastAsia="宋体"/>
                <w:b/>
                <w:szCs w:val="21"/>
              </w:rPr>
            </w:pPr>
            <w:r>
              <w:rPr>
                <w:rFonts w:hint="eastAsia" w:ascii="宋体" w:hAnsi="宋体" w:eastAsia="宋体"/>
                <w:szCs w:val="21"/>
              </w:rPr>
              <w:t>7.多台解码服务器之间可以通过网线直接级联扩容，对外提供统一服务。</w:t>
            </w:r>
          </w:p>
        </w:tc>
        <w:tc>
          <w:tcPr>
            <w:tcW w:w="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424" w:type="dxa"/>
            <w:tcBorders>
              <w:top w:val="single" w:color="auto" w:sz="4" w:space="0"/>
              <w:left w:val="nil"/>
              <w:bottom w:val="single" w:color="auto" w:sz="4" w:space="0"/>
              <w:right w:val="single" w:color="auto" w:sz="4" w:space="0"/>
            </w:tcBorders>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9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否</w:t>
            </w:r>
          </w:p>
        </w:tc>
      </w:tr>
      <w:tr>
        <w:tblPrEx>
          <w:tblLayout w:type="fixed"/>
          <w:tblCellMar>
            <w:top w:w="0" w:type="dxa"/>
            <w:left w:w="108" w:type="dxa"/>
            <w:bottom w:w="0" w:type="dxa"/>
            <w:right w:w="108" w:type="dxa"/>
          </w:tblCellMar>
        </w:tblPrEx>
        <w:trPr>
          <w:trHeight w:val="315" w:hRule="atLeast"/>
        </w:trPr>
        <w:tc>
          <w:tcPr>
            <w:tcW w:w="3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4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数据库迁移服务</w:t>
            </w:r>
          </w:p>
        </w:tc>
        <w:tc>
          <w:tcPr>
            <w:tcW w:w="5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Cs w:val="21"/>
              </w:rPr>
            </w:pPr>
            <w:r>
              <w:rPr>
                <w:rFonts w:hint="eastAsia" w:ascii="宋体" w:hAnsi="宋体" w:eastAsia="宋体"/>
                <w:szCs w:val="21"/>
              </w:rPr>
              <w:t>将现有生产数据库的数据迁移至本次购置的新数据库系统上，具体要求如下：</w:t>
            </w:r>
          </w:p>
          <w:p>
            <w:pPr>
              <w:widowControl/>
              <w:jc w:val="left"/>
              <w:rPr>
                <w:rFonts w:ascii="宋体" w:hAnsi="宋体" w:eastAsia="宋体"/>
                <w:szCs w:val="21"/>
              </w:rPr>
            </w:pPr>
            <w:r>
              <w:rPr>
                <w:rFonts w:hint="eastAsia" w:ascii="宋体" w:hAnsi="宋体" w:eastAsia="宋体"/>
                <w:szCs w:val="21"/>
              </w:rPr>
              <w:t>1、需迁移的生产数据库包含：常住人口系统、警务综合系统、打综系统、旅馆业系统、派综系统、PGIS系统、省市一体化警综系统、社区警务系统、地级资源库、地级中间库、卡口系统、电子签章系统、交管6合1系统、交管科目一考试系统、交管缉查布控系统、交管异地缴费代收系统、指挥中心接处警系统、网上警局系统、装备管理系统、工资系统、大数据平台生产库、情报库等重要的业务生产系统。</w:t>
            </w:r>
          </w:p>
          <w:p>
            <w:pPr>
              <w:widowControl/>
              <w:jc w:val="left"/>
              <w:rPr>
                <w:rFonts w:ascii="宋体" w:hAnsi="宋体" w:eastAsia="宋体"/>
                <w:szCs w:val="21"/>
              </w:rPr>
            </w:pPr>
            <w:r>
              <w:rPr>
                <w:rFonts w:hint="eastAsia" w:ascii="宋体" w:hAnsi="宋体" w:eastAsia="宋体"/>
                <w:szCs w:val="21"/>
              </w:rPr>
              <w:t>2、安装部署新的数据库系统：根据用户需求，安装64位LINUX操作系统，部署ORACLE 11G或其他版本的数据库系统、正确配置数据库实例、配置RAC双机集群系统、合理划分LUN、规划存储空间、 配置FC-SAN光纤交换机、配置数据库、配置公安业务网，须保证部署的新数据库系统整体运行稳定、安全可靠。</w:t>
            </w:r>
          </w:p>
          <w:p>
            <w:pPr>
              <w:widowControl/>
              <w:jc w:val="left"/>
              <w:rPr>
                <w:rFonts w:ascii="宋体" w:hAnsi="宋体" w:eastAsia="宋体"/>
                <w:szCs w:val="21"/>
              </w:rPr>
            </w:pPr>
            <w:r>
              <w:rPr>
                <w:rFonts w:hint="eastAsia" w:ascii="宋体" w:hAnsi="宋体" w:eastAsia="宋体"/>
                <w:szCs w:val="21"/>
              </w:rPr>
              <w:t>3、数据迁移过程中，必须保证数据的安全性，不允许出现数据丢失、系统瘫痪、数据不一致等严重的安全事故。</w:t>
            </w:r>
          </w:p>
          <w:p>
            <w:pPr>
              <w:widowControl/>
              <w:jc w:val="left"/>
              <w:rPr>
                <w:rFonts w:ascii="宋体" w:hAnsi="宋体" w:eastAsia="宋体"/>
                <w:szCs w:val="21"/>
              </w:rPr>
            </w:pPr>
            <w:r>
              <w:rPr>
                <w:rFonts w:hint="eastAsia" w:ascii="宋体" w:hAnsi="宋体" w:eastAsia="宋体"/>
                <w:szCs w:val="21"/>
              </w:rPr>
              <w:t>4、数据迁移之前、中标人需提供完整可行的技术迁移方案，经用户组织专家论证、确认可行后方可实施。</w:t>
            </w:r>
            <w:r>
              <w:rPr>
                <w:rFonts w:ascii="宋体" w:hAnsi="宋体" w:eastAsia="宋体"/>
                <w:szCs w:val="21"/>
              </w:rPr>
              <w:t xml:space="preserve"> </w:t>
            </w:r>
          </w:p>
          <w:p>
            <w:pPr>
              <w:widowControl/>
              <w:jc w:val="left"/>
              <w:rPr>
                <w:rFonts w:ascii="宋体" w:hAnsi="宋体" w:eastAsia="宋体"/>
                <w:szCs w:val="21"/>
              </w:rPr>
            </w:pPr>
            <w:r>
              <w:rPr>
                <w:rFonts w:hint="eastAsia" w:ascii="宋体" w:hAnsi="宋体" w:eastAsia="宋体"/>
                <w:szCs w:val="21"/>
              </w:rPr>
              <w:t>5、为确保数据安全性，数据迁移之前、双方需签订安全保密协议、严禁数据丢失、数据外泄等失泄密事件发生。</w:t>
            </w:r>
          </w:p>
          <w:p>
            <w:pPr>
              <w:widowControl/>
              <w:jc w:val="left"/>
              <w:rPr>
                <w:rFonts w:ascii="宋体" w:hAnsi="宋体" w:eastAsia="宋体" w:cs="宋体"/>
                <w:kern w:val="0"/>
                <w:szCs w:val="21"/>
              </w:rPr>
            </w:pPr>
            <w:r>
              <w:rPr>
                <w:rFonts w:hint="eastAsia" w:ascii="宋体" w:hAnsi="宋体" w:eastAsia="宋体"/>
                <w:szCs w:val="21"/>
              </w:rPr>
              <w:t>6、由于本次所迁移数据为全市公安各类重要的业务生产系统数据，要求数据迁移时，业务不能发生中断，不能影响正常的公安业务。因此在数据迁移时，必须保证平台的运行稳定和数据安全，</w:t>
            </w:r>
            <w:r>
              <w:rPr>
                <w:rFonts w:hint="eastAsia" w:ascii="宋体" w:hAnsi="宋体" w:eastAsia="宋体" w:cs="宋体"/>
                <w:kern w:val="0"/>
                <w:szCs w:val="21"/>
              </w:rPr>
              <w:t>绝不允许出现业务中断或者数据丢失等事故的发生，且施工调试完成后，需提供系统的整体测试报告和数据一致性校验报告。</w:t>
            </w:r>
          </w:p>
        </w:tc>
        <w:tc>
          <w:tcPr>
            <w:tcW w:w="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424" w:type="dxa"/>
            <w:tcBorders>
              <w:top w:val="single" w:color="auto" w:sz="4" w:space="0"/>
              <w:left w:val="nil"/>
              <w:bottom w:val="single" w:color="auto" w:sz="4" w:space="0"/>
              <w:right w:val="single" w:color="auto" w:sz="4" w:space="0"/>
            </w:tcBorders>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9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否</w:t>
            </w:r>
          </w:p>
        </w:tc>
      </w:tr>
      <w:tr>
        <w:tblPrEx>
          <w:tblLayout w:type="fixed"/>
          <w:tblCellMar>
            <w:top w:w="0" w:type="dxa"/>
            <w:left w:w="108" w:type="dxa"/>
            <w:bottom w:w="0" w:type="dxa"/>
            <w:right w:w="108" w:type="dxa"/>
          </w:tblCellMar>
        </w:tblPrEx>
        <w:trPr>
          <w:trHeight w:val="315" w:hRule="atLeast"/>
        </w:trPr>
        <w:tc>
          <w:tcPr>
            <w:tcW w:w="3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4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灾备服务迁移</w:t>
            </w:r>
          </w:p>
        </w:tc>
        <w:tc>
          <w:tcPr>
            <w:tcW w:w="5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Cs w:val="21"/>
              </w:rPr>
            </w:pPr>
            <w:r>
              <w:rPr>
                <w:rFonts w:hint="eastAsia" w:ascii="宋体" w:hAnsi="宋体" w:eastAsia="宋体"/>
                <w:szCs w:val="21"/>
              </w:rPr>
              <w:t>将原有数据库系统上的容灾和备份服务，迁移至本次购置的两套数据库系统上，具体要求如下：</w:t>
            </w:r>
          </w:p>
          <w:p>
            <w:pPr>
              <w:widowControl/>
              <w:jc w:val="left"/>
              <w:rPr>
                <w:rFonts w:ascii="宋体" w:hAnsi="宋体" w:eastAsia="宋体"/>
                <w:szCs w:val="21"/>
              </w:rPr>
            </w:pPr>
            <w:r>
              <w:rPr>
                <w:rFonts w:hint="eastAsia" w:ascii="宋体" w:hAnsi="宋体" w:eastAsia="宋体"/>
                <w:szCs w:val="21"/>
              </w:rPr>
              <w:t>1、原有数据库系统为：常住人口系统、警务综合系统、打综系统、旅馆业系统、派综系统、PGIS系统、省市一体化警综系统、社区警务系统、地级资源库、地级中间库、卡口系统、电子签章系统、交管6合1系统、交管科目一考试系统、交管缉查布控系统、交管异地缴费代收系统、指挥中心接处警系统、网上警局系统、装备管理系统、工资系统、大数据平台生产库、情报库等重要的业务生产系统。</w:t>
            </w:r>
          </w:p>
          <w:p>
            <w:pPr>
              <w:widowControl/>
              <w:jc w:val="left"/>
              <w:rPr>
                <w:rFonts w:ascii="宋体" w:hAnsi="宋体" w:eastAsia="宋体" w:cs="宋体"/>
                <w:kern w:val="0"/>
                <w:sz w:val="22"/>
              </w:rPr>
            </w:pPr>
            <w:r>
              <w:rPr>
                <w:rFonts w:hint="eastAsia" w:ascii="宋体" w:hAnsi="宋体" w:eastAsia="宋体"/>
                <w:szCs w:val="21"/>
              </w:rPr>
              <w:t>2、迁移至新服务器后，灾备服务经调试后须正常运行，同时对警务异地灾备中心的灾备服务器和存储进行业务和数据一致性校验，进行模拟灾备切换测试，并出具校验和测试报告，灾备服务中断时间不得超过48小时。</w:t>
            </w:r>
          </w:p>
        </w:tc>
        <w:tc>
          <w:tcPr>
            <w:tcW w:w="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424" w:type="dxa"/>
            <w:tcBorders>
              <w:top w:val="single" w:color="auto" w:sz="4" w:space="0"/>
              <w:left w:val="nil"/>
              <w:bottom w:val="single" w:color="auto" w:sz="4" w:space="0"/>
              <w:right w:val="single" w:color="auto" w:sz="4" w:space="0"/>
            </w:tcBorders>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9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否</w:t>
            </w:r>
          </w:p>
        </w:tc>
      </w:tr>
      <w:tr>
        <w:tblPrEx>
          <w:tblLayout w:type="fixed"/>
          <w:tblCellMar>
            <w:top w:w="0" w:type="dxa"/>
            <w:left w:w="108" w:type="dxa"/>
            <w:bottom w:w="0" w:type="dxa"/>
            <w:right w:w="108" w:type="dxa"/>
          </w:tblCellMar>
        </w:tblPrEx>
        <w:trPr>
          <w:trHeight w:val="315" w:hRule="atLeast"/>
        </w:trPr>
        <w:tc>
          <w:tcPr>
            <w:tcW w:w="3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4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数据库系统驻场服务</w:t>
            </w:r>
          </w:p>
        </w:tc>
        <w:tc>
          <w:tcPr>
            <w:tcW w:w="5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签订合同后，需提供三年数据库系统驻场服务，不少于1名驻场工程师。具体要求如下：</w:t>
            </w:r>
          </w:p>
          <w:p>
            <w:pPr>
              <w:widowControl/>
              <w:jc w:val="left"/>
              <w:rPr>
                <w:rFonts w:ascii="宋体" w:hAnsi="宋体" w:eastAsia="宋体" w:cs="宋体"/>
                <w:kern w:val="0"/>
                <w:szCs w:val="21"/>
              </w:rPr>
            </w:pPr>
            <w:r>
              <w:rPr>
                <w:rFonts w:hint="eastAsia" w:ascii="宋体" w:hAnsi="宋体" w:eastAsia="宋体" w:cs="宋体"/>
                <w:kern w:val="0"/>
                <w:szCs w:val="21"/>
              </w:rPr>
              <w:t>1、驻场工程师需具备丰富的ORACLE理论知识和实战经验，参与过重要数据库系统的安装、调试、优化、故障排除、数据恢复、数据备份、灾难恢复等工作。</w:t>
            </w:r>
          </w:p>
          <w:p>
            <w:pPr>
              <w:widowControl/>
              <w:jc w:val="left"/>
              <w:rPr>
                <w:rFonts w:ascii="宋体" w:hAnsi="宋体" w:eastAsia="宋体" w:cs="宋体"/>
                <w:kern w:val="0"/>
                <w:szCs w:val="21"/>
              </w:rPr>
            </w:pPr>
            <w:r>
              <w:rPr>
                <w:rFonts w:hint="eastAsia" w:ascii="宋体" w:hAnsi="宋体" w:eastAsia="宋体" w:cs="宋体"/>
                <w:kern w:val="0"/>
                <w:szCs w:val="21"/>
              </w:rPr>
              <w:t>2、数据库维护范围：常住人口系统、警务综合系统、打综系统、旅馆业系统、派综系统、PGIS系统、省市一体化警综系统、社区警务系统、地级资源库、地级中间库、卡口系统、电子签章系统、交管6合1系统、交管科目一考试系统、交管缉查布控系统、交管异地缴费代收系统、指挥中心接处警系统、网上警局系统、装备管理系统、工资系统、大数据生产库、情报库等重要的业务生产系统。</w:t>
            </w:r>
          </w:p>
          <w:p>
            <w:pPr>
              <w:widowControl/>
              <w:jc w:val="left"/>
              <w:rPr>
                <w:rFonts w:ascii="宋体" w:hAnsi="宋体" w:eastAsia="宋体" w:cs="宋体"/>
                <w:kern w:val="0"/>
                <w:szCs w:val="21"/>
              </w:rPr>
            </w:pPr>
            <w:r>
              <w:rPr>
                <w:rFonts w:hint="eastAsia" w:ascii="宋体" w:hAnsi="宋体" w:eastAsia="宋体" w:cs="宋体"/>
                <w:kern w:val="0"/>
                <w:szCs w:val="21"/>
              </w:rPr>
              <w:t>3、驻场人员职责：以上数据库系统的安装、调试、优化、故障排除、数据恢复、数据备份、灾难恢复、应急处理、数据迁移、软硬件故障解决等工作。</w:t>
            </w:r>
          </w:p>
          <w:p>
            <w:pPr>
              <w:widowControl/>
              <w:jc w:val="left"/>
              <w:rPr>
                <w:rFonts w:ascii="宋体" w:hAnsi="宋体" w:eastAsia="宋体" w:cs="宋体"/>
                <w:kern w:val="0"/>
                <w:szCs w:val="21"/>
              </w:rPr>
            </w:pPr>
            <w:r>
              <w:rPr>
                <w:rFonts w:hint="eastAsia" w:ascii="宋体" w:hAnsi="宋体" w:eastAsia="宋体" w:cs="宋体"/>
                <w:kern w:val="0"/>
                <w:szCs w:val="21"/>
              </w:rPr>
              <w:t>4、驻场人员须每天巡检以上数据库系统，及时发现并处理故障，须保证以上数据库系统的正常高效运转，不得影响正常的公安业务。</w:t>
            </w:r>
          </w:p>
          <w:p>
            <w:pPr>
              <w:widowControl/>
              <w:jc w:val="left"/>
              <w:rPr>
                <w:rFonts w:ascii="宋体" w:hAnsi="宋体" w:eastAsia="宋体" w:cs="宋体"/>
                <w:kern w:val="0"/>
                <w:sz w:val="22"/>
              </w:rPr>
            </w:pPr>
            <w:r>
              <w:rPr>
                <w:rFonts w:hint="eastAsia" w:ascii="宋体" w:hAnsi="宋体" w:eastAsia="宋体" w:cs="宋体"/>
                <w:kern w:val="0"/>
                <w:szCs w:val="21"/>
              </w:rPr>
              <w:t>5、为了保证数据的安全，双方须签订安全保密协议，中标人（含驻场人员）不得以任何理由泄露公安工作机密，严禁复制、传播、破坏、篡改，入侵、删除任何数据和系统。</w:t>
            </w:r>
          </w:p>
        </w:tc>
        <w:tc>
          <w:tcPr>
            <w:tcW w:w="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424" w:type="dxa"/>
            <w:tcBorders>
              <w:top w:val="single" w:color="auto" w:sz="4" w:space="0"/>
              <w:left w:val="nil"/>
              <w:bottom w:val="single" w:color="auto" w:sz="4" w:space="0"/>
              <w:right w:val="single" w:color="auto" w:sz="4" w:space="0"/>
            </w:tcBorders>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年</w:t>
            </w:r>
          </w:p>
        </w:tc>
        <w:tc>
          <w:tcPr>
            <w:tcW w:w="9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否</w:t>
            </w:r>
          </w:p>
        </w:tc>
      </w:tr>
      <w:tr>
        <w:tblPrEx>
          <w:tblLayout w:type="fixed"/>
          <w:tblCellMar>
            <w:top w:w="0" w:type="dxa"/>
            <w:left w:w="108" w:type="dxa"/>
            <w:bottom w:w="0" w:type="dxa"/>
            <w:right w:w="108" w:type="dxa"/>
          </w:tblCellMar>
        </w:tblPrEx>
        <w:trPr>
          <w:trHeight w:val="315" w:hRule="atLeast"/>
        </w:trPr>
        <w:tc>
          <w:tcPr>
            <w:tcW w:w="3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4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集成实施服务</w:t>
            </w:r>
          </w:p>
        </w:tc>
        <w:tc>
          <w:tcPr>
            <w:tcW w:w="5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1、数据库系统软硬件安装、部署、调试。</w:t>
            </w:r>
          </w:p>
          <w:p>
            <w:pPr>
              <w:widowControl/>
              <w:ind w:left="315" w:hanging="315" w:hangingChars="150"/>
              <w:jc w:val="left"/>
              <w:rPr>
                <w:rFonts w:ascii="宋体" w:hAnsi="宋体" w:eastAsia="宋体" w:cs="宋体"/>
                <w:kern w:val="0"/>
                <w:szCs w:val="21"/>
              </w:rPr>
            </w:pPr>
            <w:r>
              <w:rPr>
                <w:rFonts w:hint="eastAsia" w:ascii="宋体" w:hAnsi="宋体" w:eastAsia="宋体" w:cs="宋体"/>
                <w:kern w:val="0"/>
                <w:szCs w:val="21"/>
              </w:rPr>
              <w:t>2、相关耗材：网线、跳纤、PDU、扎带、电源、工具、人工费用等。</w:t>
            </w:r>
          </w:p>
          <w:p>
            <w:pPr>
              <w:widowControl/>
              <w:jc w:val="left"/>
              <w:rPr>
                <w:rFonts w:ascii="宋体" w:hAnsi="宋体" w:eastAsia="宋体" w:cs="宋体"/>
                <w:kern w:val="0"/>
                <w:sz w:val="22"/>
              </w:rPr>
            </w:pPr>
            <w:r>
              <w:rPr>
                <w:rFonts w:hint="eastAsia" w:ascii="宋体" w:hAnsi="宋体" w:eastAsia="宋体" w:cs="宋体"/>
                <w:kern w:val="0"/>
                <w:szCs w:val="21"/>
              </w:rPr>
              <w:t>3、其它必须耗材和服务，必须满足该项目和用户实际需求。</w:t>
            </w:r>
          </w:p>
        </w:tc>
        <w:tc>
          <w:tcPr>
            <w:tcW w:w="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424" w:type="dxa"/>
            <w:tcBorders>
              <w:top w:val="single" w:color="auto" w:sz="4" w:space="0"/>
              <w:left w:val="nil"/>
              <w:bottom w:val="single" w:color="auto" w:sz="4" w:space="0"/>
              <w:right w:val="single" w:color="auto" w:sz="4" w:space="0"/>
            </w:tcBorders>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9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否</w:t>
            </w:r>
          </w:p>
        </w:tc>
      </w:tr>
    </w:tbl>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（三）验收标准</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600" w:firstLineChars="200"/>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（四）采购标的的其他技术、服务等要求：</w:t>
      </w:r>
    </w:p>
    <w:p>
      <w:pPr>
        <w:wordWrap w:val="0"/>
        <w:topLinePunct/>
        <w:snapToGrid w:val="0"/>
        <w:spacing w:line="360" w:lineRule="auto"/>
        <w:ind w:firstLine="600" w:firstLineChars="200"/>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1、投标人须明确免费保修期，同时应提出故障响应时间，在免费保修期内，同一质量问题连续两次维修仍无法正常使用（硬件产品），投标人必须予以更换同品牌、同型号的全新产品，超过保修期发生故障，用户可自由选择维修单位，如委托给投标人，投标人不得借故推诿，并且维修费不能超过市场平均价格。</w:t>
      </w:r>
    </w:p>
    <w:p>
      <w:pPr>
        <w:wordWrap w:val="0"/>
        <w:topLinePunct/>
        <w:snapToGrid w:val="0"/>
        <w:spacing w:line="360" w:lineRule="auto"/>
        <w:ind w:firstLine="600" w:firstLineChars="200"/>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2、投标人须明确维修点地址、负责人、联系人和联系电话，维修点具备什么样的维修能力等详细资料。</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3、本项目为交钥匙工程（包括设备、材料、元件等购置、安装调试、验收、与其它施工单位协作所产生的费用等）。</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lang w:bidi="ar"/>
        </w:rPr>
        <w:t>五、评标方法和评标标准</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lang w:bidi="ar"/>
        </w:rPr>
        <w:t>（一）评标方法：最低评标价法□ 综合评分法</w:t>
      </w:r>
      <w:r>
        <w:rPr>
          <w:rFonts w:hint="eastAsia" w:ascii="仿宋" w:hAnsi="仿宋" w:eastAsia="仿宋" w:cs="仿宋"/>
          <w:color w:val="000000"/>
          <w:kern w:val="0"/>
          <w:sz w:val="30"/>
          <w:szCs w:val="30"/>
          <w:shd w:val="clear" w:color="auto" w:fill="FFFFFF"/>
          <w:lang w:bidi="ar"/>
        </w:rPr>
        <w:sym w:font="Wingdings 2" w:char="F052"/>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（二）综合评分法评标标准：</w:t>
      </w:r>
    </w:p>
    <w:p>
      <w:pPr>
        <w:widowControl/>
        <w:shd w:val="clear" w:color="auto" w:fill="FFFFFF"/>
        <w:spacing w:line="360" w:lineRule="atLeast"/>
        <w:ind w:firstLine="600" w:firstLineChars="2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lang w:bidi="ar"/>
        </w:rPr>
        <w:t>A包：</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5646"/>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trPr>
        <w:tc>
          <w:tcPr>
            <w:tcW w:w="194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分值构成</w:t>
            </w:r>
          </w:p>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(总分100分)</w:t>
            </w:r>
          </w:p>
        </w:tc>
        <w:tc>
          <w:tcPr>
            <w:tcW w:w="6574"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jc w:val="center"/>
              <w:rPr>
                <w:rFonts w:ascii="宋体" w:hAnsi="宋体" w:cs="宋体"/>
                <w:color w:val="000000"/>
                <w:kern w:val="0"/>
                <w:sz w:val="24"/>
              </w:rPr>
            </w:pPr>
            <w:r>
              <w:rPr>
                <w:rFonts w:hint="eastAsia" w:ascii="宋体" w:hAnsi="宋体" w:cs="宋体"/>
                <w:color w:val="000000"/>
                <w:kern w:val="0"/>
                <w:sz w:val="24"/>
              </w:rPr>
              <w:t>价格部分：30分</w:t>
            </w:r>
          </w:p>
          <w:p>
            <w:pPr>
              <w:widowControl/>
              <w:spacing w:line="320" w:lineRule="exact"/>
              <w:ind w:firstLine="480"/>
              <w:jc w:val="center"/>
              <w:rPr>
                <w:rFonts w:ascii="宋体" w:hAnsi="宋体" w:cs="宋体"/>
                <w:color w:val="000000"/>
                <w:kern w:val="0"/>
                <w:sz w:val="24"/>
              </w:rPr>
            </w:pPr>
            <w:r>
              <w:rPr>
                <w:rFonts w:hint="eastAsia" w:ascii="宋体" w:hAnsi="宋体" w:cs="宋体"/>
                <w:color w:val="000000"/>
                <w:kern w:val="0"/>
                <w:sz w:val="24"/>
              </w:rPr>
              <w:t>商务部分：30分</w:t>
            </w:r>
          </w:p>
          <w:p>
            <w:pPr>
              <w:widowControl/>
              <w:spacing w:line="320" w:lineRule="exact"/>
              <w:ind w:firstLine="480"/>
              <w:jc w:val="center"/>
              <w:rPr>
                <w:rFonts w:ascii="宋体" w:hAnsi="宋体" w:cs="宋体"/>
                <w:color w:val="000000"/>
                <w:kern w:val="0"/>
                <w:sz w:val="24"/>
              </w:rPr>
            </w:pPr>
            <w:r>
              <w:rPr>
                <w:rFonts w:hint="eastAsia" w:ascii="宋体" w:hAnsi="宋体" w:cs="宋体"/>
                <w:color w:val="000000"/>
                <w:kern w:val="0"/>
                <w:sz w:val="24"/>
              </w:rPr>
              <w:t>技术部分：40分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b/>
                <w:bCs/>
                <w:color w:val="000000"/>
                <w:kern w:val="0"/>
                <w:sz w:val="24"/>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b/>
                <w:bCs/>
                <w:color w:val="000000"/>
                <w:kern w:val="0"/>
                <w:sz w:val="24"/>
              </w:rPr>
              <w:t>评分因素</w:t>
            </w:r>
          </w:p>
        </w:tc>
        <w:tc>
          <w:tcPr>
            <w:tcW w:w="564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b/>
                <w:bCs/>
                <w:color w:val="000000"/>
                <w:kern w:val="0"/>
                <w:sz w:val="24"/>
              </w:rPr>
              <w:t>评分标准</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b/>
                <w:bCs/>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 w:hRule="atLeast"/>
        </w:trPr>
        <w:tc>
          <w:tcPr>
            <w:tcW w:w="194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投标报价</w:t>
            </w:r>
          </w:p>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评分标准</w:t>
            </w:r>
          </w:p>
        </w:tc>
        <w:tc>
          <w:tcPr>
            <w:tcW w:w="564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kern w:val="0"/>
                <w:sz w:val="24"/>
              </w:rPr>
            </w:pPr>
            <w:r>
              <w:rPr>
                <w:rFonts w:hint="eastAsia" w:ascii="宋体" w:hAnsi="宋体" w:cs="宋体"/>
                <w:color w:val="000000"/>
                <w:kern w:val="0"/>
                <w:sz w:val="24"/>
              </w:rPr>
              <w:t>评标基准价：满足招标文件要求的有效投标报价中，最低的投标报价为评标基准价。</w:t>
            </w:r>
          </w:p>
          <w:p>
            <w:pPr>
              <w:widowControl/>
              <w:spacing w:line="320" w:lineRule="exact"/>
              <w:jc w:val="left"/>
              <w:rPr>
                <w:rFonts w:ascii="宋体" w:hAnsi="宋体" w:cs="宋体"/>
                <w:color w:val="000000"/>
                <w:kern w:val="0"/>
                <w:sz w:val="24"/>
              </w:rPr>
            </w:pPr>
            <w:r>
              <w:rPr>
                <w:rFonts w:hint="eastAsia" w:ascii="宋体" w:hAnsi="宋体" w:cs="宋体"/>
                <w:color w:val="000000"/>
                <w:kern w:val="0"/>
                <w:sz w:val="24"/>
              </w:rPr>
              <w:t>投标报价得分=（评标基准价/投标报价）×30</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仿宋"/>
                <w:color w:val="000000"/>
                <w:kern w:val="0"/>
                <w:sz w:val="24"/>
              </w:rPr>
              <w:t>30</w:t>
            </w:r>
            <w:r>
              <w:rPr>
                <w:rFonts w:hint="eastAsia" w:ascii="宋体" w:hAnsi="宋体" w:cs="宋体"/>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b/>
                <w:bCs/>
                <w:color w:val="000000"/>
                <w:kern w:val="0"/>
                <w:sz w:val="24"/>
              </w:rPr>
              <w:t>二、商务部分</w:t>
            </w:r>
            <w:r>
              <w:rPr>
                <w:rFonts w:hint="eastAsia" w:ascii="宋体" w:hAnsi="宋体" w:cs="宋体"/>
                <w:b/>
                <w:bCs/>
                <w:kern w:val="0"/>
                <w:sz w:val="24"/>
              </w:rPr>
              <w:t>（满分30分）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b/>
                <w:bCs/>
                <w:color w:val="000000"/>
                <w:kern w:val="0"/>
                <w:sz w:val="24"/>
              </w:rPr>
              <w:t>评分因素</w:t>
            </w:r>
          </w:p>
        </w:tc>
        <w:tc>
          <w:tcPr>
            <w:tcW w:w="564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b/>
                <w:bCs/>
                <w:color w:val="000000"/>
                <w:kern w:val="0"/>
                <w:sz w:val="24"/>
              </w:rPr>
              <w:t>评分标准</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b/>
                <w:bCs/>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企业实力</w:t>
            </w:r>
          </w:p>
        </w:tc>
        <w:tc>
          <w:tcPr>
            <w:tcW w:w="564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cs="宋体"/>
                <w:kern w:val="0"/>
                <w:sz w:val="24"/>
              </w:rPr>
            </w:pPr>
            <w:r>
              <w:rPr>
                <w:rFonts w:hint="eastAsia" w:ascii="宋体" w:hAnsi="宋体" w:cs="宋体"/>
                <w:kern w:val="0"/>
                <w:sz w:val="24"/>
              </w:rPr>
              <w:t>1、投标人具有信用评估机构颁发的AAA等级证书的得3分，满分3分；</w:t>
            </w:r>
          </w:p>
          <w:p>
            <w:pPr>
              <w:widowControl/>
              <w:spacing w:line="320" w:lineRule="exact"/>
              <w:rPr>
                <w:rFonts w:ascii="宋体" w:hAnsi="宋体" w:cs="宋体"/>
                <w:kern w:val="0"/>
                <w:sz w:val="24"/>
              </w:rPr>
            </w:pPr>
            <w:r>
              <w:rPr>
                <w:rFonts w:hint="eastAsia" w:ascii="宋体" w:hAnsi="宋体" w:cs="宋体"/>
                <w:kern w:val="0"/>
                <w:sz w:val="24"/>
              </w:rPr>
              <w:t>2、投标人具有ISO9001质量管理体系认证得3分，满分3分；</w:t>
            </w:r>
          </w:p>
          <w:p>
            <w:pPr>
              <w:widowControl/>
              <w:spacing w:line="320" w:lineRule="exact"/>
              <w:rPr>
                <w:rFonts w:ascii="宋体" w:hAnsi="宋体" w:cs="宋体"/>
                <w:kern w:val="0"/>
                <w:sz w:val="24"/>
              </w:rPr>
            </w:pPr>
            <w:r>
              <w:rPr>
                <w:rFonts w:hint="eastAsia" w:ascii="宋体" w:hAnsi="宋体" w:cs="宋体"/>
                <w:kern w:val="0"/>
                <w:sz w:val="24"/>
              </w:rPr>
              <w:t>3、序号1产品</w:t>
            </w:r>
            <w:r>
              <w:rPr>
                <w:rFonts w:ascii="宋体" w:hAnsi="宋体" w:cs="宋体"/>
                <w:kern w:val="0"/>
                <w:sz w:val="24"/>
              </w:rPr>
              <w:t>生产厂商具有ISO90001质量体系认证且提供认证证书者得3分</w:t>
            </w:r>
            <w:r>
              <w:rPr>
                <w:rFonts w:hint="eastAsia" w:ascii="宋体" w:hAnsi="宋体" w:cs="宋体"/>
                <w:kern w:val="0"/>
                <w:sz w:val="24"/>
              </w:rPr>
              <w:t>，满分3分</w:t>
            </w:r>
          </w:p>
          <w:p>
            <w:pPr>
              <w:widowControl/>
              <w:spacing w:line="320" w:lineRule="exact"/>
              <w:rPr>
                <w:rFonts w:ascii="宋体" w:hAnsi="宋体" w:cs="宋体"/>
                <w:kern w:val="0"/>
                <w:sz w:val="24"/>
              </w:rPr>
            </w:pPr>
            <w:r>
              <w:rPr>
                <w:rFonts w:hint="eastAsia" w:ascii="宋体" w:hAnsi="宋体" w:cs="宋体"/>
                <w:kern w:val="0"/>
                <w:sz w:val="24"/>
              </w:rPr>
              <w:t>4、序号3产品生产厂商具有</w:t>
            </w:r>
            <w:r>
              <w:rPr>
                <w:rFonts w:ascii="宋体" w:hAnsi="宋体" w:cs="宋体"/>
                <w:kern w:val="0"/>
                <w:sz w:val="24"/>
              </w:rPr>
              <w:t>ISO IEC_27001信息安全管理体系认证</w:t>
            </w:r>
            <w:r>
              <w:rPr>
                <w:rFonts w:hint="eastAsia" w:ascii="宋体" w:hAnsi="宋体" w:cs="宋体"/>
                <w:kern w:val="0"/>
                <w:sz w:val="24"/>
              </w:rPr>
              <w:t>证书，</w:t>
            </w:r>
            <w:r>
              <w:rPr>
                <w:rFonts w:ascii="宋体" w:hAnsi="宋体" w:cs="宋体"/>
                <w:kern w:val="0"/>
                <w:sz w:val="24"/>
              </w:rPr>
              <w:t>ISO28000</w:t>
            </w:r>
            <w:r>
              <w:rPr>
                <w:rFonts w:hint="eastAsia" w:ascii="宋体" w:hAnsi="宋体" w:cs="宋体"/>
                <w:kern w:val="0"/>
                <w:sz w:val="24"/>
              </w:rPr>
              <w:t>供应链安全管理体系证书，每提供一个得3分，满分6分；</w:t>
            </w:r>
          </w:p>
          <w:p>
            <w:pPr>
              <w:widowControl/>
              <w:spacing w:line="320" w:lineRule="exact"/>
              <w:rPr>
                <w:rFonts w:ascii="宋体" w:hAnsi="宋体" w:cs="宋体"/>
                <w:kern w:val="0"/>
                <w:sz w:val="24"/>
              </w:rPr>
            </w:pPr>
            <w:r>
              <w:rPr>
                <w:rFonts w:hint="eastAsia" w:ascii="宋体" w:hAnsi="宋体" w:cs="宋体"/>
                <w:kern w:val="0"/>
                <w:sz w:val="24"/>
              </w:rPr>
              <w:t>5、序号2产品生产厂商具有软件自主知识产权，能提供中华人民共和国国家版权局颁发的《计算机软件著作权登记证书》者得3分，满分3分</w:t>
            </w:r>
          </w:p>
          <w:p>
            <w:pPr>
              <w:widowControl/>
              <w:spacing w:line="320" w:lineRule="exact"/>
              <w:rPr>
                <w:rFonts w:ascii="宋体" w:hAnsi="宋体" w:cs="宋体"/>
                <w:kern w:val="0"/>
                <w:sz w:val="24"/>
              </w:rPr>
            </w:pPr>
            <w:r>
              <w:rPr>
                <w:rFonts w:hint="eastAsia" w:ascii="宋体" w:hAnsi="宋体" w:cs="宋体"/>
                <w:kern w:val="0"/>
                <w:sz w:val="24"/>
              </w:rPr>
              <w:t>7、序号2产品</w:t>
            </w:r>
            <w:r>
              <w:rPr>
                <w:rFonts w:ascii="宋体" w:hAnsi="宋体" w:cs="宋体"/>
                <w:kern w:val="0"/>
                <w:sz w:val="24"/>
              </w:rPr>
              <w:t>生产厂商具有国家信息安全测评中心颁发的信息安全服务资质（安全工程类二级）者得3分</w:t>
            </w:r>
            <w:r>
              <w:rPr>
                <w:rFonts w:hint="eastAsia" w:ascii="宋体" w:hAnsi="宋体" w:cs="宋体"/>
                <w:kern w:val="0"/>
                <w:sz w:val="24"/>
              </w:rPr>
              <w:t>，满分3分</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sz w:val="24"/>
              </w:rPr>
            </w:pPr>
            <w:r>
              <w:rPr>
                <w:rFonts w:hint="eastAsia" w:ascii="宋体" w:hAnsi="宋体" w:cs="仿宋"/>
                <w:kern w:val="0"/>
                <w:sz w:val="24"/>
              </w:rPr>
              <w:t>21</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业绩</w:t>
            </w:r>
          </w:p>
        </w:tc>
        <w:tc>
          <w:tcPr>
            <w:tcW w:w="564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cs="宋体"/>
                <w:kern w:val="0"/>
                <w:sz w:val="24"/>
              </w:rPr>
            </w:pPr>
            <w:r>
              <w:rPr>
                <w:rFonts w:hint="eastAsia" w:ascii="宋体" w:hAnsi="宋体" w:cs="宋体"/>
                <w:kern w:val="0"/>
                <w:sz w:val="24"/>
              </w:rPr>
              <w:t>投标人提供自2015年1月1日之后签订的100万以上类似的项目合同，每提供一份得3分，满分9分。</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sz w:val="24"/>
              </w:rPr>
            </w:pPr>
            <w:r>
              <w:rPr>
                <w:rFonts w:hint="eastAsia" w:ascii="宋体" w:hAnsi="宋体" w:cs="仿宋"/>
                <w:kern w:val="0"/>
                <w:sz w:val="24"/>
              </w:rPr>
              <w:t>9</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b/>
                <w:bCs/>
                <w:color w:val="000000"/>
                <w:kern w:val="0"/>
                <w:sz w:val="24"/>
              </w:rPr>
              <w:t>三、技术部分（满分40分）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b/>
                <w:bCs/>
                <w:color w:val="000000"/>
                <w:kern w:val="0"/>
                <w:sz w:val="24"/>
              </w:rPr>
              <w:t>评分因素</w:t>
            </w:r>
          </w:p>
        </w:tc>
        <w:tc>
          <w:tcPr>
            <w:tcW w:w="564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b/>
                <w:bCs/>
                <w:color w:val="000000"/>
                <w:kern w:val="0"/>
                <w:sz w:val="24"/>
              </w:rPr>
              <w:t>评分标准</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b/>
                <w:bCs/>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对招标文件</w:t>
            </w:r>
          </w:p>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响应程度</w:t>
            </w:r>
          </w:p>
        </w:tc>
        <w:tc>
          <w:tcPr>
            <w:tcW w:w="564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kern w:val="0"/>
                <w:sz w:val="24"/>
              </w:rPr>
            </w:pPr>
            <w:r>
              <w:rPr>
                <w:rFonts w:hint="eastAsia" w:ascii="宋体" w:hAnsi="宋体" w:cs="宋体"/>
                <w:kern w:val="0"/>
                <w:sz w:val="24"/>
              </w:rPr>
              <w:t>1、序号1、2、3、4产品需满足招标文件技术要求，每提供一项得4分，满分16分；提供加盖生产厂家公章的技术证明材料。</w:t>
            </w:r>
          </w:p>
          <w:p>
            <w:pPr>
              <w:widowControl/>
              <w:spacing w:line="320" w:lineRule="exact"/>
              <w:rPr>
                <w:rFonts w:ascii="宋体" w:hAnsi="宋体" w:cs="宋体"/>
                <w:kern w:val="0"/>
                <w:sz w:val="24"/>
              </w:rPr>
            </w:pPr>
            <w:r>
              <w:rPr>
                <w:rFonts w:hint="eastAsia" w:ascii="宋体" w:hAnsi="宋体" w:cs="宋体"/>
                <w:kern w:val="0"/>
                <w:sz w:val="24"/>
              </w:rPr>
              <w:t>2、序号1产品中的PCI-E SSD卡/盘为国产品牌者，得3分，满分3分；提供原厂盖章的彩页或相关证明文件</w:t>
            </w:r>
            <w:r>
              <w:rPr>
                <w:rFonts w:ascii="宋体" w:hAnsi="宋体" w:cs="宋体"/>
                <w:kern w:val="0"/>
                <w:sz w:val="24"/>
              </w:rPr>
              <w:t xml:space="preserve"> </w:t>
            </w:r>
            <w:r>
              <w:rPr>
                <w:rFonts w:hint="eastAsia" w:ascii="宋体" w:hAnsi="宋体" w:cs="宋体"/>
                <w:kern w:val="0"/>
                <w:sz w:val="24"/>
              </w:rPr>
              <w:t>；</w:t>
            </w:r>
          </w:p>
          <w:p>
            <w:pPr>
              <w:widowControl/>
              <w:spacing w:line="320" w:lineRule="exact"/>
              <w:rPr>
                <w:rFonts w:ascii="宋体" w:hAnsi="宋体" w:cs="宋体"/>
                <w:kern w:val="0"/>
                <w:sz w:val="24"/>
              </w:rPr>
            </w:pPr>
            <w:r>
              <w:rPr>
                <w:rFonts w:hint="eastAsia" w:ascii="宋体" w:hAnsi="宋体" w:cs="宋体"/>
                <w:kern w:val="0"/>
                <w:sz w:val="24"/>
              </w:rPr>
              <w:t>3、序号2产品生产厂商是中国国家信息安全漏洞库漏洞提交厂商的，得3分，满分3分；提供原厂证明材料并加盖厂商公章；</w:t>
            </w:r>
            <w:r>
              <w:rPr>
                <w:rFonts w:ascii="宋体" w:hAnsi="宋体" w:cs="宋体"/>
                <w:kern w:val="0"/>
                <w:sz w:val="24"/>
              </w:rPr>
              <w:t xml:space="preserve"> </w:t>
            </w:r>
          </w:p>
          <w:p>
            <w:pPr>
              <w:widowControl/>
              <w:spacing w:line="320" w:lineRule="exact"/>
              <w:rPr>
                <w:rFonts w:ascii="宋体" w:hAnsi="宋体" w:cs="宋体"/>
                <w:color w:val="FF0000"/>
                <w:kern w:val="0"/>
                <w:sz w:val="24"/>
              </w:rPr>
            </w:pPr>
            <w:r>
              <w:rPr>
                <w:rFonts w:hint="eastAsia" w:ascii="宋体" w:hAnsi="宋体" w:cs="宋体"/>
                <w:kern w:val="0"/>
                <w:sz w:val="24"/>
              </w:rPr>
              <w:t>4、为保证系统安全且自主可控，序号1产品采用国产管理芯片的，得3分，满分3分；提供原厂证明材料并加盖厂商公章；</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sz w:val="24"/>
              </w:rPr>
            </w:pPr>
            <w:r>
              <w:rPr>
                <w:rFonts w:hint="eastAsia" w:ascii="宋体" w:hAnsi="宋体" w:cs="宋体"/>
                <w:kern w:val="0"/>
                <w:sz w:val="24"/>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投标文件</w:t>
            </w:r>
          </w:p>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规范程度</w:t>
            </w:r>
          </w:p>
        </w:tc>
        <w:tc>
          <w:tcPr>
            <w:tcW w:w="564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kern w:val="0"/>
                <w:sz w:val="24"/>
              </w:rPr>
            </w:pPr>
            <w:r>
              <w:rPr>
                <w:rFonts w:hint="eastAsia" w:ascii="宋体" w:hAnsi="宋体" w:cs="宋体"/>
                <w:color w:val="000000"/>
                <w:kern w:val="0"/>
                <w:sz w:val="24"/>
              </w:rPr>
              <w:t>投标文件的编制符合招标文件规定、装订整齐、印刷精美得2分；投标文件编制无目录和页码，排序混乱和缺篇少页的不得分。</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售后服务承诺</w:t>
            </w:r>
          </w:p>
        </w:tc>
        <w:tc>
          <w:tcPr>
            <w:tcW w:w="564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cs="宋体"/>
                <w:kern w:val="0"/>
                <w:sz w:val="24"/>
              </w:rPr>
            </w:pPr>
            <w:r>
              <w:rPr>
                <w:rFonts w:hint="eastAsia" w:ascii="宋体" w:hAnsi="宋体" w:cs="宋体"/>
                <w:kern w:val="0"/>
                <w:sz w:val="24"/>
              </w:rPr>
              <w:t>1、投标人对该项目整体提供三年原厂免费质保的得5分，满分5分；提供免费质保函原件加盖投标人公章。</w:t>
            </w:r>
          </w:p>
          <w:p>
            <w:pPr>
              <w:widowControl/>
              <w:spacing w:line="320" w:lineRule="exact"/>
              <w:rPr>
                <w:rFonts w:ascii="宋体" w:hAnsi="宋体" w:cs="宋体"/>
                <w:kern w:val="0"/>
                <w:sz w:val="24"/>
              </w:rPr>
            </w:pPr>
            <w:r>
              <w:rPr>
                <w:rFonts w:hint="eastAsia" w:ascii="宋体" w:hAnsi="宋体" w:cs="宋体"/>
                <w:kern w:val="0"/>
                <w:sz w:val="24"/>
              </w:rPr>
              <w:t>2、投标人在三年原厂免费质保基础上每增加一年得2.5分，满分5分；提供免费质保函原件加盖投标人公章。</w:t>
            </w:r>
          </w:p>
          <w:p>
            <w:pPr>
              <w:widowControl/>
              <w:spacing w:line="320" w:lineRule="exact"/>
              <w:rPr>
                <w:rFonts w:ascii="宋体" w:hAnsi="宋体" w:cs="宋体"/>
                <w:kern w:val="0"/>
                <w:sz w:val="24"/>
              </w:rPr>
            </w:pPr>
            <w:r>
              <w:rPr>
                <w:rFonts w:hint="eastAsia" w:ascii="宋体" w:hAnsi="宋体" w:cs="宋体"/>
                <w:kern w:val="0"/>
                <w:sz w:val="24"/>
              </w:rPr>
              <w:t>3、投标人能提供不少于2人次，且不少于10天的原厂高级云计算技术培训的，得3分，满分3分。</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13分</w:t>
            </w:r>
          </w:p>
        </w:tc>
      </w:tr>
    </w:tbl>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微软雅黑" w:hAnsi="微软雅黑" w:eastAsia="微软雅黑" w:cs="微软雅黑"/>
          <w:color w:val="000000"/>
          <w:kern w:val="0"/>
          <w:sz w:val="27"/>
          <w:szCs w:val="27"/>
        </w:rPr>
        <w:t> </w:t>
      </w:r>
      <w:r>
        <w:rPr>
          <w:rFonts w:hint="eastAsia" w:ascii="仿宋" w:hAnsi="仿宋" w:eastAsia="仿宋" w:cs="仿宋"/>
          <w:color w:val="000000"/>
          <w:kern w:val="0"/>
          <w:sz w:val="30"/>
          <w:szCs w:val="30"/>
          <w:shd w:val="clear" w:color="auto" w:fill="FFFFFF"/>
          <w:lang w:bidi="ar"/>
        </w:rPr>
        <w:t>B包：</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5646"/>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trPr>
        <w:tc>
          <w:tcPr>
            <w:tcW w:w="194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分值构成</w:t>
            </w:r>
          </w:p>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(总分100分)</w:t>
            </w:r>
          </w:p>
        </w:tc>
        <w:tc>
          <w:tcPr>
            <w:tcW w:w="6574"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jc w:val="center"/>
              <w:rPr>
                <w:rFonts w:ascii="宋体" w:hAnsi="宋体" w:cs="宋体"/>
                <w:color w:val="000000"/>
                <w:kern w:val="0"/>
                <w:sz w:val="24"/>
              </w:rPr>
            </w:pPr>
            <w:r>
              <w:rPr>
                <w:rFonts w:hint="eastAsia" w:ascii="宋体" w:hAnsi="宋体" w:cs="宋体"/>
                <w:color w:val="000000"/>
                <w:kern w:val="0"/>
                <w:sz w:val="24"/>
              </w:rPr>
              <w:t>价格部分：30分</w:t>
            </w:r>
          </w:p>
          <w:p>
            <w:pPr>
              <w:widowControl/>
              <w:spacing w:line="320" w:lineRule="exact"/>
              <w:ind w:firstLine="480"/>
              <w:jc w:val="center"/>
              <w:rPr>
                <w:rFonts w:ascii="宋体" w:hAnsi="宋体" w:cs="宋体"/>
                <w:color w:val="000000"/>
                <w:kern w:val="0"/>
                <w:sz w:val="24"/>
              </w:rPr>
            </w:pPr>
            <w:r>
              <w:rPr>
                <w:rFonts w:hint="eastAsia" w:ascii="宋体" w:hAnsi="宋体" w:cs="宋体"/>
                <w:color w:val="000000"/>
                <w:kern w:val="0"/>
                <w:sz w:val="24"/>
              </w:rPr>
              <w:t>商务部分：30分</w:t>
            </w:r>
          </w:p>
          <w:p>
            <w:pPr>
              <w:widowControl/>
              <w:spacing w:line="320" w:lineRule="exact"/>
              <w:ind w:firstLine="480"/>
              <w:jc w:val="center"/>
              <w:rPr>
                <w:rFonts w:ascii="宋体" w:hAnsi="宋体" w:cs="宋体"/>
                <w:color w:val="000000"/>
                <w:kern w:val="0"/>
                <w:sz w:val="24"/>
              </w:rPr>
            </w:pPr>
            <w:r>
              <w:rPr>
                <w:rFonts w:hint="eastAsia" w:ascii="宋体" w:hAnsi="宋体" w:cs="宋体"/>
                <w:color w:val="000000"/>
                <w:kern w:val="0"/>
                <w:sz w:val="24"/>
              </w:rPr>
              <w:t>技术部分：40分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b/>
                <w:bCs/>
                <w:color w:val="000000"/>
                <w:kern w:val="0"/>
                <w:sz w:val="24"/>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b/>
                <w:bCs/>
                <w:color w:val="000000"/>
                <w:kern w:val="0"/>
                <w:sz w:val="24"/>
              </w:rPr>
              <w:t>评分因素</w:t>
            </w:r>
          </w:p>
        </w:tc>
        <w:tc>
          <w:tcPr>
            <w:tcW w:w="564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b/>
                <w:bCs/>
                <w:color w:val="000000"/>
                <w:kern w:val="0"/>
                <w:sz w:val="24"/>
              </w:rPr>
              <w:t>评分标准</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b/>
                <w:bCs/>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 w:hRule="atLeast"/>
        </w:trPr>
        <w:tc>
          <w:tcPr>
            <w:tcW w:w="194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投标报价</w:t>
            </w:r>
          </w:p>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评分标准</w:t>
            </w:r>
          </w:p>
        </w:tc>
        <w:tc>
          <w:tcPr>
            <w:tcW w:w="564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kern w:val="0"/>
                <w:sz w:val="24"/>
              </w:rPr>
            </w:pPr>
            <w:r>
              <w:rPr>
                <w:rFonts w:hint="eastAsia" w:ascii="宋体" w:hAnsi="宋体" w:cs="宋体"/>
                <w:color w:val="000000"/>
                <w:kern w:val="0"/>
                <w:sz w:val="24"/>
              </w:rPr>
              <w:t>评标基准价：满足招标文件要求的有效投标报价中，最低的投标报价为评标基准价。</w:t>
            </w:r>
          </w:p>
          <w:p>
            <w:pPr>
              <w:widowControl/>
              <w:spacing w:line="320" w:lineRule="exact"/>
              <w:jc w:val="left"/>
              <w:rPr>
                <w:rFonts w:ascii="宋体" w:hAnsi="宋体" w:cs="宋体"/>
                <w:color w:val="000000"/>
                <w:kern w:val="0"/>
                <w:sz w:val="24"/>
              </w:rPr>
            </w:pPr>
            <w:r>
              <w:rPr>
                <w:rFonts w:hint="eastAsia" w:ascii="宋体" w:hAnsi="宋体" w:cs="宋体"/>
                <w:color w:val="000000"/>
                <w:kern w:val="0"/>
                <w:sz w:val="24"/>
              </w:rPr>
              <w:t>投标报价得分=（评标基准价/投标报价）×30</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仿宋"/>
                <w:color w:val="000000"/>
                <w:kern w:val="0"/>
                <w:sz w:val="24"/>
              </w:rPr>
              <w:t>30</w:t>
            </w:r>
            <w:r>
              <w:rPr>
                <w:rFonts w:hint="eastAsia" w:ascii="宋体" w:hAnsi="宋体" w:cs="宋体"/>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b/>
                <w:bCs/>
                <w:color w:val="000000"/>
                <w:kern w:val="0"/>
                <w:sz w:val="24"/>
              </w:rPr>
              <w:t>二、商务部分</w:t>
            </w:r>
            <w:r>
              <w:rPr>
                <w:rFonts w:hint="eastAsia" w:ascii="宋体" w:hAnsi="宋体" w:cs="宋体"/>
                <w:b/>
                <w:bCs/>
                <w:kern w:val="0"/>
                <w:sz w:val="24"/>
              </w:rPr>
              <w:t>（满分30分）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b/>
                <w:bCs/>
                <w:color w:val="000000"/>
                <w:kern w:val="0"/>
                <w:sz w:val="24"/>
              </w:rPr>
              <w:t>评分因素</w:t>
            </w:r>
          </w:p>
        </w:tc>
        <w:tc>
          <w:tcPr>
            <w:tcW w:w="564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b/>
                <w:bCs/>
                <w:color w:val="000000"/>
                <w:kern w:val="0"/>
                <w:sz w:val="24"/>
              </w:rPr>
              <w:t>评分标准</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b/>
                <w:bCs/>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企业实力</w:t>
            </w:r>
          </w:p>
        </w:tc>
        <w:tc>
          <w:tcPr>
            <w:tcW w:w="564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cs="宋体"/>
                <w:kern w:val="0"/>
                <w:sz w:val="24"/>
              </w:rPr>
            </w:pPr>
            <w:r>
              <w:rPr>
                <w:rFonts w:hint="eastAsia" w:ascii="宋体" w:hAnsi="宋体" w:cs="宋体"/>
                <w:kern w:val="0"/>
                <w:sz w:val="24"/>
              </w:rPr>
              <w:t>1、投标人具有信用评估机构颁发的AAA等级证书的得3分，满分3分；</w:t>
            </w:r>
            <w:r>
              <w:rPr>
                <w:rFonts w:ascii="宋体" w:hAnsi="宋体" w:cs="宋体"/>
                <w:kern w:val="0"/>
                <w:sz w:val="24"/>
              </w:rPr>
              <w:t xml:space="preserve"> </w:t>
            </w:r>
          </w:p>
          <w:p>
            <w:pPr>
              <w:spacing w:line="174" w:lineRule="atLeast"/>
              <w:rPr>
                <w:rFonts w:ascii="宋体" w:hAnsi="宋体" w:cs="宋体"/>
                <w:kern w:val="0"/>
                <w:sz w:val="24"/>
              </w:rPr>
            </w:pPr>
            <w:r>
              <w:rPr>
                <w:rFonts w:hint="eastAsia" w:ascii="宋体" w:hAnsi="宋体" w:cs="宋体"/>
                <w:kern w:val="0"/>
                <w:sz w:val="24"/>
              </w:rPr>
              <w:t>2、序号1生产厂商具有ISO9001、TL9000质量管理体系认证、ISO14001环境管理体系认证、ISO20000信息技术服务管理体系认证、知识产权管理体系认证、ISO50001能源管理体系认证、QC080000有害物质过程管理体系认证；每提供一个得1分，满分7分；</w:t>
            </w:r>
          </w:p>
          <w:p>
            <w:pPr>
              <w:widowControl/>
              <w:spacing w:line="320" w:lineRule="exact"/>
              <w:jc w:val="left"/>
              <w:rPr>
                <w:rFonts w:ascii="宋体" w:hAnsi="宋体" w:cs="宋体"/>
                <w:kern w:val="0"/>
                <w:sz w:val="24"/>
              </w:rPr>
            </w:pPr>
            <w:r>
              <w:rPr>
                <w:rFonts w:hint="eastAsia" w:ascii="宋体" w:hAnsi="宋体" w:cs="宋体"/>
                <w:kern w:val="0"/>
                <w:sz w:val="24"/>
              </w:rPr>
              <w:t>3、序号7产品生产厂商具有国家互联网应急中心颁发的《国家信息安全漏洞共享平台CNVD技术组成员单位》证书，具有中国信息安全测评中心颁发的《中国国家信息安全漏洞库CNNVD》一级支撑单位证书。每提供一个得3分，满分6分；</w:t>
            </w:r>
          </w:p>
          <w:p>
            <w:pPr>
              <w:spacing w:line="174" w:lineRule="atLeast"/>
              <w:rPr>
                <w:rFonts w:ascii="宋体" w:hAnsi="宋体" w:cs="宋体"/>
                <w:color w:val="FF0000"/>
                <w:kern w:val="0"/>
                <w:sz w:val="24"/>
              </w:rPr>
            </w:pPr>
            <w:r>
              <w:rPr>
                <w:rFonts w:hint="eastAsia" w:ascii="宋体" w:hAnsi="宋体" w:cs="宋体"/>
                <w:kern w:val="0"/>
                <w:sz w:val="24"/>
              </w:rPr>
              <w:t>4、序号9产品生产厂商</w:t>
            </w:r>
            <w:r>
              <w:rPr>
                <w:rFonts w:ascii="宋体" w:hAnsi="宋体" w:cs="宋体"/>
                <w:kern w:val="0"/>
                <w:sz w:val="24"/>
              </w:rPr>
              <w:t>具备CMMI（软件能力成熟度模型集成）</w:t>
            </w:r>
            <w:r>
              <w:rPr>
                <w:rFonts w:hint="eastAsia" w:ascii="宋体" w:hAnsi="宋体" w:cs="宋体"/>
                <w:kern w:val="0"/>
                <w:sz w:val="24"/>
              </w:rPr>
              <w:t>认证，且认证地为中国；通过CMMI 5级及以上得5分，通过CMMI 4级得3分，其他不得分，满分5分；</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sz w:val="24"/>
              </w:rPr>
            </w:pPr>
            <w:r>
              <w:rPr>
                <w:rFonts w:hint="eastAsia" w:ascii="宋体" w:hAnsi="宋体" w:cs="仿宋"/>
                <w:kern w:val="0"/>
                <w:sz w:val="24"/>
              </w:rPr>
              <w:t>21</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FF0000"/>
                <w:kern w:val="0"/>
                <w:sz w:val="24"/>
              </w:rPr>
            </w:pPr>
            <w:r>
              <w:rPr>
                <w:rFonts w:hint="eastAsia" w:ascii="宋体" w:hAnsi="宋体" w:cs="宋体"/>
                <w:kern w:val="0"/>
                <w:sz w:val="24"/>
              </w:rPr>
              <w:t>业绩</w:t>
            </w:r>
          </w:p>
        </w:tc>
        <w:tc>
          <w:tcPr>
            <w:tcW w:w="564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FF0000"/>
                <w:kern w:val="0"/>
                <w:sz w:val="24"/>
              </w:rPr>
            </w:pPr>
            <w:r>
              <w:rPr>
                <w:rFonts w:hint="eastAsia" w:ascii="宋体" w:hAnsi="宋体" w:cs="宋体"/>
                <w:kern w:val="0"/>
                <w:sz w:val="24"/>
              </w:rPr>
              <w:t>投标人提供自2015年1月1日之后签订的100万以上类似的项目合同，每提供一份得3分，满分9分。</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sz w:val="24"/>
              </w:rPr>
            </w:pPr>
            <w:r>
              <w:rPr>
                <w:rFonts w:hint="eastAsia" w:ascii="宋体" w:hAnsi="宋体" w:cs="宋体"/>
                <w:kern w:val="0"/>
                <w:sz w:val="24"/>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b/>
                <w:bCs/>
                <w:color w:val="000000"/>
                <w:kern w:val="0"/>
                <w:sz w:val="24"/>
              </w:rPr>
              <w:t>三、技术部分（满分40分）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b/>
                <w:bCs/>
                <w:color w:val="000000"/>
                <w:kern w:val="0"/>
                <w:sz w:val="24"/>
              </w:rPr>
              <w:t>评分因素</w:t>
            </w:r>
          </w:p>
        </w:tc>
        <w:tc>
          <w:tcPr>
            <w:tcW w:w="564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b/>
                <w:bCs/>
                <w:color w:val="000000"/>
                <w:kern w:val="0"/>
                <w:sz w:val="24"/>
              </w:rPr>
              <w:t>评分标准</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b/>
                <w:bCs/>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对招标文件</w:t>
            </w:r>
          </w:p>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响应程度</w:t>
            </w:r>
          </w:p>
        </w:tc>
        <w:tc>
          <w:tcPr>
            <w:tcW w:w="564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kern w:val="0"/>
                <w:sz w:val="24"/>
              </w:rPr>
            </w:pPr>
            <w:r>
              <w:rPr>
                <w:rFonts w:hint="eastAsia" w:ascii="宋体" w:hAnsi="宋体" w:cs="宋体"/>
                <w:kern w:val="0"/>
                <w:sz w:val="24"/>
              </w:rPr>
              <w:t>1、序号1、2、3、4、7、8、9须提供产品各项技术指标的技术证明文件并加盖厂商印章，每提供一个得2分，满分14分。</w:t>
            </w:r>
          </w:p>
          <w:p>
            <w:pPr>
              <w:widowControl/>
              <w:spacing w:line="320" w:lineRule="exact"/>
              <w:jc w:val="left"/>
              <w:rPr>
                <w:rFonts w:ascii="宋体" w:hAnsi="宋体" w:cs="宋体"/>
                <w:kern w:val="0"/>
                <w:sz w:val="24"/>
              </w:rPr>
            </w:pPr>
            <w:r>
              <w:rPr>
                <w:rFonts w:hint="eastAsia" w:ascii="宋体" w:hAnsi="宋体" w:cs="宋体"/>
                <w:kern w:val="0"/>
                <w:sz w:val="24"/>
              </w:rPr>
              <w:t>2、序号1产品支持</w:t>
            </w:r>
            <w:r>
              <w:rPr>
                <w:rFonts w:ascii="宋体" w:hAnsi="宋体" w:cs="宋体"/>
                <w:kern w:val="0"/>
                <w:sz w:val="24"/>
              </w:rPr>
              <w:t>云主控板</w:t>
            </w:r>
            <w:r>
              <w:rPr>
                <w:rFonts w:hint="eastAsia" w:ascii="宋体" w:hAnsi="宋体" w:cs="宋体"/>
                <w:kern w:val="0"/>
                <w:sz w:val="24"/>
              </w:rPr>
              <w:t>，</w:t>
            </w:r>
            <w:r>
              <w:rPr>
                <w:rFonts w:ascii="宋体" w:hAnsi="宋体" w:cs="宋体"/>
                <w:kern w:val="0"/>
                <w:sz w:val="24"/>
              </w:rPr>
              <w:t>云主控板支持运行SDN控制器</w:t>
            </w:r>
            <w:r>
              <w:rPr>
                <w:rFonts w:hint="eastAsia" w:ascii="宋体" w:hAnsi="宋体" w:cs="宋体"/>
                <w:kern w:val="0"/>
                <w:sz w:val="24"/>
              </w:rPr>
              <w:t>，得3分，满分3分；提供</w:t>
            </w:r>
            <w:r>
              <w:rPr>
                <w:rFonts w:ascii="宋体" w:hAnsi="宋体" w:cs="宋体"/>
                <w:kern w:val="0"/>
                <w:sz w:val="24"/>
              </w:rPr>
              <w:t>国家工信部下属</w:t>
            </w:r>
            <w:r>
              <w:rPr>
                <w:rFonts w:hint="eastAsia" w:ascii="宋体" w:hAnsi="宋体" w:cs="宋体"/>
                <w:kern w:val="0"/>
                <w:sz w:val="24"/>
              </w:rPr>
              <w:t>的泰尔实验室出具的测试报告并加盖厂商印章。</w:t>
            </w:r>
          </w:p>
          <w:p>
            <w:pPr>
              <w:widowControl/>
              <w:spacing w:line="320" w:lineRule="exact"/>
              <w:jc w:val="left"/>
              <w:rPr>
                <w:rFonts w:ascii="宋体" w:hAnsi="宋体" w:cs="宋体"/>
                <w:kern w:val="0"/>
                <w:sz w:val="24"/>
              </w:rPr>
            </w:pPr>
            <w:r>
              <w:rPr>
                <w:rFonts w:hint="eastAsia" w:ascii="宋体" w:hAnsi="宋体" w:cs="宋体"/>
                <w:kern w:val="0"/>
                <w:sz w:val="24"/>
              </w:rPr>
              <w:t>3、提供序号10产品详细的网络迁移实施方案；</w:t>
            </w:r>
          </w:p>
          <w:p>
            <w:pPr>
              <w:widowControl/>
              <w:spacing w:line="320" w:lineRule="exact"/>
              <w:jc w:val="left"/>
              <w:rPr>
                <w:rFonts w:ascii="宋体" w:hAnsi="宋体" w:cs="宋体"/>
                <w:kern w:val="0"/>
                <w:sz w:val="24"/>
              </w:rPr>
            </w:pPr>
            <w:r>
              <w:rPr>
                <w:rFonts w:hint="eastAsia" w:ascii="宋体" w:hAnsi="宋体" w:cs="宋体"/>
                <w:kern w:val="0"/>
                <w:sz w:val="24"/>
              </w:rPr>
              <w:t>（1）网络现状分析和需求分析透彻、清晰；网络割接方案、回退方案，设计合理且切实可行的得6分。</w:t>
            </w:r>
          </w:p>
          <w:p>
            <w:pPr>
              <w:widowControl/>
              <w:spacing w:line="320" w:lineRule="exact"/>
              <w:jc w:val="left"/>
              <w:rPr>
                <w:rFonts w:ascii="宋体" w:hAnsi="宋体" w:cs="宋体"/>
                <w:kern w:val="0"/>
                <w:sz w:val="24"/>
              </w:rPr>
            </w:pPr>
            <w:r>
              <w:rPr>
                <w:rFonts w:hint="eastAsia" w:ascii="宋体" w:hAnsi="宋体" w:cs="宋体"/>
                <w:kern w:val="0"/>
                <w:sz w:val="24"/>
              </w:rPr>
              <w:t>（2）能简单描述网络现状、用户需求，割接方案、回退方案的得2分。</w:t>
            </w:r>
          </w:p>
          <w:p>
            <w:pPr>
              <w:widowControl/>
              <w:spacing w:line="320" w:lineRule="exact"/>
              <w:jc w:val="left"/>
              <w:rPr>
                <w:rFonts w:ascii="宋体" w:hAnsi="宋体" w:cs="宋体"/>
                <w:color w:val="FF0000"/>
                <w:kern w:val="0"/>
                <w:sz w:val="24"/>
              </w:rPr>
            </w:pPr>
            <w:r>
              <w:rPr>
                <w:rFonts w:hint="eastAsia" w:ascii="宋体" w:hAnsi="宋体" w:cs="宋体"/>
                <w:kern w:val="0"/>
                <w:sz w:val="24"/>
              </w:rPr>
              <w:t>（3）其他不得分。</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sz w:val="24"/>
              </w:rPr>
            </w:pPr>
            <w:r>
              <w:rPr>
                <w:rFonts w:hint="eastAsia" w:ascii="宋体" w:hAnsi="宋体" w:cs="宋体"/>
                <w:kern w:val="0"/>
                <w:sz w:val="24"/>
              </w:rPr>
              <w:t>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投标文件</w:t>
            </w:r>
          </w:p>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规范程度</w:t>
            </w:r>
          </w:p>
        </w:tc>
        <w:tc>
          <w:tcPr>
            <w:tcW w:w="564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kern w:val="0"/>
                <w:sz w:val="24"/>
              </w:rPr>
            </w:pPr>
            <w:r>
              <w:rPr>
                <w:rFonts w:hint="eastAsia" w:ascii="宋体" w:hAnsi="宋体" w:cs="宋体"/>
                <w:color w:val="000000"/>
                <w:kern w:val="0"/>
                <w:sz w:val="24"/>
              </w:rPr>
              <w:t>投标文件的编制符合招标文件规定、装订整齐、印刷精美得2分；投标文件编制无目录和页码，排序混乱和缺篇少页的不得分。</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售后服务承诺</w:t>
            </w:r>
          </w:p>
        </w:tc>
        <w:tc>
          <w:tcPr>
            <w:tcW w:w="564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kern w:val="0"/>
                <w:sz w:val="24"/>
              </w:rPr>
            </w:pPr>
            <w:r>
              <w:rPr>
                <w:rFonts w:hint="eastAsia" w:ascii="宋体" w:hAnsi="宋体" w:cs="宋体"/>
                <w:kern w:val="0"/>
                <w:sz w:val="24"/>
              </w:rPr>
              <w:t>1、投标人对该项目整体提供三年原厂免费质保的得5分，满分5分；提供免费质保函原件加盖投标人公章。</w:t>
            </w:r>
          </w:p>
          <w:p>
            <w:pPr>
              <w:widowControl/>
              <w:spacing w:line="320" w:lineRule="exact"/>
              <w:jc w:val="left"/>
              <w:rPr>
                <w:rFonts w:ascii="宋体" w:hAnsi="宋体" w:cs="宋体"/>
                <w:kern w:val="0"/>
                <w:sz w:val="24"/>
              </w:rPr>
            </w:pPr>
            <w:r>
              <w:rPr>
                <w:rFonts w:hint="eastAsia" w:ascii="宋体" w:hAnsi="宋体" w:cs="宋体"/>
                <w:kern w:val="0"/>
                <w:sz w:val="24"/>
              </w:rPr>
              <w:t>2、投标人在三年整体原厂免费质保基础上每增加一年得2.5分，满分5分；提供免费质保函原件加盖投标人公章。</w:t>
            </w:r>
          </w:p>
          <w:p>
            <w:pPr>
              <w:widowControl/>
              <w:spacing w:line="320" w:lineRule="exact"/>
              <w:jc w:val="left"/>
              <w:rPr>
                <w:rFonts w:ascii="宋体" w:hAnsi="宋体" w:cs="宋体"/>
                <w:kern w:val="0"/>
                <w:sz w:val="24"/>
              </w:rPr>
            </w:pPr>
            <w:r>
              <w:rPr>
                <w:rFonts w:hint="eastAsia" w:ascii="宋体" w:hAnsi="宋体" w:cs="宋体"/>
                <w:kern w:val="0"/>
                <w:sz w:val="24"/>
              </w:rPr>
              <w:t>3、投标人能提供不少于2人次，且不少于10天的原厂高级网络技术培训的，得5分，满分5分。</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15分</w:t>
            </w:r>
          </w:p>
        </w:tc>
      </w:tr>
    </w:tbl>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lang w:bidi="ar"/>
        </w:rPr>
        <w:t>C包：</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5646"/>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trPr>
        <w:tc>
          <w:tcPr>
            <w:tcW w:w="194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分值构成</w:t>
            </w:r>
          </w:p>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(总分100分)</w:t>
            </w:r>
          </w:p>
        </w:tc>
        <w:tc>
          <w:tcPr>
            <w:tcW w:w="6574"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jc w:val="center"/>
              <w:rPr>
                <w:rFonts w:ascii="宋体" w:hAnsi="宋体" w:cs="宋体"/>
                <w:color w:val="000000"/>
                <w:kern w:val="0"/>
                <w:sz w:val="24"/>
              </w:rPr>
            </w:pPr>
            <w:r>
              <w:rPr>
                <w:rFonts w:hint="eastAsia" w:ascii="宋体" w:hAnsi="宋体" w:cs="宋体"/>
                <w:color w:val="000000"/>
                <w:kern w:val="0"/>
                <w:sz w:val="24"/>
              </w:rPr>
              <w:t>价格部分：30分</w:t>
            </w:r>
          </w:p>
          <w:p>
            <w:pPr>
              <w:widowControl/>
              <w:spacing w:line="320" w:lineRule="exact"/>
              <w:ind w:firstLine="480"/>
              <w:jc w:val="center"/>
              <w:rPr>
                <w:rFonts w:ascii="宋体" w:hAnsi="宋体" w:cs="宋体"/>
                <w:color w:val="000000"/>
                <w:kern w:val="0"/>
                <w:sz w:val="24"/>
              </w:rPr>
            </w:pPr>
            <w:r>
              <w:rPr>
                <w:rFonts w:hint="eastAsia" w:ascii="宋体" w:hAnsi="宋体" w:cs="宋体"/>
                <w:color w:val="000000"/>
                <w:kern w:val="0"/>
                <w:sz w:val="24"/>
              </w:rPr>
              <w:t>商务部分：30分</w:t>
            </w:r>
          </w:p>
          <w:p>
            <w:pPr>
              <w:widowControl/>
              <w:spacing w:line="320" w:lineRule="exact"/>
              <w:ind w:firstLine="480"/>
              <w:jc w:val="center"/>
              <w:rPr>
                <w:rFonts w:ascii="宋体" w:hAnsi="宋体" w:cs="宋体"/>
                <w:color w:val="000000"/>
                <w:kern w:val="0"/>
                <w:sz w:val="24"/>
              </w:rPr>
            </w:pPr>
            <w:r>
              <w:rPr>
                <w:rFonts w:hint="eastAsia" w:ascii="宋体" w:hAnsi="宋体" w:cs="宋体"/>
                <w:color w:val="000000"/>
                <w:kern w:val="0"/>
                <w:sz w:val="24"/>
              </w:rPr>
              <w:t>技术部分：40分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b/>
                <w:bCs/>
                <w:color w:val="000000"/>
                <w:kern w:val="0"/>
                <w:sz w:val="24"/>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b/>
                <w:bCs/>
                <w:color w:val="000000"/>
                <w:kern w:val="0"/>
                <w:sz w:val="24"/>
              </w:rPr>
              <w:t>评分因素</w:t>
            </w:r>
          </w:p>
        </w:tc>
        <w:tc>
          <w:tcPr>
            <w:tcW w:w="564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b/>
                <w:bCs/>
                <w:color w:val="000000"/>
                <w:kern w:val="0"/>
                <w:sz w:val="24"/>
              </w:rPr>
              <w:t>评分标准</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b/>
                <w:bCs/>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 w:hRule="atLeast"/>
        </w:trPr>
        <w:tc>
          <w:tcPr>
            <w:tcW w:w="194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投标报价</w:t>
            </w:r>
          </w:p>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评分标准</w:t>
            </w:r>
          </w:p>
        </w:tc>
        <w:tc>
          <w:tcPr>
            <w:tcW w:w="564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kern w:val="0"/>
                <w:sz w:val="24"/>
              </w:rPr>
            </w:pPr>
            <w:r>
              <w:rPr>
                <w:rFonts w:hint="eastAsia" w:ascii="宋体" w:hAnsi="宋体" w:cs="宋体"/>
                <w:color w:val="000000"/>
                <w:kern w:val="0"/>
                <w:sz w:val="24"/>
              </w:rPr>
              <w:t>评标基准价：满足招标文件要求的有效投标报价中，最低的投标报价为评标基准价。</w:t>
            </w:r>
          </w:p>
          <w:p>
            <w:pPr>
              <w:widowControl/>
              <w:spacing w:line="320" w:lineRule="exact"/>
              <w:jc w:val="left"/>
              <w:rPr>
                <w:rFonts w:ascii="宋体" w:hAnsi="宋体" w:cs="宋体"/>
                <w:color w:val="000000"/>
                <w:kern w:val="0"/>
                <w:sz w:val="24"/>
              </w:rPr>
            </w:pPr>
            <w:r>
              <w:rPr>
                <w:rFonts w:hint="eastAsia" w:ascii="宋体" w:hAnsi="宋体" w:cs="宋体"/>
                <w:color w:val="000000"/>
                <w:kern w:val="0"/>
                <w:sz w:val="24"/>
              </w:rPr>
              <w:t>投标报价得分=（评标基准价/投标报价）×30</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仿宋"/>
                <w:color w:val="000000"/>
                <w:kern w:val="0"/>
                <w:sz w:val="24"/>
              </w:rPr>
              <w:t>30</w:t>
            </w:r>
            <w:r>
              <w:rPr>
                <w:rFonts w:hint="eastAsia" w:ascii="宋体" w:hAnsi="宋体" w:cs="宋体"/>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b/>
                <w:bCs/>
                <w:color w:val="000000"/>
                <w:kern w:val="0"/>
                <w:sz w:val="24"/>
              </w:rPr>
              <w:t>二、商务部分</w:t>
            </w:r>
            <w:r>
              <w:rPr>
                <w:rFonts w:hint="eastAsia" w:ascii="宋体" w:hAnsi="宋体" w:cs="宋体"/>
                <w:b/>
                <w:bCs/>
                <w:kern w:val="0"/>
                <w:sz w:val="24"/>
              </w:rPr>
              <w:t>（满分30分）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b/>
                <w:bCs/>
                <w:color w:val="000000"/>
                <w:kern w:val="0"/>
                <w:sz w:val="24"/>
              </w:rPr>
              <w:t>评分因素</w:t>
            </w:r>
          </w:p>
        </w:tc>
        <w:tc>
          <w:tcPr>
            <w:tcW w:w="564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b/>
                <w:bCs/>
                <w:color w:val="000000"/>
                <w:kern w:val="0"/>
                <w:sz w:val="24"/>
              </w:rPr>
              <w:t>评分标准</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b/>
                <w:bCs/>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企业实力</w:t>
            </w:r>
          </w:p>
        </w:tc>
        <w:tc>
          <w:tcPr>
            <w:tcW w:w="5646" w:type="dxa"/>
            <w:tcBorders>
              <w:top w:val="single" w:color="auto" w:sz="4" w:space="0"/>
              <w:left w:val="single" w:color="auto" w:sz="4" w:space="0"/>
              <w:bottom w:val="single" w:color="auto" w:sz="4" w:space="0"/>
              <w:right w:val="single" w:color="auto" w:sz="4" w:space="0"/>
            </w:tcBorders>
            <w:vAlign w:val="center"/>
          </w:tcPr>
          <w:p>
            <w:pPr>
              <w:spacing w:line="174" w:lineRule="atLeast"/>
              <w:rPr>
                <w:rFonts w:ascii="宋体" w:hAnsi="宋体" w:cs="宋体"/>
                <w:kern w:val="0"/>
                <w:sz w:val="24"/>
              </w:rPr>
            </w:pPr>
            <w:r>
              <w:rPr>
                <w:rFonts w:hint="eastAsia" w:ascii="宋体" w:hAnsi="宋体" w:cs="宋体"/>
                <w:kern w:val="0"/>
                <w:sz w:val="24"/>
              </w:rPr>
              <w:t>1、投标人需提供信用等级评级机构出具的信用评估报告及证书，AAA级得3分，满分3分。</w:t>
            </w:r>
          </w:p>
          <w:p>
            <w:pPr>
              <w:spacing w:line="174" w:lineRule="atLeast"/>
              <w:rPr>
                <w:rFonts w:ascii="宋体" w:hAnsi="宋体" w:cs="宋体"/>
                <w:kern w:val="0"/>
                <w:sz w:val="24"/>
              </w:rPr>
            </w:pPr>
            <w:r>
              <w:rPr>
                <w:rFonts w:hint="eastAsia" w:ascii="宋体" w:hAnsi="宋体" w:cs="宋体"/>
                <w:kern w:val="0"/>
                <w:sz w:val="24"/>
              </w:rPr>
              <w:t>2、序号1产品生产厂商具有ISO9001、TL9000质量管理体系认证、ISO14001环境管理体系认证、ISO20000信息技术服务管理体系认证、ISO50001能源管理体系认证。每提供一个得2分，满分10分；</w:t>
            </w:r>
          </w:p>
          <w:p>
            <w:pPr>
              <w:spacing w:line="174" w:lineRule="atLeast"/>
              <w:rPr>
                <w:rFonts w:ascii="宋体" w:hAnsi="宋体" w:cs="宋体"/>
                <w:kern w:val="0"/>
                <w:sz w:val="24"/>
              </w:rPr>
            </w:pPr>
            <w:r>
              <w:rPr>
                <w:rFonts w:hint="eastAsia" w:ascii="宋体" w:hAnsi="宋体" w:cs="宋体"/>
                <w:kern w:val="0"/>
                <w:sz w:val="24"/>
              </w:rPr>
              <w:t>3、序号2产品生产厂商</w:t>
            </w:r>
            <w:r>
              <w:rPr>
                <w:rFonts w:ascii="宋体" w:hAnsi="宋体" w:cs="宋体"/>
                <w:kern w:val="0"/>
                <w:sz w:val="24"/>
              </w:rPr>
              <w:t>具备CMMI（软件能力成熟度模型集成）</w:t>
            </w:r>
            <w:r>
              <w:rPr>
                <w:rFonts w:hint="eastAsia" w:ascii="宋体" w:hAnsi="宋体" w:cs="宋体"/>
                <w:kern w:val="0"/>
                <w:sz w:val="24"/>
              </w:rPr>
              <w:t>认证，且认证地为中国；通过CMMI 5级及以上得5分，通过CMMI 4级得2分，其他不得分，满分5分；</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sz w:val="24"/>
              </w:rPr>
            </w:pPr>
            <w:r>
              <w:rPr>
                <w:rFonts w:hint="eastAsia" w:ascii="宋体" w:hAnsi="宋体" w:cs="仿宋"/>
                <w:kern w:val="0"/>
                <w:sz w:val="24"/>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业绩</w:t>
            </w:r>
          </w:p>
        </w:tc>
        <w:tc>
          <w:tcPr>
            <w:tcW w:w="564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4"/>
              </w:rPr>
            </w:pPr>
            <w:r>
              <w:rPr>
                <w:rFonts w:hint="eastAsia" w:ascii="宋体" w:hAnsi="宋体" w:cs="宋体"/>
                <w:kern w:val="0"/>
                <w:sz w:val="24"/>
              </w:rPr>
              <w:t>投标人提供自2015年1月1日之后签订的100万以上的类似建设项目，每提供一份得4分，满分12分。提供合同原件。</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sz w:val="24"/>
              </w:rPr>
            </w:pPr>
            <w:r>
              <w:rPr>
                <w:rFonts w:hint="eastAsia" w:ascii="宋体" w:hAnsi="宋体" w:cs="仿宋"/>
                <w:kern w:val="0"/>
                <w:sz w:val="24"/>
              </w:rPr>
              <w:t>12</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b/>
                <w:bCs/>
                <w:color w:val="000000"/>
                <w:kern w:val="0"/>
                <w:sz w:val="24"/>
              </w:rPr>
              <w:t>三、技术部分（满分40分）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b/>
                <w:bCs/>
                <w:color w:val="000000"/>
                <w:kern w:val="0"/>
                <w:sz w:val="24"/>
              </w:rPr>
              <w:t>评分因素</w:t>
            </w:r>
          </w:p>
        </w:tc>
        <w:tc>
          <w:tcPr>
            <w:tcW w:w="564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b/>
                <w:bCs/>
                <w:color w:val="000000"/>
                <w:kern w:val="0"/>
                <w:sz w:val="24"/>
              </w:rPr>
              <w:t>评分标准</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b/>
                <w:bCs/>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对招标文件</w:t>
            </w:r>
          </w:p>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响应程度</w:t>
            </w:r>
          </w:p>
        </w:tc>
        <w:tc>
          <w:tcPr>
            <w:tcW w:w="564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kern w:val="0"/>
                <w:sz w:val="24"/>
              </w:rPr>
            </w:pPr>
            <w:r>
              <w:rPr>
                <w:rFonts w:hint="eastAsia" w:ascii="宋体" w:hAnsi="宋体" w:cs="宋体"/>
                <w:kern w:val="0"/>
                <w:sz w:val="24"/>
              </w:rPr>
              <w:t>1、投标人所投产品需满足招标文件技术要求，序号1、2、3、4产品须提供产品的各项技术指标的技术证明文件并加盖厂商公章，每提供一项得3分，满分12分。</w:t>
            </w:r>
          </w:p>
          <w:p>
            <w:pPr>
              <w:widowControl/>
              <w:spacing w:line="320" w:lineRule="exact"/>
              <w:jc w:val="left"/>
              <w:rPr>
                <w:rFonts w:ascii="宋体" w:hAnsi="宋体" w:cs="宋体"/>
                <w:kern w:val="0"/>
                <w:sz w:val="24"/>
              </w:rPr>
            </w:pPr>
            <w:r>
              <w:rPr>
                <w:rFonts w:hint="eastAsia" w:ascii="宋体" w:hAnsi="宋体" w:cs="宋体"/>
                <w:kern w:val="0"/>
                <w:sz w:val="24"/>
              </w:rPr>
              <w:t>2、投标人提供驻场运维oracle数据库工程师OCM证书原件，并提供驻场工程师和投标人签订的合作协议加盖投标人公章的得5分，满分5分。缺项不得分。3、提供序号10产品详细的数据库迁移实施方案；</w:t>
            </w:r>
          </w:p>
          <w:p>
            <w:pPr>
              <w:widowControl/>
              <w:spacing w:line="320" w:lineRule="exact"/>
              <w:jc w:val="left"/>
              <w:rPr>
                <w:rFonts w:ascii="宋体" w:hAnsi="宋体" w:cs="宋体"/>
                <w:kern w:val="0"/>
                <w:sz w:val="24"/>
              </w:rPr>
            </w:pPr>
            <w:r>
              <w:rPr>
                <w:rFonts w:hint="eastAsia" w:ascii="宋体" w:hAnsi="宋体" w:cs="宋体"/>
                <w:kern w:val="0"/>
                <w:sz w:val="24"/>
              </w:rPr>
              <w:t>（1）数据库现状分析和需求分析透彻、清晰；迁移方案、切换方案、回退方案，设计合理且切实可行的得6分。</w:t>
            </w:r>
          </w:p>
          <w:p>
            <w:pPr>
              <w:widowControl/>
              <w:spacing w:line="320" w:lineRule="exact"/>
              <w:jc w:val="left"/>
              <w:rPr>
                <w:rFonts w:ascii="宋体" w:hAnsi="宋体" w:cs="宋体"/>
                <w:kern w:val="0"/>
                <w:sz w:val="24"/>
              </w:rPr>
            </w:pPr>
            <w:r>
              <w:rPr>
                <w:rFonts w:hint="eastAsia" w:ascii="宋体" w:hAnsi="宋体" w:cs="宋体"/>
                <w:kern w:val="0"/>
                <w:sz w:val="24"/>
              </w:rPr>
              <w:t>（2）能简单描述数据库现状、用户需求，具备迁移方案、切换方案、回退方案的得2分。</w:t>
            </w:r>
          </w:p>
          <w:p>
            <w:pPr>
              <w:widowControl/>
              <w:spacing w:line="320" w:lineRule="exact"/>
              <w:jc w:val="left"/>
              <w:rPr>
                <w:rFonts w:ascii="宋体" w:hAnsi="宋体" w:cs="宋体"/>
                <w:kern w:val="0"/>
                <w:sz w:val="24"/>
              </w:rPr>
            </w:pPr>
            <w:r>
              <w:rPr>
                <w:rFonts w:hint="eastAsia" w:ascii="宋体" w:hAnsi="宋体" w:cs="宋体"/>
                <w:kern w:val="0"/>
                <w:sz w:val="24"/>
              </w:rPr>
              <w:t>（3）其他不得分。</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sz w:val="24"/>
              </w:rPr>
            </w:pPr>
            <w:r>
              <w:rPr>
                <w:rFonts w:hint="eastAsia" w:ascii="宋体" w:hAnsi="宋体" w:cs="宋体"/>
                <w:kern w:val="0"/>
                <w:sz w:val="24"/>
              </w:rPr>
              <w:t>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投标文件</w:t>
            </w:r>
          </w:p>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规范程度</w:t>
            </w:r>
          </w:p>
        </w:tc>
        <w:tc>
          <w:tcPr>
            <w:tcW w:w="564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kern w:val="0"/>
                <w:sz w:val="24"/>
              </w:rPr>
            </w:pPr>
            <w:r>
              <w:rPr>
                <w:rFonts w:hint="eastAsia" w:ascii="宋体" w:hAnsi="宋体" w:cs="宋体"/>
                <w:color w:val="000000"/>
                <w:kern w:val="0"/>
                <w:sz w:val="24"/>
              </w:rPr>
              <w:t>投标文件的编制符合招标文件规定、装订整齐、印刷精美得2分；投标文件编制无目录和页码，排序混乱和缺篇少页的不得分。</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94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售后服务承诺</w:t>
            </w:r>
          </w:p>
        </w:tc>
        <w:tc>
          <w:tcPr>
            <w:tcW w:w="564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kern w:val="0"/>
                <w:sz w:val="24"/>
              </w:rPr>
            </w:pPr>
            <w:r>
              <w:rPr>
                <w:rFonts w:hint="eastAsia" w:ascii="宋体" w:hAnsi="宋体" w:cs="宋体"/>
                <w:kern w:val="0"/>
                <w:sz w:val="24"/>
              </w:rPr>
              <w:t>1、投标人对该项目整体提供三年原厂免费质保的得5分，满分5分；提供免费质保函原件加盖投标人公章。</w:t>
            </w:r>
          </w:p>
          <w:p>
            <w:pPr>
              <w:widowControl/>
              <w:spacing w:line="320" w:lineRule="exact"/>
              <w:jc w:val="left"/>
              <w:rPr>
                <w:rFonts w:ascii="宋体" w:hAnsi="宋体" w:cs="宋体"/>
                <w:kern w:val="0"/>
                <w:sz w:val="24"/>
              </w:rPr>
            </w:pPr>
            <w:r>
              <w:rPr>
                <w:rFonts w:hint="eastAsia" w:ascii="宋体" w:hAnsi="宋体" w:cs="宋体"/>
                <w:kern w:val="0"/>
                <w:sz w:val="24"/>
              </w:rPr>
              <w:t>2、投标人在三年整体原厂免费质保基础上每增加一年得2.5分，满分5分；提供免费质保函原件加盖投标人公章。</w:t>
            </w:r>
          </w:p>
          <w:p>
            <w:pPr>
              <w:widowControl/>
              <w:spacing w:line="320" w:lineRule="exact"/>
              <w:jc w:val="left"/>
              <w:rPr>
                <w:rFonts w:ascii="宋体" w:hAnsi="宋体" w:cs="宋体"/>
                <w:kern w:val="0"/>
                <w:sz w:val="24"/>
              </w:rPr>
            </w:pPr>
            <w:r>
              <w:rPr>
                <w:rFonts w:hint="eastAsia" w:ascii="宋体" w:hAnsi="宋体" w:cs="宋体"/>
                <w:kern w:val="0"/>
                <w:sz w:val="24"/>
              </w:rPr>
              <w:t>3、投标人针对本次项目提供详细的培训方案、能提供不少于2人次，不少于10天的ORACLE原厂数据库培训服务、且能提供2人的OCA或OCP认证考试的得5分，满分5分。</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15分</w:t>
            </w:r>
          </w:p>
        </w:tc>
      </w:tr>
    </w:tbl>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lang w:bidi="ar"/>
        </w:rPr>
        <w:t>六、采购资金支付</w:t>
      </w:r>
    </w:p>
    <w:p>
      <w:pPr>
        <w:wordWrap w:val="0"/>
        <w:topLinePunct/>
        <w:adjustRightInd w:val="0"/>
        <w:snapToGrid w:val="0"/>
        <w:spacing w:line="360" w:lineRule="auto"/>
        <w:ind w:firstLine="639" w:firstLineChars="213"/>
        <w:jc w:val="left"/>
        <w:rPr>
          <w:rFonts w:hint="eastAsia" w:ascii="宋体" w:hAnsi="宋体" w:eastAsia="仿宋"/>
          <w:color w:val="000000"/>
          <w:sz w:val="24"/>
          <w:lang w:eastAsia="zh-CN"/>
        </w:rPr>
      </w:pPr>
      <w:r>
        <w:rPr>
          <w:rFonts w:hint="eastAsia" w:ascii="仿宋" w:hAnsi="仿宋" w:eastAsia="仿宋" w:cs="仿宋"/>
          <w:color w:val="000000"/>
          <w:kern w:val="0"/>
          <w:sz w:val="30"/>
          <w:szCs w:val="30"/>
          <w:shd w:val="clear" w:color="auto" w:fill="FFFFFF"/>
          <w:lang w:bidi="ar"/>
        </w:rPr>
        <w:t>（一）支付方式：</w:t>
      </w:r>
      <w:r>
        <w:rPr>
          <w:rFonts w:hint="eastAsia" w:ascii="仿宋" w:hAnsi="仿宋" w:eastAsia="仿宋" w:cs="仿宋"/>
          <w:color w:val="000000"/>
          <w:kern w:val="0"/>
          <w:sz w:val="30"/>
          <w:szCs w:val="30"/>
          <w:shd w:val="clear" w:color="auto" w:fill="FFFFFF"/>
          <w:lang w:eastAsia="zh-CN" w:bidi="ar"/>
        </w:rPr>
        <w:t>银行转账</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lang w:bidi="ar"/>
        </w:rPr>
        <w:t>（二）支付时间及条件：经验收合格后</w:t>
      </w:r>
      <w:r>
        <w:rPr>
          <w:rFonts w:hint="eastAsia" w:ascii="仿宋" w:hAnsi="仿宋" w:eastAsia="仿宋" w:cs="仿宋"/>
          <w:color w:val="000000"/>
          <w:kern w:val="0"/>
          <w:sz w:val="30"/>
          <w:szCs w:val="30"/>
          <w:shd w:val="clear" w:color="auto" w:fill="FFFFFF"/>
          <w:lang w:val="en-US" w:eastAsia="zh-CN" w:bidi="ar"/>
        </w:rPr>
        <w:t>60天内</w:t>
      </w:r>
      <w:r>
        <w:rPr>
          <w:rFonts w:hint="eastAsia" w:ascii="仿宋" w:hAnsi="仿宋" w:eastAsia="仿宋" w:cs="仿宋"/>
          <w:color w:val="000000"/>
          <w:kern w:val="0"/>
          <w:sz w:val="30"/>
          <w:szCs w:val="30"/>
          <w:shd w:val="clear" w:color="auto" w:fill="FFFFFF"/>
          <w:lang w:bidi="ar"/>
        </w:rPr>
        <w:t>付合同总价款的90</w:t>
      </w:r>
      <w:r>
        <w:rPr>
          <w:rFonts w:ascii="仿宋" w:hAnsi="仿宋" w:eastAsia="仿宋" w:cs="仿宋"/>
          <w:color w:val="000000"/>
          <w:kern w:val="0"/>
          <w:sz w:val="30"/>
          <w:szCs w:val="30"/>
          <w:shd w:val="clear" w:color="auto" w:fill="FFFFFF"/>
          <w:lang w:bidi="ar"/>
        </w:rPr>
        <w:t>%</w:t>
      </w:r>
      <w:r>
        <w:rPr>
          <w:rFonts w:hint="eastAsia" w:ascii="仿宋" w:hAnsi="仿宋" w:eastAsia="仿宋" w:cs="仿宋"/>
          <w:color w:val="000000"/>
          <w:kern w:val="0"/>
          <w:sz w:val="30"/>
          <w:szCs w:val="30"/>
          <w:shd w:val="clear" w:color="auto" w:fill="FFFFFF"/>
          <w:lang w:bidi="ar"/>
        </w:rPr>
        <w:t>，剩余10</w:t>
      </w:r>
      <w:r>
        <w:rPr>
          <w:rFonts w:ascii="仿宋" w:hAnsi="仿宋" w:eastAsia="仿宋" w:cs="仿宋"/>
          <w:color w:val="000000"/>
          <w:kern w:val="0"/>
          <w:sz w:val="30"/>
          <w:szCs w:val="30"/>
          <w:shd w:val="clear" w:color="auto" w:fill="FFFFFF"/>
          <w:lang w:bidi="ar"/>
        </w:rPr>
        <w:t>%</w:t>
      </w:r>
      <w:r>
        <w:rPr>
          <w:rFonts w:hint="eastAsia" w:ascii="仿宋" w:hAnsi="仿宋" w:eastAsia="仿宋" w:cs="仿宋"/>
          <w:color w:val="000000"/>
          <w:kern w:val="0"/>
          <w:sz w:val="30"/>
          <w:szCs w:val="30"/>
          <w:shd w:val="clear" w:color="auto" w:fill="FFFFFF"/>
          <w:lang w:bidi="ar"/>
        </w:rPr>
        <w:t>满一年无质量问题一次付清。</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lang w:bidi="ar"/>
        </w:rPr>
        <w:t>七、联系方式</w:t>
      </w:r>
    </w:p>
    <w:p>
      <w:pPr>
        <w:widowControl/>
        <w:shd w:val="clear" w:color="auto" w:fill="FFFFFF"/>
        <w:spacing w:line="525" w:lineRule="atLeast"/>
        <w:ind w:firstLine="795"/>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lang w:bidi="ar"/>
        </w:rPr>
        <w:t>联系人姓名：崔利鹏</w:t>
      </w:r>
      <w:r>
        <w:rPr>
          <w:rFonts w:hint="eastAsia" w:ascii="宋体" w:hAnsi="宋体" w:eastAsia="宋体" w:cs="宋体"/>
          <w:color w:val="000000"/>
          <w:kern w:val="0"/>
          <w:sz w:val="30"/>
          <w:szCs w:val="30"/>
          <w:shd w:val="clear" w:color="auto" w:fill="FFFFFF"/>
          <w:lang w:bidi="ar"/>
        </w:rPr>
        <w:t>    </w:t>
      </w:r>
      <w:r>
        <w:rPr>
          <w:rFonts w:hint="eastAsia" w:ascii="仿宋" w:hAnsi="仿宋" w:eastAsia="仿宋" w:cs="仿宋"/>
          <w:color w:val="000000"/>
          <w:kern w:val="0"/>
          <w:sz w:val="30"/>
          <w:szCs w:val="30"/>
          <w:shd w:val="clear" w:color="auto" w:fill="FFFFFF"/>
          <w:lang w:bidi="ar"/>
        </w:rPr>
        <w:t>联系电话：0374-5137898</w:t>
      </w:r>
    </w:p>
    <w:p>
      <w:pPr>
        <w:widowControl/>
        <w:shd w:val="clear" w:color="auto" w:fill="FFFFFF"/>
        <w:spacing w:line="525" w:lineRule="atLeast"/>
        <w:ind w:firstLine="795"/>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lang w:bidi="ar"/>
        </w:rPr>
        <w:t>单位地址：许昌市许由路480号</w:t>
      </w:r>
    </w:p>
    <w:p>
      <w:pPr>
        <w:widowControl/>
        <w:shd w:val="clear" w:color="auto" w:fill="FFFFFF"/>
        <w:spacing w:line="330" w:lineRule="atLeast"/>
        <w:ind w:firstLine="4350"/>
        <w:jc w:val="right"/>
        <w:rPr>
          <w:rFonts w:ascii="仿宋" w:hAnsi="仿宋" w:eastAsia="仿宋" w:cs="仿宋"/>
          <w:color w:val="000000"/>
          <w:kern w:val="0"/>
          <w:sz w:val="30"/>
          <w:szCs w:val="30"/>
          <w:shd w:val="clear" w:color="auto" w:fill="FFFFFF"/>
          <w:lang w:bidi="ar"/>
        </w:rPr>
      </w:pPr>
    </w:p>
    <w:p>
      <w:pPr>
        <w:widowControl/>
        <w:shd w:val="clear" w:color="auto" w:fill="FFFFFF"/>
        <w:spacing w:line="330" w:lineRule="atLeast"/>
        <w:ind w:right="150" w:firstLine="5100"/>
        <w:jc w:val="right"/>
        <w:rPr>
          <w:rFonts w:ascii="宋体" w:hAnsi="宋体" w:eastAsia="宋体" w:cs="宋体"/>
          <w:color w:val="000000"/>
          <w:kern w:val="0"/>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Helvetica">
    <w:panose1 w:val="020B0604020202020204"/>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4054466"/>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D1E"/>
    <w:rsid w:val="00045AFC"/>
    <w:rsid w:val="00072F84"/>
    <w:rsid w:val="00085B08"/>
    <w:rsid w:val="00090A87"/>
    <w:rsid w:val="000A6432"/>
    <w:rsid w:val="000B6530"/>
    <w:rsid w:val="000D36BB"/>
    <w:rsid w:val="000E3EC4"/>
    <w:rsid w:val="000F1BFA"/>
    <w:rsid w:val="00102928"/>
    <w:rsid w:val="00104D28"/>
    <w:rsid w:val="001174F2"/>
    <w:rsid w:val="001241AE"/>
    <w:rsid w:val="00131D97"/>
    <w:rsid w:val="0015391A"/>
    <w:rsid w:val="00167671"/>
    <w:rsid w:val="00175776"/>
    <w:rsid w:val="00195CBC"/>
    <w:rsid w:val="001B45BA"/>
    <w:rsid w:val="001C3E83"/>
    <w:rsid w:val="001D0C24"/>
    <w:rsid w:val="001D79D9"/>
    <w:rsid w:val="001E29BA"/>
    <w:rsid w:val="00213726"/>
    <w:rsid w:val="002163B5"/>
    <w:rsid w:val="00233E4C"/>
    <w:rsid w:val="002460AB"/>
    <w:rsid w:val="00271EFC"/>
    <w:rsid w:val="002953D1"/>
    <w:rsid w:val="002E3353"/>
    <w:rsid w:val="00306EC1"/>
    <w:rsid w:val="0032352D"/>
    <w:rsid w:val="003256D2"/>
    <w:rsid w:val="0033294F"/>
    <w:rsid w:val="0033686A"/>
    <w:rsid w:val="0036271F"/>
    <w:rsid w:val="003643AE"/>
    <w:rsid w:val="0036703E"/>
    <w:rsid w:val="003A206D"/>
    <w:rsid w:val="003A3216"/>
    <w:rsid w:val="003A412F"/>
    <w:rsid w:val="003B1260"/>
    <w:rsid w:val="003D3D58"/>
    <w:rsid w:val="003E136F"/>
    <w:rsid w:val="003F69A0"/>
    <w:rsid w:val="00446484"/>
    <w:rsid w:val="00451EF3"/>
    <w:rsid w:val="00452144"/>
    <w:rsid w:val="00453D1E"/>
    <w:rsid w:val="004544ED"/>
    <w:rsid w:val="00456C70"/>
    <w:rsid w:val="00460B06"/>
    <w:rsid w:val="00476BD0"/>
    <w:rsid w:val="004C5B4E"/>
    <w:rsid w:val="004D629C"/>
    <w:rsid w:val="00501CD6"/>
    <w:rsid w:val="005214EE"/>
    <w:rsid w:val="00523DA7"/>
    <w:rsid w:val="005319D7"/>
    <w:rsid w:val="00537214"/>
    <w:rsid w:val="00571684"/>
    <w:rsid w:val="00590A0B"/>
    <w:rsid w:val="005D649D"/>
    <w:rsid w:val="00612FC0"/>
    <w:rsid w:val="0062653A"/>
    <w:rsid w:val="00633B1A"/>
    <w:rsid w:val="00643679"/>
    <w:rsid w:val="00651A79"/>
    <w:rsid w:val="0065480B"/>
    <w:rsid w:val="0066066B"/>
    <w:rsid w:val="006A5014"/>
    <w:rsid w:val="006D4279"/>
    <w:rsid w:val="006E2617"/>
    <w:rsid w:val="007164EE"/>
    <w:rsid w:val="007177E2"/>
    <w:rsid w:val="00733FD3"/>
    <w:rsid w:val="00741003"/>
    <w:rsid w:val="00746214"/>
    <w:rsid w:val="00746F75"/>
    <w:rsid w:val="0077098A"/>
    <w:rsid w:val="00794BC5"/>
    <w:rsid w:val="007A3F09"/>
    <w:rsid w:val="007D278F"/>
    <w:rsid w:val="007E0DFD"/>
    <w:rsid w:val="00800C30"/>
    <w:rsid w:val="00813297"/>
    <w:rsid w:val="00817BB7"/>
    <w:rsid w:val="00843198"/>
    <w:rsid w:val="00870FEA"/>
    <w:rsid w:val="0088264F"/>
    <w:rsid w:val="008B6E76"/>
    <w:rsid w:val="008C3D70"/>
    <w:rsid w:val="008E3DD7"/>
    <w:rsid w:val="009155BE"/>
    <w:rsid w:val="00921F13"/>
    <w:rsid w:val="009621F1"/>
    <w:rsid w:val="00967160"/>
    <w:rsid w:val="00974022"/>
    <w:rsid w:val="009A1FCA"/>
    <w:rsid w:val="009C3243"/>
    <w:rsid w:val="009C4434"/>
    <w:rsid w:val="009E5DF7"/>
    <w:rsid w:val="00A05FF2"/>
    <w:rsid w:val="00A15C04"/>
    <w:rsid w:val="00A208B0"/>
    <w:rsid w:val="00A20B47"/>
    <w:rsid w:val="00A22FD7"/>
    <w:rsid w:val="00A66D74"/>
    <w:rsid w:val="00A771DA"/>
    <w:rsid w:val="00AE4D15"/>
    <w:rsid w:val="00AE5E20"/>
    <w:rsid w:val="00B105A3"/>
    <w:rsid w:val="00B13525"/>
    <w:rsid w:val="00B22B46"/>
    <w:rsid w:val="00B276D3"/>
    <w:rsid w:val="00B34502"/>
    <w:rsid w:val="00B34662"/>
    <w:rsid w:val="00B67A69"/>
    <w:rsid w:val="00B72E90"/>
    <w:rsid w:val="00B80667"/>
    <w:rsid w:val="00B923A1"/>
    <w:rsid w:val="00B94141"/>
    <w:rsid w:val="00B968F8"/>
    <w:rsid w:val="00B972BC"/>
    <w:rsid w:val="00BA6444"/>
    <w:rsid w:val="00BC31EA"/>
    <w:rsid w:val="00BD0F5B"/>
    <w:rsid w:val="00C00EB6"/>
    <w:rsid w:val="00C05623"/>
    <w:rsid w:val="00C11ED7"/>
    <w:rsid w:val="00C14F20"/>
    <w:rsid w:val="00C34FB3"/>
    <w:rsid w:val="00C37DC0"/>
    <w:rsid w:val="00C41512"/>
    <w:rsid w:val="00C558A6"/>
    <w:rsid w:val="00C66C6E"/>
    <w:rsid w:val="00C7152F"/>
    <w:rsid w:val="00C8069E"/>
    <w:rsid w:val="00CA6873"/>
    <w:rsid w:val="00CC1768"/>
    <w:rsid w:val="00CC686C"/>
    <w:rsid w:val="00CD7584"/>
    <w:rsid w:val="00CE2D0E"/>
    <w:rsid w:val="00CE53FC"/>
    <w:rsid w:val="00CF43A6"/>
    <w:rsid w:val="00D14937"/>
    <w:rsid w:val="00D307D2"/>
    <w:rsid w:val="00D431F8"/>
    <w:rsid w:val="00D52568"/>
    <w:rsid w:val="00D67331"/>
    <w:rsid w:val="00D90360"/>
    <w:rsid w:val="00D92403"/>
    <w:rsid w:val="00DA1C7E"/>
    <w:rsid w:val="00DA1CEE"/>
    <w:rsid w:val="00DA5EAD"/>
    <w:rsid w:val="00DB7063"/>
    <w:rsid w:val="00DE45E8"/>
    <w:rsid w:val="00DE6684"/>
    <w:rsid w:val="00E46511"/>
    <w:rsid w:val="00E47628"/>
    <w:rsid w:val="00E62EC2"/>
    <w:rsid w:val="00E82B2F"/>
    <w:rsid w:val="00EA60BD"/>
    <w:rsid w:val="00EA6809"/>
    <w:rsid w:val="00EB00D7"/>
    <w:rsid w:val="00EB2F3B"/>
    <w:rsid w:val="00EC0BBE"/>
    <w:rsid w:val="00EC3D56"/>
    <w:rsid w:val="00ED5D87"/>
    <w:rsid w:val="00EE7250"/>
    <w:rsid w:val="00EF72EB"/>
    <w:rsid w:val="00F1774F"/>
    <w:rsid w:val="00F318DE"/>
    <w:rsid w:val="00F578A0"/>
    <w:rsid w:val="00F66D86"/>
    <w:rsid w:val="00F80B8F"/>
    <w:rsid w:val="00F81E3E"/>
    <w:rsid w:val="00FA238A"/>
    <w:rsid w:val="00FA2E58"/>
    <w:rsid w:val="00FE4E33"/>
    <w:rsid w:val="0AA0682D"/>
    <w:rsid w:val="106737B4"/>
    <w:rsid w:val="16295D5B"/>
    <w:rsid w:val="1AE103C3"/>
    <w:rsid w:val="43697D98"/>
    <w:rsid w:val="46F56AC3"/>
    <w:rsid w:val="6A5211CD"/>
    <w:rsid w:val="77D35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jc w:val="left"/>
    </w:pPr>
    <w:rPr>
      <w:rFonts w:ascii="宋体" w:hAnsi="宋体" w:eastAsia="宋体" w:cs="宋体"/>
      <w:kern w:val="0"/>
      <w:sz w:val="24"/>
      <w:szCs w:val="24"/>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18</Pages>
  <Words>1961</Words>
  <Characters>11181</Characters>
  <Lines>93</Lines>
  <Paragraphs>26</Paragraphs>
  <TotalTime>1</TotalTime>
  <ScaleCrop>false</ScaleCrop>
  <LinksUpToDate>false</LinksUpToDate>
  <CharactersWithSpaces>13116</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2018-06-15T01:05:00Z</dcterms:created>
  <dc:creator>微软中国</dc:creator>
  <cp:lastModifiedBy>许昌市公共资源交易中心:杨丹丹</cp:lastModifiedBy>
  <cp:lastPrinted>2018-07-03T07:32:00Z</cp:lastPrinted>
  <dcterms:modified xsi:type="dcterms:W3CDTF">2018-07-10T01:52:38Z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