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D" w:rsidRDefault="00D42EDD"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许昌</w:t>
      </w:r>
      <w:r w:rsidR="00364FAA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幼儿师范学校</w:t>
      </w:r>
    </w:p>
    <w:p w:rsidR="00D42EDD" w:rsidRDefault="00AE72BB">
      <w:pPr>
        <w:pStyle w:val="1"/>
        <w:widowControl/>
        <w:snapToGrid w:val="0"/>
        <w:spacing w:line="480" w:lineRule="auto"/>
        <w:jc w:val="center"/>
        <w:rPr>
          <w:rFonts w:ascii="仿宋_GB2312" w:eastAsia="仿宋_GB2312" w:hAnsi="微软雅黑" w:cs="仿宋_GB2312" w:hint="defaul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计算机教室</w:t>
      </w:r>
      <w:r w:rsidR="009946A4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采购</w:t>
      </w:r>
      <w:r w:rsidR="000179A6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需求、评标标准说明</w:t>
      </w:r>
    </w:p>
    <w:p w:rsidR="00D42EDD" w:rsidRDefault="000179A6">
      <w:pPr>
        <w:spacing w:line="46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一、项目概况</w:t>
      </w:r>
    </w:p>
    <w:p w:rsidR="009946A4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（一）项目名称：许昌</w:t>
      </w:r>
      <w:r w:rsidR="00364F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幼儿师范学校</w:t>
      </w:r>
      <w:r w:rsidR="00AE72B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计算机教室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（二）采购方式：公开招标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（三）主要内容</w:t>
      </w:r>
      <w:r w:rsidR="009946A4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、数量及要求</w:t>
      </w:r>
      <w:r w:rsidR="00AE72B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：2个计算机教室</w:t>
      </w:r>
      <w:r w:rsidR="00183CE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:一体机122台、交换机6台、机柜2个、双人桌60张、方凳122个等。</w:t>
      </w:r>
    </w:p>
    <w:p w:rsidR="00D42EDD" w:rsidRDefault="000179A6" w:rsidP="009946A4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</w:t>
      </w:r>
      <w:r w:rsidR="009946A4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）预算金额：</w:t>
      </w:r>
      <w:r w:rsidR="00AE72BB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52.64</w:t>
      </w:r>
      <w:r w:rsidR="00F21E1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元，最高限价：</w:t>
      </w:r>
      <w:r w:rsidR="00AE72BB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52.64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万元。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（五）交付服务时间：合同签订后</w:t>
      </w:r>
      <w:r w:rsidR="00FA635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20天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内；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（六）交付地点：许昌</w:t>
      </w:r>
      <w:r w:rsidR="00F21E1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幼儿师范学校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新校区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（七）进口产品：允许□不允许</w:t>
      </w:r>
      <w:r w:rsidR="00E47D0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E47D0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（八）分包：允许□不允许</w:t>
      </w:r>
      <w:r w:rsidR="00E47D0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E47D0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二、需要落实的政府采购政策</w:t>
      </w:r>
    </w:p>
    <w:p w:rsidR="00D42EDD" w:rsidRDefault="000179A6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本项目落实节能环保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等相关政府采购政策。</w:t>
      </w:r>
    </w:p>
    <w:p w:rsidR="00D42EDD" w:rsidRDefault="009946A4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三、投标人资格要求</w:t>
      </w:r>
    </w:p>
    <w:p w:rsidR="00D42EDD" w:rsidRPr="006E38CB" w:rsidRDefault="009946A4" w:rsidP="006E38CB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具备</w:t>
      </w:r>
      <w:r w:rsidR="000179A6" w:rsidRPr="006E38C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《中华人民共和国政府采购法》第二十二条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第一款</w:t>
      </w:r>
      <w:r w:rsidR="000179A6" w:rsidRPr="006E38C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规定条件并提供相关材料；</w:t>
      </w:r>
    </w:p>
    <w:p w:rsidR="00D42EDD" w:rsidRPr="009946A4" w:rsidRDefault="009946A4" w:rsidP="009946A4">
      <w:pPr>
        <w:spacing w:line="360" w:lineRule="auto"/>
        <w:ind w:firstLineChars="250"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</w:t>
      </w:r>
      <w:r w:rsidR="000179A6" w:rsidRPr="009946A4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本次招标接受□不接受</w:t>
      </w:r>
      <w:r w:rsidR="00E47D04" w:rsidRPr="009946A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 w:rsidR="000179A6" w:rsidRPr="009946A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 w:rsidR="000179A6" w:rsidRPr="009946A4"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 w:rsidR="000179A6" w:rsidRPr="009946A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E47D04" w:rsidRPr="009946A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 w:rsidR="000179A6" w:rsidRPr="009946A4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联合体投标。</w:t>
      </w:r>
    </w:p>
    <w:p w:rsidR="00D42EDD" w:rsidRDefault="000179A6" w:rsidP="006E38CB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根据</w:t>
      </w:r>
      <w:r w:rsidRPr="001B626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采购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项目特殊要求，规定投标人的特定条件：无</w:t>
      </w:r>
    </w:p>
    <w:p w:rsidR="00D42EDD" w:rsidRDefault="000179A6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四、</w:t>
      </w:r>
      <w:r w:rsidR="009946A4">
        <w:rPr>
          <w:rFonts w:ascii="黑体" w:eastAsia="黑体" w:hAnsi="黑体" w:hint="eastAsia"/>
          <w:color w:val="000000"/>
          <w:sz w:val="24"/>
        </w:rPr>
        <w:t>采购</w:t>
      </w:r>
      <w:r>
        <w:rPr>
          <w:rFonts w:ascii="黑体" w:eastAsia="黑体" w:hAnsi="黑体" w:hint="eastAsia"/>
          <w:color w:val="000000"/>
          <w:sz w:val="24"/>
        </w:rPr>
        <w:t>需求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（一）本项目需实现的功能或者目标：</w:t>
      </w:r>
    </w:p>
    <w:p w:rsidR="0010198D" w:rsidRDefault="0010198D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p w:rsidR="003E62AC" w:rsidRDefault="003E62AC" w:rsidP="003E62AC">
      <w:pPr>
        <w:widowControl/>
        <w:shd w:val="clear" w:color="auto" w:fill="FFFFFF"/>
        <w:tabs>
          <w:tab w:val="left" w:pos="1395"/>
        </w:tabs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ab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计算机教室主要满足学生上计算机课及课下进行练习。</w:t>
      </w:r>
    </w:p>
    <w:p w:rsidR="003E62AC" w:rsidRDefault="003E62A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p w:rsidR="003E62AC" w:rsidRDefault="003E62A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（二）采购清单：</w:t>
      </w:r>
    </w:p>
    <w:p w:rsidR="00F2504A" w:rsidRDefault="00F2504A" w:rsidP="00F2504A">
      <w:pPr>
        <w:pStyle w:val="a8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749"/>
        <w:gridCol w:w="567"/>
        <w:gridCol w:w="709"/>
        <w:gridCol w:w="4961"/>
        <w:gridCol w:w="1417"/>
      </w:tblGrid>
      <w:tr w:rsidR="001C46B4" w:rsidTr="001C46B4">
        <w:tc>
          <w:tcPr>
            <w:tcW w:w="664" w:type="dxa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49" w:type="dxa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67" w:type="dxa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4961" w:type="dxa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最低参数</w:t>
            </w:r>
          </w:p>
        </w:tc>
        <w:tc>
          <w:tcPr>
            <w:tcW w:w="1417" w:type="dxa"/>
            <w:vAlign w:val="center"/>
          </w:tcPr>
          <w:p w:rsidR="001C46B4" w:rsidRPr="001C46B4" w:rsidRDefault="001C46B4" w:rsidP="001C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是否为核心产品</w:t>
            </w:r>
          </w:p>
        </w:tc>
      </w:tr>
      <w:tr w:rsidR="001C46B4" w:rsidTr="001C46B4">
        <w:trPr>
          <w:trHeight w:val="2547"/>
        </w:trPr>
        <w:tc>
          <w:tcPr>
            <w:tcW w:w="664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一体机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商用一体电脑；</w:t>
            </w:r>
            <w:r w:rsidR="00EA0840">
              <w:rPr>
                <w:rFonts w:ascii="宋体" w:hAnsi="宋体" w:cs="宋体" w:hint="eastAsia"/>
                <w:kern w:val="0"/>
                <w:sz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</w:rPr>
              <w:t>主板芯片:Intel B250；21.5英寸屏幕分辨率1920x1080LED背光；</w:t>
            </w:r>
            <w:r w:rsidR="00EA0840">
              <w:rPr>
                <w:rFonts w:ascii="宋体" w:hAnsi="宋体" w:cs="宋体" w:hint="eastAsia"/>
                <w:kern w:val="0"/>
                <w:sz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</w:rPr>
              <w:t>英特尔CPU 主频3.4GH 及以上四核心；</w:t>
            </w:r>
            <w:r w:rsidR="00EA0840">
              <w:rPr>
                <w:rFonts w:ascii="宋体" w:hAnsi="宋体" w:cs="宋体" w:hint="eastAsia"/>
                <w:kern w:val="0"/>
                <w:sz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</w:rPr>
              <w:t>内存容量:</w:t>
            </w:r>
          </w:p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4gDDR4；内存插槽:2xSO-DIMM最大内存容量16GB；</w:t>
            </w:r>
            <w:r w:rsidR="00EA0840">
              <w:rPr>
                <w:rFonts w:ascii="宋体" w:hAnsi="宋体" w:cs="宋体" w:hint="eastAsia"/>
                <w:kern w:val="0"/>
                <w:sz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</w:rPr>
              <w:t>硬盘容量500G720转；</w:t>
            </w:r>
          </w:p>
          <w:p w:rsidR="001C46B4" w:rsidRDefault="00EA0840" w:rsidP="00A804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="001C46B4">
              <w:rPr>
                <w:rFonts w:ascii="宋体" w:hAnsi="宋体" w:cs="宋体" w:hint="eastAsia"/>
                <w:kern w:val="0"/>
                <w:sz w:val="24"/>
              </w:rPr>
              <w:t>显卡芯片:Intel GMA HD 630；显存容量:共享内存容量DirectX12；</w:t>
            </w:r>
          </w:p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多媒体设备:搭载可旋转调节摄像头；有线网卡:1000Mbps以太网卡</w:t>
            </w:r>
          </w:p>
          <w:p w:rsidR="001C46B4" w:rsidRDefault="001C46B4" w:rsidP="003E62A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数据接口:4×USB2.0，2×USB3.0；视频接口:HDMI；</w:t>
            </w:r>
            <w:r w:rsidR="003E62AC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</w:tr>
      <w:tr w:rsidR="001C46B4" w:rsidTr="001C46B4">
        <w:tc>
          <w:tcPr>
            <w:tcW w:w="664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交换机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（1）传输速率：100Mbps；（2）端口数量：24个（或2*24）；（3)背板带宽：≥8Gbps；（4）支持自动配包转发；（5） 网络标准：IEEE 802.3,IEEE 802。</w:t>
            </w:r>
          </w:p>
        </w:tc>
        <w:tc>
          <w:tcPr>
            <w:tcW w:w="1417" w:type="dxa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C46B4" w:rsidTr="001C46B4">
        <w:tc>
          <w:tcPr>
            <w:tcW w:w="664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机柜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网络机柜：符合ANSI/EIA RS-310-D，有门及门锁；（2）材料及工艺：SPC优质冷轧钢。 </w:t>
            </w:r>
          </w:p>
        </w:tc>
        <w:tc>
          <w:tcPr>
            <w:tcW w:w="1417" w:type="dxa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C46B4" w:rsidTr="001C46B4">
        <w:tc>
          <w:tcPr>
            <w:tcW w:w="664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电脑桌</w:t>
            </w:r>
          </w:p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（学生用）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人桌规格：W1200*D600*H750；采用一次性成型防火面板，厚25mm，迎面边带斜坡，其它部分采用三聚氢胺板，厚度18mm；板材质地应符合GB/T15102-94中一等品标准的要求；其他材料的性能应符合相应的环保标准要求；双主机箱、双键盘、ＰＶＣ封边制做。</w:t>
            </w:r>
          </w:p>
        </w:tc>
        <w:tc>
          <w:tcPr>
            <w:tcW w:w="1417" w:type="dxa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C46B4" w:rsidTr="001C46B4">
        <w:tc>
          <w:tcPr>
            <w:tcW w:w="664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电脑桌</w:t>
            </w:r>
          </w:p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（教师用）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单桌规格：W1200*D600*H750 ；采用一次性成型防火面板，厚25mm，迎面边带斜坡，其它部分采用三聚氢胺板，厚度18mm；板材质地应符合GB/T15102-94中一等品标准的要求；其他材料的性能应符合相应的环保标准要求；单主机箱、单键盘、ＰＶＣ封边制做。</w:t>
            </w:r>
          </w:p>
        </w:tc>
        <w:tc>
          <w:tcPr>
            <w:tcW w:w="1417" w:type="dxa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C46B4" w:rsidTr="001C46B4">
        <w:tc>
          <w:tcPr>
            <w:tcW w:w="664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学生及教师用方凳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钢制框架：技术处理要求：除油、酸洗、中和、水洗、磷化、水洗、烘干、静电喷塑等。凳面采用一次性成型防火多层板，厚度20mm以上。</w:t>
            </w:r>
          </w:p>
        </w:tc>
        <w:tc>
          <w:tcPr>
            <w:tcW w:w="1417" w:type="dxa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C46B4" w:rsidTr="001C46B4">
        <w:tc>
          <w:tcPr>
            <w:tcW w:w="664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插座等辅材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（1）插座:10孔，大于等于10A,防水，防漏电；（2）电源主线：国标，BV铜芯聚氯乙烯绝缘电线6平方毫米；电源辅线：国标，BV铜芯聚氯乙烯绝缘电线4平方毫米；（3）空气开关漏电保护器（30mA）要求接地；（4）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地面线槽用工字型方钢、地上线槽用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pvc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，（5）水晶头等其它辅材。</w:t>
            </w:r>
          </w:p>
        </w:tc>
        <w:tc>
          <w:tcPr>
            <w:tcW w:w="1417" w:type="dxa"/>
            <w:vAlign w:val="center"/>
          </w:tcPr>
          <w:p w:rsidR="001C46B4" w:rsidRDefault="001C46B4" w:rsidP="00A804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否</w:t>
            </w:r>
          </w:p>
        </w:tc>
      </w:tr>
      <w:tr w:rsidR="001C46B4" w:rsidTr="001C46B4">
        <w:tc>
          <w:tcPr>
            <w:tcW w:w="664" w:type="dxa"/>
          </w:tcPr>
          <w:p w:rsidR="001C46B4" w:rsidRDefault="001C46B4" w:rsidP="00A804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8</w:t>
            </w:r>
          </w:p>
        </w:tc>
        <w:tc>
          <w:tcPr>
            <w:tcW w:w="749" w:type="dxa"/>
          </w:tcPr>
          <w:p w:rsidR="001C46B4" w:rsidRDefault="001C46B4" w:rsidP="00A804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网线</w:t>
            </w:r>
          </w:p>
        </w:tc>
        <w:tc>
          <w:tcPr>
            <w:tcW w:w="567" w:type="dxa"/>
          </w:tcPr>
          <w:p w:rsidR="001C46B4" w:rsidRDefault="001C46B4" w:rsidP="00A804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箱</w:t>
            </w:r>
          </w:p>
        </w:tc>
        <w:tc>
          <w:tcPr>
            <w:tcW w:w="709" w:type="dxa"/>
          </w:tcPr>
          <w:p w:rsidR="001C46B4" w:rsidRDefault="001C46B4" w:rsidP="00A804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4961" w:type="dxa"/>
          </w:tcPr>
          <w:p w:rsidR="001C46B4" w:rsidRDefault="001C46B4" w:rsidP="00A804B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超五类100欧姆四线对双绞线, 线芯导体为24AWG的实芯裸铜. 绝缘层采用聚乙烯类高分子材料. 外皮采用阻燃PVC材料, 内部带撕裂绳. 性能稳定并具有极高的性能余量</w:t>
            </w:r>
            <w:r>
              <w:rPr>
                <w:rFonts w:ascii="宋体" w:hAnsi="宋体" w:cs="宋体" w:hint="eastAsia"/>
                <w:kern w:val="0"/>
                <w:sz w:val="24"/>
              </w:rPr>
              <w:t>。*综合布线工程完工后需对损坏部分进行重新装饰.</w:t>
            </w:r>
          </w:p>
        </w:tc>
        <w:tc>
          <w:tcPr>
            <w:tcW w:w="1417" w:type="dxa"/>
          </w:tcPr>
          <w:p w:rsidR="001C46B4" w:rsidRDefault="001C46B4" w:rsidP="00A804B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</w:tbl>
    <w:p w:rsidR="00D42EDD" w:rsidRPr="001C46B4" w:rsidRDefault="004707E3" w:rsidP="004707E3">
      <w:pPr>
        <w:tabs>
          <w:tab w:val="left" w:pos="735"/>
        </w:tabs>
        <w:rPr>
          <w:sz w:val="24"/>
        </w:rPr>
      </w:pPr>
      <w:r>
        <w:rPr>
          <w:sz w:val="24"/>
        </w:rPr>
        <w:tab/>
      </w:r>
    </w:p>
    <w:p w:rsidR="004707E3" w:rsidRDefault="004707E3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（三）采购标的执行标准:无</w:t>
      </w:r>
    </w:p>
    <w:p w:rsidR="00426511" w:rsidRDefault="000179A6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</w:t>
      </w:r>
      <w:r w:rsidR="00B165D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）</w:t>
      </w:r>
      <w:r w:rsidR="0042651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服务标准、期限、效率等要求：无</w:t>
      </w:r>
    </w:p>
    <w:p w:rsidR="00D42EDD" w:rsidRDefault="00426511" w:rsidP="00426511">
      <w:pPr>
        <w:widowControl/>
        <w:shd w:val="clear" w:color="auto" w:fill="FFFFFF"/>
        <w:spacing w:line="360" w:lineRule="atLeast"/>
        <w:ind w:firstLineChars="250"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</w:t>
      </w:r>
      <w:r w:rsidR="000179A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验收标准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由采购人成立验收小组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出具验收书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由验收双方共同签署。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</w:t>
      </w:r>
      <w:r w:rsidR="0042651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六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）采购标的的其他技术、服务等要求</w:t>
      </w:r>
    </w:p>
    <w:p w:rsidR="00D42EDD" w:rsidRDefault="000179A6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1、保修及服务</w:t>
      </w:r>
    </w:p>
    <w:p w:rsidR="00D42EDD" w:rsidRDefault="000179A6" w:rsidP="007621B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.1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投标人所投项目中</w:t>
      </w:r>
      <w:r w:rsidR="00183CE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一体机、交换机、机柜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必须提供至少</w:t>
      </w:r>
      <w:r w:rsidR="008C674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年免费质保，</w:t>
      </w:r>
      <w:r w:rsidR="007621B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免费质保期过后维修费只收成本价，质保期内所有</w:t>
      </w:r>
      <w:r w:rsidR="0010198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一体机、交换机、机柜</w:t>
      </w:r>
      <w:r w:rsidR="007621B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免费保修或更换。</w:t>
      </w:r>
    </w:p>
    <w:p w:rsidR="00D42EDD" w:rsidRDefault="000179A6" w:rsidP="007621B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</w:t>
      </w:r>
      <w:r w:rsidR="007621BE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投标人须明确在接到服务要求时的响应时间。须明确维修点地址、负责人、联系人和联系电话，维修点具备何等维修能力等详细资料。保修期内提供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小时免费技术支持服务。自验收合格之日起，质保期内发生的相关一切费用由中标人承担，并且在保修范围内损坏而更换的部件质保期顺延。</w:t>
      </w:r>
    </w:p>
    <w:p w:rsidR="00D42EDD" w:rsidRDefault="000179A6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</w:t>
      </w:r>
      <w:r w:rsidR="00765245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计算机教室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要求：供应商保证其提供的</w:t>
      </w:r>
      <w:r w:rsidR="00765245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所有产品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是全新的、未使用过的，在各个方面符合合同规定的质量、规格和性能要求。</w:t>
      </w:r>
      <w:r w:rsidR="00765245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一体机、交换机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经过正确安装、合理操作和维护保养，运转良好。在规定的质保期内，中标人应对由于设计、工艺或材料的缺陷或故障负责。</w:t>
      </w:r>
    </w:p>
    <w:p w:rsidR="00D42EDD" w:rsidRDefault="000179A6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3、所提供的技术资料完整正确，数据和资料准确无误，能够保证</w:t>
      </w:r>
      <w:r w:rsidR="00765245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计算机教室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按时正确地安装、调试和验收，并能满足正常运行和维修保养的需要。</w:t>
      </w:r>
    </w:p>
    <w:p w:rsidR="00D42EDD" w:rsidRDefault="000179A6" w:rsidP="00AA5226">
      <w:pPr>
        <w:widowControl/>
        <w:shd w:val="clear" w:color="auto" w:fill="FFFFFF"/>
        <w:spacing w:line="360" w:lineRule="atLeast"/>
        <w:ind w:firstLineChars="250"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五、评标方法和评标标准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（一）评标方法：最低评标价法□ 综合评分法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（二）综合评分法评标标准：</w:t>
      </w:r>
    </w:p>
    <w:tbl>
      <w:tblPr>
        <w:tblW w:w="873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0"/>
        <w:gridCol w:w="20"/>
        <w:gridCol w:w="5025"/>
        <w:gridCol w:w="2250"/>
      </w:tblGrid>
      <w:tr w:rsidR="00B33C43" w:rsidTr="002D7788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分值构成</w:t>
            </w:r>
          </w:p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73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价格分值：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3</w:t>
            </w:r>
            <w:r w:rsidR="00496C9F"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B33C43" w:rsidRDefault="00B33C43" w:rsidP="002D7788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商务部分：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  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B33C43" w:rsidRDefault="00B33C43" w:rsidP="00FE56D2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技术部分：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B33C43" w:rsidTr="002D7788">
        <w:trPr>
          <w:trHeight w:val="59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一、价格部分（满分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u w:val="single"/>
              </w:rPr>
              <w:t>3</w:t>
            </w:r>
            <w:r w:rsidR="00496C9F">
              <w:rPr>
                <w:rFonts w:ascii="仿宋" w:eastAsia="仿宋" w:hAnsi="仿宋" w:cs="仿宋"/>
                <w:b/>
                <w:color w:val="000000"/>
                <w:kern w:val="0"/>
                <w:sz w:val="24"/>
                <w:u w:val="single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B33C43" w:rsidTr="002D7788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B33C43" w:rsidTr="002D7788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评标基准价：满足招标文件要求的有效投标报价中，最低的投标报价为评标基准价。</w:t>
            </w:r>
          </w:p>
          <w:p w:rsidR="00B33C43" w:rsidRDefault="00B33C43" w:rsidP="002D7788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投标报价得分=（评标基准价/投标报价）×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3</w:t>
            </w:r>
            <w:r w:rsidR="00496C9F"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3</w:t>
            </w:r>
            <w:r w:rsidR="00496C9F"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B33C43" w:rsidTr="002D7788">
        <w:trPr>
          <w:trHeight w:val="59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FE56D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二、商务部分（满分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 w:rsidR="00FE56D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36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B33C43" w:rsidTr="002D7788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B33C43" w:rsidTr="002D7788">
        <w:trPr>
          <w:trHeight w:val="689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信誉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FE56D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根据投标人在2016年度以来社会对其认可度以及行政主管部门、工商、银行、行业部门颁发的荣誉证书等情况评定，每提供一份荣誉证书得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分，满分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分。未提供不得分。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FE56D2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8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B33C43" w:rsidTr="002D7788">
        <w:trPr>
          <w:trHeight w:val="745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企业实力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Pr="00496C9F" w:rsidRDefault="00496C9F" w:rsidP="00496C9F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.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</w:t>
            </w:r>
            <w:r w:rsidR="00183CE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通过IOS9001质量管理体系认证/ISO14001环境管理体系认证/OHSAS18001职业健康安全管理体系认证</w:t>
            </w:r>
            <w:r w:rsidR="00183CE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="0006111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提供一项得</w:t>
            </w:r>
            <w:r w:rsid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 w:rsidR="00183CE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分，共</w:t>
            </w:r>
            <w:r w:rsid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分；</w:t>
            </w:r>
          </w:p>
          <w:p w:rsidR="00496C9F" w:rsidRPr="00496C9F" w:rsidRDefault="00496C9F" w:rsidP="00496C9F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</w:t>
            </w:r>
            <w:r w:rsidR="003E62A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具有AAA级信用等级证书得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分；</w:t>
            </w:r>
          </w:p>
          <w:p w:rsidR="00B33C43" w:rsidRDefault="00B33C43" w:rsidP="00496C9F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53006C" w:rsidP="00FE56D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1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4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B33C43" w:rsidTr="002D7788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53006C" w:rsidP="002E53E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投标人具有2015年以来类似项目业绩且合同金额在</w:t>
            </w:r>
            <w:r w:rsidR="00B165D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万元以上（含</w:t>
            </w:r>
            <w:r w:rsidR="00B165D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万），</w:t>
            </w:r>
            <w:r w:rsidR="0006111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提供一份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得3分，最多得9分。（</w:t>
            </w:r>
            <w:r w:rsidR="002E53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招标文件中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提供合同、中标通知书</w:t>
            </w:r>
            <w:r w:rsidR="002E53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复印件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 w:rsidR="0053006C"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B33C43" w:rsidTr="002D7788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投标文件规范程度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FE56D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装订规范、文字清晰、无差错得</w:t>
            </w:r>
            <w:r w:rsidR="00ED67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分，所提供资料准确完整得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FE56D2" w:rsidP="002D7788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5</w:t>
            </w:r>
            <w:r w:rsidR="00B33C43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B33C43" w:rsidTr="002D7788">
        <w:trPr>
          <w:trHeight w:val="623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ED671E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三、技术部分（满分</w:t>
            </w:r>
            <w:r w:rsidR="00ED671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2</w:t>
            </w:r>
            <w:r w:rsidR="00FE56D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B33C43" w:rsidTr="002D7788">
        <w:trPr>
          <w:trHeight w:val="59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B33C43" w:rsidTr="002D7788">
        <w:trPr>
          <w:trHeight w:val="487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对招标文件</w:t>
            </w:r>
          </w:p>
          <w:p w:rsidR="00B33C43" w:rsidRDefault="00B33C43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响应程度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A360D0" w:rsidP="00FE56D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所投</w:t>
            </w:r>
            <w:r w:rsidR="00EA0840"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一体机的主板芯片、</w:t>
            </w:r>
            <w:r w:rsidR="00356975" w:rsidRPr="00356975">
              <w:rPr>
                <w:rFonts w:ascii="宋体" w:hAnsi="宋体" w:cs="宋体" w:hint="eastAsia"/>
                <w:kern w:val="0"/>
                <w:sz w:val="24"/>
              </w:rPr>
              <w:t xml:space="preserve">英特尔CPU </w:t>
            </w:r>
            <w:r w:rsidR="00356975"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EA0840"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内存容量、硬盘容量、显卡芯片</w:t>
            </w:r>
            <w:r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的技术参数优于“</w:t>
            </w:r>
            <w:r w:rsidR="002E53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采购清单</w:t>
            </w:r>
            <w:r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”</w:t>
            </w:r>
            <w:r w:rsidR="002E53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</w:t>
            </w:r>
            <w:r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技术参数</w:t>
            </w:r>
            <w:r w:rsidR="00EA0840"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，每优</w:t>
            </w:r>
            <w:r w:rsid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一项</w:t>
            </w:r>
            <w:r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分。满分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 w:rsidRPr="0035697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 w:rsidRPr="00A360D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FE56D2" w:rsidP="00ED671E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20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B33C43" w:rsidTr="002D7788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B33C43" w:rsidP="002D7788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售后服务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2B4003" w:rsidP="002D7788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.解决问题时间以小时为单位（四舍五入法，30分钟及以上按1小时计算），以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小时为起点，基本分1分，每减少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小时，加0.5分，满分</w:t>
            </w:r>
            <w:r w:rsidR="00FE56D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小时以上的不得分。</w:t>
            </w:r>
          </w:p>
          <w:p w:rsidR="00B33C43" w:rsidRDefault="002B4003" w:rsidP="002D7788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.投标人针对本项目</w:t>
            </w:r>
            <w:r w:rsidRPr="002B400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提供完善售后服务方案、售后服务保障措施，依据内容全面性、合理性、</w:t>
            </w:r>
            <w:r w:rsidRPr="002B400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可行性得分</w:t>
            </w:r>
            <w:r w:rsidR="00A3710E"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分，培训计划情况1分。不提供不得分。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3C43" w:rsidRDefault="00FE56D2" w:rsidP="002D778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lastRenderedPageBreak/>
              <w:t>9</w:t>
            </w:r>
            <w:r w:rsidR="00B33C4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</w:tbl>
    <w:p w:rsidR="00D42EDD" w:rsidRPr="005C1B88" w:rsidRDefault="00D42EDD">
      <w:pPr>
        <w:snapToGrid w:val="0"/>
        <w:spacing w:line="500" w:lineRule="exact"/>
        <w:rPr>
          <w:rFonts w:ascii="黑体" w:eastAsia="黑体" w:hAnsi="黑体"/>
          <w:color w:val="000000"/>
          <w:sz w:val="24"/>
        </w:rPr>
      </w:pP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六、采购资金支付</w:t>
      </w:r>
    </w:p>
    <w:p w:rsidR="00D42EDD" w:rsidRDefault="000179A6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（一）支付方式：银行转账 </w:t>
      </w:r>
    </w:p>
    <w:p w:rsidR="00D42EDD" w:rsidRDefault="00765245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（二）支付时间及条件：计算机教室全部</w:t>
      </w:r>
      <w:r w:rsidR="000179A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安装、调试完成并验收通过后，支付合同价款的90%，一年质保期满后，支付合同价款的10%。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24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七、采购单位联系方式及地址</w:t>
      </w:r>
    </w:p>
    <w:p w:rsidR="00D42EDD" w:rsidRDefault="000179A6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联系人：</w:t>
      </w:r>
      <w:r w:rsidR="00E7032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张合伦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              联系电话：1</w:t>
      </w:r>
      <w:r w:rsidR="00E70320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8939128352</w:t>
      </w:r>
    </w:p>
    <w:p w:rsidR="00D42EDD" w:rsidRDefault="000179A6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地址：</w:t>
      </w:r>
      <w:r w:rsidR="00B71EF3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河南省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襄城县</w:t>
      </w:r>
      <w:r w:rsidR="00B71EF3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城关镇利民西街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许昌幼儿师范学校</w:t>
      </w:r>
    </w:p>
    <w:p w:rsidR="00D42EDD" w:rsidRDefault="00D42EDD">
      <w:pPr>
        <w:rPr>
          <w:sz w:val="24"/>
        </w:rPr>
      </w:pPr>
    </w:p>
    <w:sectPr w:rsidR="00D42EDD" w:rsidSect="001C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9C" w:rsidRDefault="0052709C" w:rsidP="0069501A">
      <w:r>
        <w:separator/>
      </w:r>
    </w:p>
  </w:endnote>
  <w:endnote w:type="continuationSeparator" w:id="0">
    <w:p w:rsidR="0052709C" w:rsidRDefault="0052709C" w:rsidP="0069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9C" w:rsidRDefault="0052709C" w:rsidP="0069501A">
      <w:r>
        <w:separator/>
      </w:r>
    </w:p>
  </w:footnote>
  <w:footnote w:type="continuationSeparator" w:id="0">
    <w:p w:rsidR="0052709C" w:rsidRDefault="0052709C" w:rsidP="00695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47680"/>
    <w:multiLevelType w:val="singleLevel"/>
    <w:tmpl w:val="BFA47680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36D25B36"/>
    <w:multiLevelType w:val="hybridMultilevel"/>
    <w:tmpl w:val="EEA01326"/>
    <w:lvl w:ilvl="0" w:tplc="3564C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EA7BE2"/>
    <w:multiLevelType w:val="hybridMultilevel"/>
    <w:tmpl w:val="CD5CFB1E"/>
    <w:lvl w:ilvl="0" w:tplc="79BA4F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9477C71"/>
    <w:multiLevelType w:val="hybridMultilevel"/>
    <w:tmpl w:val="559E174E"/>
    <w:lvl w:ilvl="0" w:tplc="01B2798C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346512"/>
    <w:rsid w:val="000179A6"/>
    <w:rsid w:val="00027504"/>
    <w:rsid w:val="00031815"/>
    <w:rsid w:val="000327D2"/>
    <w:rsid w:val="00061113"/>
    <w:rsid w:val="000871CD"/>
    <w:rsid w:val="000A284F"/>
    <w:rsid w:val="000B0A2D"/>
    <w:rsid w:val="000B5E46"/>
    <w:rsid w:val="000C1E58"/>
    <w:rsid w:val="0010198D"/>
    <w:rsid w:val="001249E3"/>
    <w:rsid w:val="00125C52"/>
    <w:rsid w:val="00181E19"/>
    <w:rsid w:val="00183CE1"/>
    <w:rsid w:val="001B6260"/>
    <w:rsid w:val="001C46B4"/>
    <w:rsid w:val="001C5234"/>
    <w:rsid w:val="001D75CC"/>
    <w:rsid w:val="0025316F"/>
    <w:rsid w:val="00267296"/>
    <w:rsid w:val="002B4003"/>
    <w:rsid w:val="002E53E2"/>
    <w:rsid w:val="00333382"/>
    <w:rsid w:val="00356975"/>
    <w:rsid w:val="00364FAA"/>
    <w:rsid w:val="003D236D"/>
    <w:rsid w:val="003E62AC"/>
    <w:rsid w:val="00406187"/>
    <w:rsid w:val="00421EA0"/>
    <w:rsid w:val="00422748"/>
    <w:rsid w:val="00426511"/>
    <w:rsid w:val="004461BE"/>
    <w:rsid w:val="004628D6"/>
    <w:rsid w:val="004707E3"/>
    <w:rsid w:val="00496C9F"/>
    <w:rsid w:val="0050008A"/>
    <w:rsid w:val="0052709C"/>
    <w:rsid w:val="0053006C"/>
    <w:rsid w:val="005529B2"/>
    <w:rsid w:val="00563C38"/>
    <w:rsid w:val="005977F6"/>
    <w:rsid w:val="005C1B88"/>
    <w:rsid w:val="005D1992"/>
    <w:rsid w:val="00600D90"/>
    <w:rsid w:val="00603096"/>
    <w:rsid w:val="00610A53"/>
    <w:rsid w:val="00641A93"/>
    <w:rsid w:val="006924F4"/>
    <w:rsid w:val="0069501A"/>
    <w:rsid w:val="00696C0F"/>
    <w:rsid w:val="006C2F8B"/>
    <w:rsid w:val="006E38CB"/>
    <w:rsid w:val="007172C7"/>
    <w:rsid w:val="007621BE"/>
    <w:rsid w:val="00765245"/>
    <w:rsid w:val="007A0DA7"/>
    <w:rsid w:val="007B5A38"/>
    <w:rsid w:val="007C163F"/>
    <w:rsid w:val="007D17E0"/>
    <w:rsid w:val="007E4B83"/>
    <w:rsid w:val="00873231"/>
    <w:rsid w:val="008C674B"/>
    <w:rsid w:val="008D27C9"/>
    <w:rsid w:val="00902B25"/>
    <w:rsid w:val="009719D8"/>
    <w:rsid w:val="00981F56"/>
    <w:rsid w:val="009946A4"/>
    <w:rsid w:val="00A360D0"/>
    <w:rsid w:val="00A3710E"/>
    <w:rsid w:val="00AA5226"/>
    <w:rsid w:val="00AE72BB"/>
    <w:rsid w:val="00B165D1"/>
    <w:rsid w:val="00B17A6B"/>
    <w:rsid w:val="00B33C43"/>
    <w:rsid w:val="00B452C8"/>
    <w:rsid w:val="00B71EF3"/>
    <w:rsid w:val="00BE5517"/>
    <w:rsid w:val="00BF16CF"/>
    <w:rsid w:val="00C17DE8"/>
    <w:rsid w:val="00C40688"/>
    <w:rsid w:val="00C523B8"/>
    <w:rsid w:val="00C84B40"/>
    <w:rsid w:val="00D1740B"/>
    <w:rsid w:val="00D42EDD"/>
    <w:rsid w:val="00D80DBF"/>
    <w:rsid w:val="00E34A7B"/>
    <w:rsid w:val="00E47D04"/>
    <w:rsid w:val="00E70320"/>
    <w:rsid w:val="00E73C0A"/>
    <w:rsid w:val="00E96CD2"/>
    <w:rsid w:val="00EA0840"/>
    <w:rsid w:val="00ED671E"/>
    <w:rsid w:val="00EE594A"/>
    <w:rsid w:val="00EE732F"/>
    <w:rsid w:val="00F06DD4"/>
    <w:rsid w:val="00F14151"/>
    <w:rsid w:val="00F21E12"/>
    <w:rsid w:val="00F2504A"/>
    <w:rsid w:val="00F86376"/>
    <w:rsid w:val="00F87065"/>
    <w:rsid w:val="00FA4ADA"/>
    <w:rsid w:val="00FA6358"/>
    <w:rsid w:val="00FD2774"/>
    <w:rsid w:val="00FE56D2"/>
    <w:rsid w:val="00FF0761"/>
    <w:rsid w:val="03112627"/>
    <w:rsid w:val="04795749"/>
    <w:rsid w:val="07430E51"/>
    <w:rsid w:val="0C775EC8"/>
    <w:rsid w:val="0C962C50"/>
    <w:rsid w:val="0EE528AE"/>
    <w:rsid w:val="0F6F2ACB"/>
    <w:rsid w:val="0F6F44A2"/>
    <w:rsid w:val="0FCF4E1D"/>
    <w:rsid w:val="1024060F"/>
    <w:rsid w:val="10DD1776"/>
    <w:rsid w:val="115C5C40"/>
    <w:rsid w:val="12055F61"/>
    <w:rsid w:val="135F4EEC"/>
    <w:rsid w:val="15C33BA6"/>
    <w:rsid w:val="176972CC"/>
    <w:rsid w:val="18426938"/>
    <w:rsid w:val="1AB227F0"/>
    <w:rsid w:val="1AB75A2F"/>
    <w:rsid w:val="1AD56DF0"/>
    <w:rsid w:val="1B860633"/>
    <w:rsid w:val="1D993982"/>
    <w:rsid w:val="1ED70BAA"/>
    <w:rsid w:val="213C7057"/>
    <w:rsid w:val="22694F55"/>
    <w:rsid w:val="243F4C59"/>
    <w:rsid w:val="26E30A1F"/>
    <w:rsid w:val="26F05F74"/>
    <w:rsid w:val="27EE3EBD"/>
    <w:rsid w:val="29C32FB1"/>
    <w:rsid w:val="2AEC0223"/>
    <w:rsid w:val="2CDC74DF"/>
    <w:rsid w:val="2E8A274F"/>
    <w:rsid w:val="30372EE4"/>
    <w:rsid w:val="30A97C87"/>
    <w:rsid w:val="30C05130"/>
    <w:rsid w:val="37800BBD"/>
    <w:rsid w:val="38036291"/>
    <w:rsid w:val="3B96326E"/>
    <w:rsid w:val="3DBF015D"/>
    <w:rsid w:val="3FDE02C6"/>
    <w:rsid w:val="40026BF9"/>
    <w:rsid w:val="40683545"/>
    <w:rsid w:val="43751D6B"/>
    <w:rsid w:val="446349FE"/>
    <w:rsid w:val="451E5BA6"/>
    <w:rsid w:val="453E17D1"/>
    <w:rsid w:val="458E7EEE"/>
    <w:rsid w:val="45CF6385"/>
    <w:rsid w:val="48C87536"/>
    <w:rsid w:val="48EB758D"/>
    <w:rsid w:val="4B2E45DD"/>
    <w:rsid w:val="50C958B8"/>
    <w:rsid w:val="52E228F6"/>
    <w:rsid w:val="53CA6F57"/>
    <w:rsid w:val="56984FDF"/>
    <w:rsid w:val="5A322ACA"/>
    <w:rsid w:val="5B1D0C62"/>
    <w:rsid w:val="5B513BF5"/>
    <w:rsid w:val="5C810DC3"/>
    <w:rsid w:val="5E623816"/>
    <w:rsid w:val="5F1B2A2D"/>
    <w:rsid w:val="5F346512"/>
    <w:rsid w:val="602B3091"/>
    <w:rsid w:val="64550E2D"/>
    <w:rsid w:val="65B43EA9"/>
    <w:rsid w:val="66AA26C7"/>
    <w:rsid w:val="6C0415B9"/>
    <w:rsid w:val="71CA4F34"/>
    <w:rsid w:val="74255B8E"/>
    <w:rsid w:val="756918B9"/>
    <w:rsid w:val="79D17AE5"/>
    <w:rsid w:val="7AC83E71"/>
    <w:rsid w:val="7CB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42EDD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42EDD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D42EDD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D42ED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D42EDD"/>
    <w:rPr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695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9501A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695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9501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E38CB"/>
    <w:pPr>
      <w:ind w:firstLineChars="200" w:firstLine="420"/>
    </w:pPr>
  </w:style>
  <w:style w:type="paragraph" w:styleId="a8">
    <w:name w:val="Title"/>
    <w:basedOn w:val="a"/>
    <w:next w:val="a"/>
    <w:link w:val="Char2"/>
    <w:qFormat/>
    <w:rsid w:val="00F2504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F2504A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9">
    <w:basedOn w:val="a"/>
    <w:next w:val="a7"/>
    <w:uiPriority w:val="34"/>
    <w:qFormat/>
    <w:rsid w:val="005C1B88"/>
    <w:pPr>
      <w:spacing w:line="360" w:lineRule="auto"/>
      <w:ind w:firstLineChars="200" w:firstLine="420"/>
    </w:pPr>
    <w:rPr>
      <w:rFonts w:ascii="Calibri" w:eastAsia="宋体" w:hAnsi="Calibri"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476</Words>
  <Characters>2716</Characters>
  <Application>Microsoft Office Word</Application>
  <DocSecurity>0</DocSecurity>
  <Lines>22</Lines>
  <Paragraphs>6</Paragraphs>
  <ScaleCrop>false</ScaleCrop>
  <Company>china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2018-04-02T23:53:00Z</cp:lastPrinted>
  <dcterms:created xsi:type="dcterms:W3CDTF">2018-06-05T09:50:00Z</dcterms:created>
  <dcterms:modified xsi:type="dcterms:W3CDTF">2018-07-13T07:30:00Z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