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仿宋"/>
          <w:b/>
          <w:bCs/>
          <w:sz w:val="44"/>
          <w:szCs w:val="32"/>
        </w:rPr>
      </w:pPr>
      <w:r>
        <w:rPr>
          <w:rFonts w:hint="eastAsia" w:ascii="宋体" w:hAnsi="宋体" w:cs="仿宋"/>
          <w:b/>
          <w:bCs/>
          <w:sz w:val="44"/>
          <w:szCs w:val="32"/>
        </w:rPr>
        <w:t>密闭式垃圾转运车项目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44"/>
          <w:szCs w:val="32"/>
        </w:rPr>
        <w:t>采购需求、评标标准等说明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outlineLvl w:val="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一、项目概况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（一）项目名称：</w:t>
      </w:r>
      <w:bookmarkStart w:id="0" w:name="_GoBack"/>
      <w:r>
        <w:rPr>
          <w:rFonts w:hint="eastAsia" w:ascii="仿宋_GB2312" w:hAnsi="仿宋_GB2312" w:eastAsia="仿宋_GB2312"/>
          <w:sz w:val="32"/>
        </w:rPr>
        <w:t>密闭式垃圾转运车</w:t>
      </w:r>
      <w:bookmarkEnd w:id="0"/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（二）采购方式：公开招标       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（三）主要内容、数量及要求：</w:t>
      </w:r>
      <w:r>
        <w:rPr>
          <w:rFonts w:hint="eastAsia" w:ascii="仿宋_GB2312" w:hAnsi="仿宋_GB2312" w:eastAsia="仿宋_GB2312"/>
          <w:sz w:val="32"/>
        </w:rPr>
        <w:t>购置25辆密闭式垃圾转运车，其中3辆为16T自卸式垃圾转运车，22辆为压缩式垃圾转运车。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（四）预算金额：1050万元；最高限价：1050万元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（五）交付（服务、完工）时间：合同签订后30天内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（六）交付（服务、施工）地点：许昌市环境卫生管理处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（七）进口产品：允许□不允许√。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（八）分包：允许□不允许√</w:t>
      </w:r>
    </w:p>
    <w:p>
      <w:pPr>
        <w:ind w:firstLine="640" w:firstLineChars="200"/>
        <w:outlineLvl w:val="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二、需要落实的政府采购政策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本项目落实节能环保√、中小微型企业扶持√、残疾人福利性单位扶持√等相关政府采购政策。</w:t>
      </w:r>
    </w:p>
    <w:p>
      <w:pPr>
        <w:ind w:firstLine="640" w:firstLineChars="200"/>
        <w:outlineLvl w:val="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三、投标人资格要求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（一）具备《政府采购法》第二十二条第一款规定条件并提供相关材料。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（二）本次招标接受□不接受√联合体投标。</w:t>
      </w:r>
    </w:p>
    <w:p>
      <w:pPr>
        <w:ind w:firstLine="640" w:firstLineChars="200"/>
        <w:outlineLvl w:val="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四、采购需求</w:t>
      </w:r>
    </w:p>
    <w:p>
      <w:pPr>
        <w:ind w:firstLine="640" w:firstLineChars="200"/>
        <w:outlineLvl w:val="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（一）本项目需实现的功能或者目标</w:t>
      </w:r>
    </w:p>
    <w:p>
      <w:pPr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替换老旧的垃圾转运车，确保单位行车安全。</w:t>
      </w:r>
    </w:p>
    <w:p>
      <w:pPr>
        <w:ind w:firstLine="640" w:firstLineChars="200"/>
        <w:outlineLvl w:val="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（二）采购清单</w:t>
      </w:r>
    </w:p>
    <w:tbl>
      <w:tblPr>
        <w:tblStyle w:val="9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705"/>
        <w:gridCol w:w="6030"/>
        <w:gridCol w:w="435"/>
        <w:gridCol w:w="72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技术规格及主要参数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是否为核心产品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16T自卸式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垃圾转运车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1、底盘：DFL1160BX1V同等或优于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2、排放标准：国五排放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3、燃油种类：柴油</w:t>
            </w:r>
          </w:p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4、发动机功率：≥130KW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5、发动机排量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：≤4.5L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6、总质量：≤15800kg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7、额定载质量：≥8000kg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8、整备质量：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≥7605kg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9、整车尺寸（长×宽×高）：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≤6850×2480×3050（mm）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10、货厢尺寸（长×宽×高）：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≤4200×2300×800（mm）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11、轴距：≤3800mm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12、接近角/离去角：≥20/16（°）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13、前悬/后悬：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≥1430/1620（mm）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14、最高车速：≥90km/h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15、轮胎：6只，后双轮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、具有后驻车雷达，倒车视频影像、冷暖空调。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辆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压缩式垃圾转运车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外形尺寸≥6650×2480×3140mm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轴距≥3800 mm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3、接近角/离去角（°）≥20/17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4、前悬/后悬（mm）≥1430/1425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5、总质量≤15800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6、整备质量≥7250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7、额定载质量≥8300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▲8、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箱体尺寸（mm）≥41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×23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×17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9、箱体容积（m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）≥15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10、控制方式电控+手动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11、自卸角度（°）≥45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12、底盘型号东风DFL1160BX1V或优于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13、发动机功率（kW）≥13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kW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、排放标准国V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、驾驶室配置排半、冷暖空调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、最高车速 (km/h) ≥90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、产品性能要求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①箱体圆弧过渡，流线型强，美观大方；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②采用人性化设计，卸料的全动作能在驾驶室内完成，后门为液压旋转式自卸开门，液压自卸门为二套操作方式，驾驶室气控操作，车下为液压操作，操作方便、简单、运行平稳。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③货箱可举升自卸，卸料工作循环时间≤60s，后门升起高度≤3400mm 。</w:t>
            </w:r>
          </w:p>
          <w:p>
            <w:pPr>
              <w:widowControl/>
              <w:spacing w:line="360" w:lineRule="auto"/>
              <w:ind w:firstLine="640" w:firstLineChars="200"/>
              <w:outlineLvl w:val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④密封性强，防二次污染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（1）车厢为全封闭式车厢，底部并安装有污水收集箱，防污水滴漏，确保运输过程中不发生二次污染。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（2）密封式后门；后门采用全液压控制，厢体后部采用胶条密封、垃圾密封运输，垃圾和污水在转运过程中无撒漏；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⑤货箱倾翻采用双层多级油缸，卸料门采用圆弧过渡，流线型强，美观大方。</w:t>
            </w:r>
          </w:p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⑥液压系统采用多层保护、自锁，操作方便、简单、运行平稳。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⑦该车可与环卫垂直式垃圾压缩机配套、对接，可实现一车多站，大大降低了配备成本和空间；货箱可举升自卸。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辆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雪滚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1、可以和各种较大型洗扫车、扫路车、洒水车装载机组装使用；外形尺寸（长×宽×高）（mm）≥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3500×2380×1780 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2、除雪滚可实现左右偏转，扫雪宽度为≥3000mm，左右摆角≥25°，并随意可调。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3、重量：≥2000 kg，除雪宽度：≥2800mm。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4、作业速度：5～30 km/h。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5、除雪滚转速：≥240r/min。除雪滚采用非多档位离合器控制旋转。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6、驾驶室内可操作除雪滚刷进行各种动作(含发动机启动及停止控制)，独立电控离合装置，作业安全可靠、操控方便。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7、扫雪滚采用自带动力单元机械传动，发动机功率（kw）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≥3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发动机型号：全柴4B2-52M22柴油发动机，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采用电启动，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传动轴长L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≥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1000mm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。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不从所配车辆底盘液压取力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8、除雪滚离地高度可以根据清扫雪层厚度在50～100mm之间调整。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9、除雪滚刷直径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≥7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0mm。采用实心支撑轮支撑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，支撑轮行走过程中左右摆动设有限位装置。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10、刷丝材质要求每片刷丝均为PP+钢丝（组合刷丝）。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11、在除雪作业中，扫雪滚刷随路面横坡坡度，自动调节。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12、除雪滚提升系统设有可调式液压缸限位机构，作业中可精确控制除雪滚与地面距离，扫雪滚作业效果好、使用寿命长。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13、除雪滚具有复合式水平提升偏转机构，偏转作业时除雪滚与地面水平，铲体调整和工作时均保持水平无倾斜，除雪更彻底。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color w:val="000000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14、除雪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zh-CN"/>
              </w:rPr>
              <w:t>滚采用快速连接装置，安装、拆卸方便快捷。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15、该除雪滚链条采用偏心张紧结构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eastAsia="zh-CN"/>
              </w:rPr>
              <w:t>。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雪滚刷丝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eastAsia="zh-CN"/>
              </w:rPr>
              <w:t>材质为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PP＋钢丝（组合刷丝）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否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有毒有害垃圾清运车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车辆级别：皮卡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能源类型：柴油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发动机：≥2.0T，≥143马力，≥L4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变速箱：6个挡位，手动变速箱（MT）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（长×宽×高）（mm）: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ab/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5385×1800×1760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最高车速（km/h）：≥140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工信部综合油耗（L/100km）：≤7.6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整车质保：≥1年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轴距（mm）：≥3200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整车质量（kg）：≥1810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后排车门开启方式：平开门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货箱尺寸（mm）：≥1545×1460×480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最大载重质量（kg）：≥480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车门数：4个，座位数：5个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驱动方式：前置后驱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前悬架类型：双叉臂式独立悬挂，后悬架类型：钢板弹簧非独立悬架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助力类型：液压助力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车体结构：非承载式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前制动器类型：通风盘式，后制动器类型：盘式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前后轮胎规格：235/70R16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发动机进气形式：涡轮增压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气缸排列形式：L,汽缸数4个，每缸气门数4个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发动机压缩比≥16.3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最大功率（kw）：≥105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最大功率转速（rpm）：≥4000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最大扭矩（N.m）：≥315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最大扭矩转速（rpm）：1400-2800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供油方式：直喷，缸盖材料：铝，缸体材料：铁，环保标准：国V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配备主副驾驶座安全气囊，具有胎压监测装置，具有安全带未系提示功能，具备ABS防抱死、制动力分配（EBD/CBC等）、刹车辅助（EBA/BAS/BA等）、牵引力控制（ASR/TCS/TRC等）、车身稳定控制（ESC/ESP/DSC等）系统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具有后驻车雷达，倒车视频影像，定速巡航功能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铝合金轮圈，具有发动机电子防盗系统，车内中控锁，遥控钥匙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包含多功能方向盘，方向盘可上下调节，具有行车电脑显示屏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座椅材质为仿皮，有前中央扶手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包含中控台彩色大屏，具有蓝牙/车载电话，外接音源接口为:USB+AUX,扬声器数量：4-5喇叭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近光灯和远光灯：卤素，包含LED日间行车灯功能，包含前雾灯，大灯高度可调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包含前后电动车窗，后视镜具备电动调节功能，包含遮阳板化妆镜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空调控制方式：自动，包含车内空气调节功能和花粉过滤功能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辆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否</w:t>
            </w:r>
          </w:p>
        </w:tc>
      </w:tr>
    </w:tbl>
    <w:p>
      <w:pPr>
        <w:spacing w:before="226"/>
        <w:rPr>
          <w:rFonts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  <w:t xml:space="preserve">    （三）验收标准</w:t>
      </w:r>
    </w:p>
    <w:p>
      <w:pPr>
        <w:spacing w:before="226"/>
        <w:ind w:firstLine="640" w:firstLineChars="200"/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6"/>
        <w:ind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  <w:lang w:eastAsia="zh-CN"/>
        </w:rPr>
        <w:t>（四）采购标的的其他技术、服务等要求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1、采购需求序号1“</w:t>
      </w:r>
      <w:r>
        <w:rPr>
          <w:rFonts w:hint="eastAsia" w:ascii="仿宋_GB2312" w:hAnsi="仿宋_GB2312" w:eastAsia="仿宋_GB2312"/>
          <w:color w:val="000000"/>
          <w:sz w:val="32"/>
        </w:rPr>
        <w:t>16T自卸式垃圾转运车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”、序号2“压缩式垃圾转运车”</w:t>
      </w: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  <w:lang w:eastAsia="zh-CN"/>
        </w:rPr>
        <w:t>投标人需提供</w:t>
      </w:r>
      <w:r>
        <w:rPr>
          <w:rFonts w:hint="eastAsia" w:ascii="仿宋_GB2312" w:hAnsi="仿宋_GB2312" w:eastAsia="仿宋_GB2312"/>
          <w:sz w:val="32"/>
        </w:rPr>
        <w:t>国家</w:t>
      </w:r>
      <w:r>
        <w:rPr>
          <w:rFonts w:hint="eastAsia" w:ascii="仿宋_GB2312" w:hAnsi="仿宋_GB2312" w:eastAsia="仿宋_GB2312"/>
          <w:sz w:val="32"/>
          <w:lang w:eastAsia="zh-CN"/>
        </w:rPr>
        <w:t>强制性产品认证证书</w:t>
      </w:r>
      <w:r>
        <w:rPr>
          <w:rFonts w:hint="eastAsia" w:ascii="仿宋_GB2312" w:hAnsi="仿宋_GB2312" w:eastAsia="仿宋_GB2312"/>
          <w:sz w:val="32"/>
          <w:lang w:val="en-US" w:eastAsia="zh-CN"/>
        </w:rPr>
        <w:t>、国家级检测报告、环保公告、</w:t>
      </w:r>
      <w:r>
        <w:rPr>
          <w:rFonts w:hint="eastAsia" w:ascii="仿宋_GB2312" w:hAnsi="仿宋_GB2312" w:eastAsia="仿宋_GB2312"/>
          <w:sz w:val="32"/>
        </w:rPr>
        <w:t>工信部公告</w:t>
      </w:r>
      <w:r>
        <w:rPr>
          <w:rFonts w:hint="eastAsia" w:ascii="仿宋_GB2312" w:hAnsi="仿宋_GB2312" w:eastAsia="仿宋_GB2312"/>
          <w:sz w:val="32"/>
          <w:lang w:eastAsia="zh-CN"/>
        </w:rPr>
        <w:t>目录</w:t>
      </w: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2、</w:t>
      </w:r>
      <w:r>
        <w:rPr>
          <w:rFonts w:hint="eastAsia" w:ascii="仿宋_GB2312" w:hAnsi="仿宋_GB2312" w:eastAsia="仿宋_GB2312"/>
          <w:color w:val="000000"/>
          <w:sz w:val="32"/>
        </w:rPr>
        <w:t>所有车辆包入户含交强险，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质保期</w:t>
      </w:r>
      <w:r>
        <w:rPr>
          <w:rFonts w:hint="eastAsia" w:ascii="仿宋_GB2312" w:hAnsi="仿宋_GB2312" w:eastAsia="仿宋_GB2312"/>
          <w:color w:val="000000"/>
          <w:sz w:val="32"/>
        </w:rPr>
        <w:t>1年，每车负责贴太阳膜、铺车底、提供座套一套、冬夏座垫各一套。</w:t>
      </w:r>
    </w:p>
    <w:p>
      <w:pPr>
        <w:spacing w:line="360" w:lineRule="auto"/>
        <w:ind w:firstLine="640" w:firstLineChars="200"/>
        <w:outlineLvl w:val="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0"/>
          <w:shd w:val="clear" w:color="auto" w:fill="FFFFFF"/>
        </w:rPr>
        <w:t>五、评标方法和评标标准</w:t>
      </w:r>
    </w:p>
    <w:p>
      <w:pPr>
        <w:widowControl/>
        <w:spacing w:before="226" w:line="360" w:lineRule="auto"/>
        <w:ind w:firstLine="600"/>
        <w:jc w:val="left"/>
        <w:rPr>
          <w:rFonts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  <w:t>（一）评标方法：最低评标价法□ 综合评分法</w:t>
      </w:r>
      <w:r>
        <w:rPr>
          <w:rFonts w:hint="eastAsia" w:ascii="仿宋_GB2312" w:hAnsi="仿宋_GB2312" w:eastAsia="仿宋_GB2312" w:cs="仿宋"/>
          <w:sz w:val="32"/>
          <w:szCs w:val="32"/>
        </w:rPr>
        <w:t>√</w:t>
      </w:r>
    </w:p>
    <w:p>
      <w:pPr>
        <w:widowControl/>
        <w:spacing w:before="226" w:line="360" w:lineRule="auto"/>
        <w:ind w:firstLine="600"/>
        <w:jc w:val="left"/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"/>
          <w:color w:val="000000"/>
          <w:kern w:val="0"/>
          <w:sz w:val="32"/>
          <w:szCs w:val="30"/>
          <w:shd w:val="clear" w:color="auto" w:fill="FFFFFF"/>
        </w:rPr>
        <w:t>（二）综合评分法评标标准：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572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分值构成</w:t>
            </w:r>
          </w:p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(总分100分)</w:t>
            </w:r>
          </w:p>
        </w:tc>
        <w:tc>
          <w:tcPr>
            <w:tcW w:w="7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价格分值：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  <w:u w:val="single"/>
              </w:rPr>
              <w:t xml:space="preserve">  30  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商务部分：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  <w:u w:val="single"/>
              </w:rPr>
              <w:t>    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  <w:u w:val="singl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技术部分：</w:t>
            </w:r>
            <w:r>
              <w:rPr>
                <w:rFonts w:hint="eastAsia" w:ascii="宋体" w:hAnsi="宋体" w:cs="宋体"/>
                <w:kern w:val="0"/>
                <w:sz w:val="32"/>
                <w:u w:val="single"/>
              </w:rPr>
              <w:t>  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  <w:u w:val="single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一、价格部分（满分</w:t>
            </w: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  <w:u w:val="single"/>
              </w:rPr>
              <w:t xml:space="preserve">  30 </w:t>
            </w: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评分标准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投标报价</w:t>
            </w:r>
          </w:p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评分标准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评标基准价：满足招标文件要求的有效投标报价中，最低的投标报价为评标基准价。</w:t>
            </w:r>
          </w:p>
          <w:p>
            <w:pPr>
              <w:widowControl/>
              <w:jc w:val="lef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投标报价得分=（评标基准价/投标报价）×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  <w:u w:val="single"/>
              </w:rPr>
              <w:t>  30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二、商务部分（满分</w:t>
            </w:r>
            <w:r>
              <w:rPr>
                <w:rFonts w:hint="eastAsia" w:ascii="宋体" w:hAnsi="宋体" w:cs="宋体"/>
                <w:b/>
                <w:kern w:val="0"/>
                <w:sz w:val="32"/>
                <w:u w:val="single"/>
              </w:rPr>
              <w:t>  </w:t>
            </w: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  <w:u w:val="singl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评分标准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信誉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、投标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信用机构颁发的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AAA级信用等级证书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并提供网上查询截图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分，获得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工商部门颁发的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守合同重信用证书得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获得省级及以上质量技术监督局颁发的质量诚信体系建设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AAA级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工业企业得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满分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、投标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具有有效的ISO9001质量管理体系得1分、ISO14001环境体系得1分、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OHSAS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18001职业健康体系得1分、知识管理体系认证证书得2分、省级以上质量技术监督局颁发的完善的计量检测体系认证证书得2分，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满分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业绩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宋体" w:hAnsi="宋体" w:cs="宋体"/>
                <w:kern w:val="0"/>
                <w:sz w:val="32"/>
              </w:rPr>
              <w:t> 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2015年以来具有类似项目业绩，单项合同金额在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万元（含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00万元）以上，中标通知书、合同及验收报告齐全者，每个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分，满分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分。（以合同日期为准）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三、技术部分（满分</w:t>
            </w:r>
            <w:r>
              <w:rPr>
                <w:rFonts w:hint="eastAsia" w:ascii="宋体" w:hAnsi="宋体" w:cs="宋体"/>
                <w:b/>
                <w:kern w:val="0"/>
                <w:sz w:val="32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  <w:u w:val="single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评分因素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评分标准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b/>
                <w:kern w:val="0"/>
                <w:sz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对招标文件</w:t>
            </w:r>
          </w:p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响应程度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1、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技术参数</w:t>
            </w:r>
            <w:r>
              <w:rPr>
                <w:rFonts w:hint="eastAsia" w:ascii="仿宋_GB2312" w:hAnsi="仿宋_GB2312" w:eastAsia="仿宋_GB2312"/>
                <w:sz w:val="32"/>
              </w:rPr>
              <w:t>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▲</w:t>
            </w:r>
            <w:r>
              <w:rPr>
                <w:rFonts w:hint="eastAsia" w:ascii="仿宋_GB2312" w:hAnsi="仿宋_GB2312" w:eastAsia="仿宋_GB2312"/>
                <w:sz w:val="32"/>
              </w:rPr>
              <w:t>项为产品的关键技术参数，每有一项正偏离加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</w:rPr>
              <w:t>分，其他项正偏离每有一项加1分，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满分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sz w:val="32"/>
              </w:rPr>
              <w:t>分。提供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网上公告参数查询截图</w:t>
            </w:r>
            <w:r>
              <w:rPr>
                <w:rFonts w:hint="eastAsia" w:ascii="仿宋_GB2312" w:hAnsi="仿宋_GB2312" w:eastAsia="仿宋_GB2312"/>
                <w:sz w:val="32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2、采购需求序号2“压缩式垃圾转运车”在节能产品政府采购清单里面，提供节能认证证书得10分（提供中国政府采购网节能清单查询截图）。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售后服务承诺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="0" w:firstLineChars="0"/>
              <w:jc w:val="left"/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投标人</w:t>
            </w: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具有完善的培训计划得1分。</w:t>
            </w:r>
          </w:p>
          <w:p>
            <w:pPr>
              <w:pStyle w:val="11"/>
              <w:widowControl/>
              <w:numPr>
                <w:ilvl w:val="0"/>
                <w:numId w:val="2"/>
              </w:numPr>
              <w:ind w:firstLine="0" w:firstLineChars="0"/>
              <w:jc w:val="left"/>
              <w:rPr>
                <w:rFonts w:ascii="仿宋_GB2312" w:hAnsi="仿宋_GB2312" w:eastAsia="仿宋_GB2312" w:cs="黑体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具有通过中国国家认证认可监督管理委员会批准的认证机构出具的《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商品售后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服务评价体系》标准要求的服务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证书，</w:t>
            </w:r>
            <w:r>
              <w:rPr>
                <w:rFonts w:hint="eastAsia" w:ascii="仿宋_GB2312" w:hAnsi="仿宋_GB2312" w:eastAsia="仿宋_GB2312" w:cs="黑体"/>
                <w:sz w:val="32"/>
              </w:rPr>
              <w:t>五星级认证得</w:t>
            </w: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黑体"/>
                <w:sz w:val="32"/>
              </w:rPr>
              <w:t>分，四星级认证得2分，三星级认证得1分，并提供有效证明文件，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黑体"/>
                <w:sz w:val="32"/>
              </w:rPr>
              <w:t xml:space="preserve">。                        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3、保修期内外服务承诺完善得1分</w:t>
            </w:r>
          </w:p>
          <w:p>
            <w:pPr>
              <w:pStyle w:val="11"/>
              <w:widowControl/>
              <w:ind w:firstLine="0" w:firstLineChars="0"/>
              <w:jc w:val="left"/>
              <w:rPr>
                <w:rFonts w:hint="eastAsia" w:ascii="仿宋_GB2312" w:hAnsi="仿宋_GB2312" w:eastAsia="仿宋_GB2312" w:cs="黑体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4、投标人具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有完善的售后服务体系</w:t>
            </w:r>
            <w:r>
              <w:rPr>
                <w:rFonts w:hint="eastAsia" w:ascii="仿宋_GB2312" w:hAnsi="仿宋_GB2312" w:eastAsia="仿宋_GB2312" w:cs="黑体"/>
                <w:sz w:val="32"/>
              </w:rPr>
              <w:t>，提供售后服务协议、房屋租赁合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同</w:t>
            </w:r>
            <w:r>
              <w:rPr>
                <w:rFonts w:hint="eastAsia" w:ascii="仿宋_GB2312" w:hAnsi="仿宋_GB2312" w:eastAsia="仿宋_GB2312" w:cs="黑体"/>
                <w:sz w:val="32"/>
              </w:rPr>
              <w:t>、房产证明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等资料齐全者得</w:t>
            </w: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5分，资料不完整不得分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。</w:t>
            </w:r>
          </w:p>
          <w:p>
            <w:pPr>
              <w:pStyle w:val="11"/>
              <w:ind w:firstLine="0" w:firstLineChars="0"/>
              <w:rPr>
                <w:rFonts w:hint="eastAsia" w:ascii="仿宋_GB2312" w:hAnsi="仿宋_GB2312" w:eastAsia="仿宋_GB2312" w:cs="黑体"/>
                <w:sz w:val="32"/>
              </w:rPr>
            </w:pPr>
            <w:r>
              <w:rPr>
                <w:rFonts w:hint="eastAsia" w:ascii="仿宋_GB2312" w:hAnsi="仿宋_GB2312" w:eastAsia="仿宋_GB2312" w:cs="黑体"/>
                <w:sz w:val="3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黑体"/>
                <w:sz w:val="32"/>
              </w:rPr>
              <w:t>承诺质保期一年的得1分，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黑体"/>
                <w:sz w:val="32"/>
              </w:rPr>
              <w:t>年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及以上的</w:t>
            </w:r>
            <w:r>
              <w:rPr>
                <w:rFonts w:hint="eastAsia" w:ascii="仿宋_GB2312" w:hAnsi="仿宋_GB2312" w:eastAsia="仿宋_GB2312" w:cs="黑体"/>
                <w:sz w:val="32"/>
              </w:rPr>
              <w:t>加2分，</w:t>
            </w:r>
            <w:r>
              <w:rPr>
                <w:rFonts w:hint="eastAsia" w:ascii="仿宋_GB2312" w:hAnsi="仿宋_GB2312" w:eastAsia="仿宋_GB2312" w:cs="黑体"/>
                <w:sz w:val="32"/>
                <w:lang w:eastAsia="zh-CN"/>
              </w:rPr>
              <w:t>满分</w:t>
            </w:r>
            <w:r>
              <w:rPr>
                <w:rFonts w:hint="eastAsia" w:ascii="仿宋_GB2312" w:hAnsi="仿宋_GB2312" w:eastAsia="仿宋_GB2312" w:cs="黑体"/>
                <w:sz w:val="32"/>
              </w:rPr>
              <w:t>3分。</w:t>
            </w:r>
          </w:p>
          <w:p>
            <w:pPr>
              <w:pStyle w:val="11"/>
              <w:ind w:firstLine="0" w:firstLineChars="0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投标文件规范程度</w:t>
            </w:r>
          </w:p>
        </w:tc>
        <w:tc>
          <w:tcPr>
            <w:tcW w:w="5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 1、装订规范、文字清晰、无差错1分；2、所提供资料准确完整1分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32"/>
              </w:rPr>
              <w:t>2分 </w:t>
            </w:r>
          </w:p>
        </w:tc>
      </w:tr>
    </w:tbl>
    <w:p>
      <w:pPr>
        <w:widowControl/>
        <w:spacing w:before="226" w:line="36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六、采购资金支付</w:t>
      </w:r>
    </w:p>
    <w:p>
      <w:pPr>
        <w:widowControl/>
        <w:spacing w:before="226" w:line="36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（一）支付方式：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银行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转账</w:t>
      </w:r>
    </w:p>
    <w:p>
      <w:pPr>
        <w:widowControl/>
        <w:spacing w:before="226" w:line="360" w:lineRule="auto"/>
        <w:ind w:firstLine="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（二）支付时间及条件：经验收合格后于4个月内付合同金额总价款的90%，剩余10%满一年无质量问题一次付清。</w:t>
      </w:r>
    </w:p>
    <w:p>
      <w:pPr>
        <w:widowControl/>
        <w:spacing w:before="226" w:line="36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七、联系方式</w:t>
      </w:r>
    </w:p>
    <w:p>
      <w:pPr>
        <w:widowControl/>
        <w:spacing w:before="226" w:line="525" w:lineRule="atLeast"/>
        <w:ind w:firstLine="795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联系人姓名：丁艳春           联系电话：2788661</w:t>
      </w:r>
    </w:p>
    <w:p>
      <w:pPr>
        <w:widowControl/>
        <w:spacing w:before="226" w:line="525" w:lineRule="atLeast"/>
        <w:ind w:firstLine="79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单位地址：魏都区车站路8号</w:t>
      </w:r>
    </w:p>
    <w:p>
      <w:pPr>
        <w:widowControl/>
        <w:spacing w:before="226"/>
        <w:ind w:firstLine="43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单位全称（加盖单位公章） </w:t>
      </w:r>
    </w:p>
    <w:p>
      <w:pPr>
        <w:widowControl/>
        <w:spacing w:before="226"/>
        <w:ind w:firstLine="5100"/>
        <w:jc w:val="right"/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   月  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3B4A2"/>
    <w:multiLevelType w:val="singleLevel"/>
    <w:tmpl w:val="B913B4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960137"/>
    <w:multiLevelType w:val="singleLevel"/>
    <w:tmpl w:val="1F960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20D98"/>
    <w:rsid w:val="00027753"/>
    <w:rsid w:val="000670AA"/>
    <w:rsid w:val="000D0AA0"/>
    <w:rsid w:val="000F2432"/>
    <w:rsid w:val="000F36BE"/>
    <w:rsid w:val="0012091F"/>
    <w:rsid w:val="00141293"/>
    <w:rsid w:val="00172A27"/>
    <w:rsid w:val="001960AC"/>
    <w:rsid w:val="0019708F"/>
    <w:rsid w:val="001C200E"/>
    <w:rsid w:val="002124D6"/>
    <w:rsid w:val="0026130A"/>
    <w:rsid w:val="003008F0"/>
    <w:rsid w:val="003427BE"/>
    <w:rsid w:val="00362C87"/>
    <w:rsid w:val="0046286C"/>
    <w:rsid w:val="004812DA"/>
    <w:rsid w:val="00485504"/>
    <w:rsid w:val="007C486E"/>
    <w:rsid w:val="00842F7E"/>
    <w:rsid w:val="009014C3"/>
    <w:rsid w:val="00945193"/>
    <w:rsid w:val="00A4652A"/>
    <w:rsid w:val="00A96DAD"/>
    <w:rsid w:val="00AC3763"/>
    <w:rsid w:val="00B9699F"/>
    <w:rsid w:val="00C00577"/>
    <w:rsid w:val="00D03FBD"/>
    <w:rsid w:val="00D2481B"/>
    <w:rsid w:val="00D42863"/>
    <w:rsid w:val="00DA7DDD"/>
    <w:rsid w:val="00DB5A14"/>
    <w:rsid w:val="00FD448F"/>
    <w:rsid w:val="013E7C2D"/>
    <w:rsid w:val="01B40073"/>
    <w:rsid w:val="01D1654C"/>
    <w:rsid w:val="01F2036F"/>
    <w:rsid w:val="02175C48"/>
    <w:rsid w:val="03487813"/>
    <w:rsid w:val="03BC3FD2"/>
    <w:rsid w:val="03FE1B9A"/>
    <w:rsid w:val="04C86EBA"/>
    <w:rsid w:val="05274492"/>
    <w:rsid w:val="07AA2620"/>
    <w:rsid w:val="08AD614D"/>
    <w:rsid w:val="09652B08"/>
    <w:rsid w:val="097E71CA"/>
    <w:rsid w:val="0AF25534"/>
    <w:rsid w:val="0AF86154"/>
    <w:rsid w:val="0C0746F6"/>
    <w:rsid w:val="0C842693"/>
    <w:rsid w:val="0CC000D1"/>
    <w:rsid w:val="0CE51BC3"/>
    <w:rsid w:val="0CFC4091"/>
    <w:rsid w:val="0D614ADA"/>
    <w:rsid w:val="0E2E1A5C"/>
    <w:rsid w:val="0F1C4C50"/>
    <w:rsid w:val="0F5014AA"/>
    <w:rsid w:val="10D61C03"/>
    <w:rsid w:val="11FC6578"/>
    <w:rsid w:val="12E42E3C"/>
    <w:rsid w:val="139F1179"/>
    <w:rsid w:val="13C33146"/>
    <w:rsid w:val="14541929"/>
    <w:rsid w:val="147E5E9A"/>
    <w:rsid w:val="154344C8"/>
    <w:rsid w:val="155051BE"/>
    <w:rsid w:val="158D6D77"/>
    <w:rsid w:val="16105540"/>
    <w:rsid w:val="17BA3BEE"/>
    <w:rsid w:val="18426725"/>
    <w:rsid w:val="18C757F3"/>
    <w:rsid w:val="19755199"/>
    <w:rsid w:val="19BB019E"/>
    <w:rsid w:val="1A36645B"/>
    <w:rsid w:val="1A7C71B3"/>
    <w:rsid w:val="1BD46FFA"/>
    <w:rsid w:val="1C547212"/>
    <w:rsid w:val="1C5D5BDB"/>
    <w:rsid w:val="1CF07413"/>
    <w:rsid w:val="1D7342A5"/>
    <w:rsid w:val="1EDA3C43"/>
    <w:rsid w:val="1F886CF6"/>
    <w:rsid w:val="204B64F1"/>
    <w:rsid w:val="222A4502"/>
    <w:rsid w:val="230359B2"/>
    <w:rsid w:val="23744910"/>
    <w:rsid w:val="244B291B"/>
    <w:rsid w:val="25735541"/>
    <w:rsid w:val="25B1659F"/>
    <w:rsid w:val="26B839A6"/>
    <w:rsid w:val="26E73D85"/>
    <w:rsid w:val="26F9765C"/>
    <w:rsid w:val="270740AD"/>
    <w:rsid w:val="27523A6F"/>
    <w:rsid w:val="289B26A9"/>
    <w:rsid w:val="2AC91D46"/>
    <w:rsid w:val="2B101A69"/>
    <w:rsid w:val="2DE325EB"/>
    <w:rsid w:val="2DE331E0"/>
    <w:rsid w:val="2E041AD0"/>
    <w:rsid w:val="2FF16021"/>
    <w:rsid w:val="30920D49"/>
    <w:rsid w:val="30E84D0B"/>
    <w:rsid w:val="3547616D"/>
    <w:rsid w:val="36317F5F"/>
    <w:rsid w:val="366C28B3"/>
    <w:rsid w:val="36BF3CDA"/>
    <w:rsid w:val="36D91252"/>
    <w:rsid w:val="38214C05"/>
    <w:rsid w:val="38510C8B"/>
    <w:rsid w:val="395C4740"/>
    <w:rsid w:val="39E94740"/>
    <w:rsid w:val="3A725224"/>
    <w:rsid w:val="3C8C4511"/>
    <w:rsid w:val="3CCC7682"/>
    <w:rsid w:val="3DD5510B"/>
    <w:rsid w:val="3EFE6218"/>
    <w:rsid w:val="3F621BCF"/>
    <w:rsid w:val="3F8A7392"/>
    <w:rsid w:val="40F66064"/>
    <w:rsid w:val="448C37A5"/>
    <w:rsid w:val="46CC544B"/>
    <w:rsid w:val="475110AE"/>
    <w:rsid w:val="49BF2E99"/>
    <w:rsid w:val="4AB74500"/>
    <w:rsid w:val="4B1529FB"/>
    <w:rsid w:val="4B7F7492"/>
    <w:rsid w:val="4BCF7304"/>
    <w:rsid w:val="4DCC11AB"/>
    <w:rsid w:val="4E262433"/>
    <w:rsid w:val="4F792FDD"/>
    <w:rsid w:val="4F910AE4"/>
    <w:rsid w:val="50214171"/>
    <w:rsid w:val="50DC6A61"/>
    <w:rsid w:val="50EA098A"/>
    <w:rsid w:val="51523B04"/>
    <w:rsid w:val="53434F55"/>
    <w:rsid w:val="536F4667"/>
    <w:rsid w:val="547B6DF7"/>
    <w:rsid w:val="563E3B7B"/>
    <w:rsid w:val="566A5073"/>
    <w:rsid w:val="56CE7313"/>
    <w:rsid w:val="57E26A37"/>
    <w:rsid w:val="58A3520D"/>
    <w:rsid w:val="58EE1F94"/>
    <w:rsid w:val="59044DA3"/>
    <w:rsid w:val="59553BB3"/>
    <w:rsid w:val="59601B22"/>
    <w:rsid w:val="5A34420A"/>
    <w:rsid w:val="5A3B612D"/>
    <w:rsid w:val="5A6B3442"/>
    <w:rsid w:val="5BA657DD"/>
    <w:rsid w:val="5C964124"/>
    <w:rsid w:val="5CB47F4E"/>
    <w:rsid w:val="5F0F58A7"/>
    <w:rsid w:val="601B1FF4"/>
    <w:rsid w:val="613857A2"/>
    <w:rsid w:val="61572BB7"/>
    <w:rsid w:val="62917C91"/>
    <w:rsid w:val="62F7417A"/>
    <w:rsid w:val="63752B03"/>
    <w:rsid w:val="64063575"/>
    <w:rsid w:val="65863E1A"/>
    <w:rsid w:val="65A36A91"/>
    <w:rsid w:val="66031CC3"/>
    <w:rsid w:val="672F3472"/>
    <w:rsid w:val="67A86A27"/>
    <w:rsid w:val="67F7266E"/>
    <w:rsid w:val="68ED3289"/>
    <w:rsid w:val="69C1643E"/>
    <w:rsid w:val="6A73714E"/>
    <w:rsid w:val="6BA53EED"/>
    <w:rsid w:val="6BE00C05"/>
    <w:rsid w:val="6C5942AB"/>
    <w:rsid w:val="6FF37895"/>
    <w:rsid w:val="70B17813"/>
    <w:rsid w:val="712C5A54"/>
    <w:rsid w:val="71721433"/>
    <w:rsid w:val="748C04B2"/>
    <w:rsid w:val="76E403FC"/>
    <w:rsid w:val="774E58A5"/>
    <w:rsid w:val="77910E98"/>
    <w:rsid w:val="78094A2E"/>
    <w:rsid w:val="7AA50A59"/>
    <w:rsid w:val="7AED2160"/>
    <w:rsid w:val="7BD513FC"/>
    <w:rsid w:val="7C6C54F8"/>
    <w:rsid w:val="7C775132"/>
    <w:rsid w:val="7F1B46E1"/>
    <w:rsid w:val="7F571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rFonts w:cs="Times New Roman"/>
      <w:color w:val="0000FF"/>
      <w:u w:val="single"/>
    </w:rPr>
  </w:style>
  <w:style w:type="character" w:customStyle="1" w:styleId="10">
    <w:name w:val="文档结构图 Char"/>
    <w:basedOn w:val="6"/>
    <w:link w:val="2"/>
    <w:qFormat/>
    <w:uiPriority w:val="0"/>
    <w:rPr>
      <w:rFonts w:ascii="宋体" w:hAnsi="Calibri" w:cs="黑体"/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15ADC-0CD2-4893-9162-729F41C07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700</Words>
  <Characters>3996</Characters>
  <Lines>33</Lines>
  <Paragraphs>9</Paragraphs>
  <TotalTime>0</TotalTime>
  <ScaleCrop>false</ScaleCrop>
  <LinksUpToDate>false</LinksUpToDate>
  <CharactersWithSpaces>4687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2018-07-02T01:15:00Z</dcterms:created>
  <dc:creator>Administrator</dc:creator>
  <cp:lastModifiedBy>许昌市公共资源交易中心:杨丹丹</cp:lastModifiedBy>
  <dcterms:modified xsi:type="dcterms:W3CDTF">2018-07-19T08:18:44Z</dcterms:modified>
  <dc:title>Administrator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