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jc w:val="center"/>
        <w:rPr>
          <w:rFonts w:hint="eastAsia" w:ascii="宋体" w:hAnsi="宋体" w:eastAsia="宋体" w:cs="宋体"/>
          <w:b/>
          <w:color w:val="000000"/>
          <w:sz w:val="32"/>
          <w:szCs w:val="32"/>
          <w:shd w:val="clear" w:color="auto" w:fill="FFFFFF"/>
        </w:rPr>
      </w:pPr>
      <w:bookmarkStart w:id="0" w:name="_GoBack"/>
      <w:bookmarkEnd w:id="0"/>
      <w:r>
        <w:rPr>
          <w:rFonts w:hint="eastAsia" w:ascii="宋体" w:hAnsi="宋体" w:eastAsia="宋体" w:cs="宋体"/>
          <w:b/>
          <w:color w:val="000000"/>
          <w:sz w:val="32"/>
          <w:szCs w:val="32"/>
          <w:shd w:val="clear" w:color="auto" w:fill="FFFFFF"/>
        </w:rPr>
        <w:t>2018年许昌市公安局魏都分局150路高清视频监控建设</w:t>
      </w:r>
    </w:p>
    <w:p>
      <w:pPr>
        <w:shd w:val="solid" w:color="FFFFFF" w:fill="auto"/>
        <w:autoSpaceDN w:val="0"/>
        <w:spacing w:line="360" w:lineRule="atLeast"/>
        <w:ind w:firstLine="960"/>
        <w:jc w:val="center"/>
        <w:rPr>
          <w:rFonts w:hint="eastAsia" w:ascii="宋体" w:hAnsi="宋体" w:eastAsia="宋体" w:cs="宋体"/>
          <w:color w:val="000000"/>
          <w:sz w:val="24"/>
          <w:szCs w:val="24"/>
          <w:shd w:val="clear" w:color="auto" w:fill="FFFFFF"/>
        </w:rPr>
      </w:pPr>
      <w:r>
        <w:rPr>
          <w:rFonts w:hint="eastAsia" w:ascii="宋体" w:hAnsi="宋体" w:eastAsia="宋体" w:cs="宋体"/>
          <w:color w:val="FF0000"/>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color w:val="FF0000"/>
          <w:sz w:val="24"/>
          <w:szCs w:val="24"/>
          <w:shd w:val="clear" w:color="auto" w:fill="FFFFFF"/>
        </w:rPr>
      </w:pPr>
      <w:r>
        <w:rPr>
          <w:rFonts w:hint="eastAsia" w:ascii="宋体" w:hAnsi="宋体" w:eastAsia="宋体" w:cs="宋体"/>
          <w:color w:val="000000"/>
          <w:sz w:val="24"/>
          <w:szCs w:val="24"/>
          <w:shd w:val="clear" w:color="auto" w:fill="FFFFFF"/>
        </w:rPr>
        <w:t>一、项目概况</w:t>
      </w:r>
    </w:p>
    <w:p>
      <w:pPr>
        <w:shd w:val="solid" w:color="FFFFFF" w:fill="auto"/>
        <w:autoSpaceDN w:val="0"/>
        <w:spacing w:line="360" w:lineRule="atLeast"/>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 xml:space="preserve"> （一）项目名称：150路高清视频监控建设</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（二）采购方式： 公开招标      </w:t>
      </w:r>
    </w:p>
    <w:p>
      <w:pPr>
        <w:shd w:val="solid" w:color="FFFFFF" w:fill="auto"/>
        <w:autoSpaceDN w:val="0"/>
        <w:spacing w:line="360" w:lineRule="atLeast"/>
        <w:ind w:firstLine="600"/>
        <w:jc w:val="both"/>
        <w:rPr>
          <w:rFonts w:hint="eastAsia" w:ascii="宋体" w:hAnsi="宋体" w:eastAsia="宋体" w:cs="宋体"/>
          <w:color w:val="FF0000"/>
          <w:sz w:val="24"/>
          <w:szCs w:val="24"/>
          <w:shd w:val="clear" w:color="auto" w:fill="FFFFFF"/>
          <w:lang w:eastAsia="zh-CN"/>
        </w:rPr>
      </w:pPr>
      <w:r>
        <w:rPr>
          <w:rFonts w:hint="eastAsia" w:ascii="宋体" w:hAnsi="宋体" w:eastAsia="宋体" w:cs="宋体"/>
          <w:color w:val="000000"/>
          <w:sz w:val="24"/>
          <w:szCs w:val="24"/>
          <w:shd w:val="clear" w:color="auto" w:fill="FFFFFF"/>
        </w:rPr>
        <w:t>（三）主要内容、数量及要求：</w:t>
      </w:r>
      <w:r>
        <w:rPr>
          <w:rFonts w:hint="eastAsia" w:ascii="宋体" w:hAnsi="宋体" w:eastAsia="宋体" w:cs="宋体"/>
          <w:sz w:val="24"/>
          <w:szCs w:val="24"/>
          <w:shd w:val="clear" w:color="auto" w:fill="FFFFFF"/>
        </w:rPr>
        <w:t>1套网络储存、30支200万像素防水枪机、90支200万像素星光级红外球型网络摄像机、30支200万像素天网卡口摄像机</w:t>
      </w:r>
      <w:r>
        <w:rPr>
          <w:rFonts w:hint="eastAsia" w:ascii="宋体" w:hAnsi="宋体" w:cs="宋体"/>
          <w:sz w:val="24"/>
          <w:szCs w:val="24"/>
          <w:shd w:val="clear" w:color="auto" w:fill="FFFFFF"/>
          <w:lang w:eastAsia="zh-CN"/>
        </w:rPr>
        <w:t>等。</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（四）预算金额：45742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5元；最高限价：45742</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5元</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（五）交付（服务、完工）时间：自合同签订之日起45个日历天</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（六）交付（服务、施工）地点：许昌市魏都区行政区域内</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（七）进口产品：允许□不允许</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000000"/>
          <w:sz w:val="24"/>
          <w:szCs w:val="24"/>
          <w:shd w:val="clear" w:color="auto" w:fill="FFFFFF"/>
        </w:rPr>
        <w:t>。</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（八）分包：允许□不允许</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p>
    <w:p>
      <w:pPr>
        <w:shd w:val="solid" w:color="FFFFFF" w:fill="auto"/>
        <w:autoSpaceDN w:val="0"/>
        <w:spacing w:line="360" w:lineRule="atLeast"/>
        <w:ind w:firstLine="6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二、需要落实的政府采购政策</w:t>
      </w:r>
      <w:r>
        <w:rPr>
          <w:rFonts w:hint="eastAsia" w:ascii="宋体" w:hAnsi="宋体" w:eastAsia="宋体" w:cs="宋体"/>
          <w:color w:val="FF0000"/>
          <w:sz w:val="24"/>
          <w:szCs w:val="24"/>
          <w:shd w:val="clear" w:color="auto" w:fill="FFFFFF"/>
        </w:rPr>
        <w:t xml:space="preserve">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（一）具备《政府采购法》第二十二条第一款规定条件并提供相关材料。</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（二）本次招标接受□不接受</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FF0000"/>
          <w:sz w:val="24"/>
          <w:szCs w:val="24"/>
          <w:shd w:val="clear" w:color="auto" w:fill="FFFFFF"/>
        </w:rPr>
        <w:t xml:space="preserve"> </w:t>
      </w:r>
      <w:r>
        <w:rPr>
          <w:rFonts w:hint="eastAsia" w:ascii="宋体" w:hAnsi="宋体" w:eastAsia="宋体" w:cs="宋体"/>
          <w:color w:val="000000"/>
          <w:sz w:val="24"/>
          <w:szCs w:val="24"/>
          <w:shd w:val="clear" w:color="auto" w:fill="FFFFFF"/>
        </w:rPr>
        <w:t>联合体投标。</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（三）根据采购项目特殊要求，规定投标人的特定条件，无。</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四、采购需求</w:t>
      </w:r>
    </w:p>
    <w:p>
      <w:pPr>
        <w:shd w:val="solid" w:color="FFFFFF" w:fill="auto"/>
        <w:autoSpaceDN w:val="0"/>
        <w:spacing w:line="360" w:lineRule="atLeast"/>
        <w:ind w:firstLine="600"/>
        <w:jc w:val="both"/>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 xml:space="preserve">（一）本项目需实现的功能或者目标 </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本项目为扩容项目，因我区不具备单独建设新平台和机房条件，为节约运行、维护成本，经与许昌市公安局协调，特依托市公安局视频监控管理平台进行扩容。</w:t>
      </w:r>
    </w:p>
    <w:p>
      <w:pPr>
        <w:shd w:val="solid" w:color="FFFFFF" w:fill="auto"/>
        <w:autoSpaceDN w:val="0"/>
        <w:spacing w:line="360" w:lineRule="atLeast"/>
        <w:ind w:firstLine="6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设150路高清视频监控，存储以单路视频码流4Mbps计算，视频监控图像存储≥30日，卡口图片存储≥180日，要求每RAID5阵列组≥12块硬盘，每磁盘柜设置一块全局热备盘，存储空间以有效使用容量为准（硬盘祼容量去除冗余、热备、格式化等损耗）。（详见货物清单）</w:t>
      </w:r>
    </w:p>
    <w:p>
      <w:pPr>
        <w:shd w:val="solid" w:color="FFFFFF" w:fill="auto"/>
        <w:autoSpaceDN w:val="0"/>
        <w:spacing w:line="360" w:lineRule="atLeast"/>
        <w:ind w:firstLine="600"/>
        <w:rPr>
          <w:rFonts w:hint="eastAsia" w:ascii="宋体" w:hAnsi="宋体" w:eastAsia="宋体" w:cs="宋体"/>
          <w:b/>
          <w:color w:val="FF0000"/>
          <w:sz w:val="24"/>
          <w:szCs w:val="24"/>
          <w:shd w:val="clear" w:color="auto" w:fill="FFFFFF"/>
        </w:rPr>
      </w:pPr>
      <w:r>
        <w:rPr>
          <w:rFonts w:hint="eastAsia" w:ascii="宋体" w:hAnsi="宋体" w:eastAsia="宋体" w:cs="宋体"/>
          <w:b/>
          <w:color w:val="000000"/>
          <w:sz w:val="24"/>
          <w:szCs w:val="24"/>
          <w:shd w:val="clear" w:color="auto" w:fill="FFFFFF"/>
        </w:rPr>
        <w:t>（二）采购清单</w:t>
      </w:r>
      <w:r>
        <w:rPr>
          <w:rFonts w:hint="eastAsia" w:ascii="宋体" w:hAnsi="宋体" w:eastAsia="宋体" w:cs="宋体"/>
          <w:b/>
          <w:color w:val="FF0000"/>
          <w:sz w:val="24"/>
          <w:szCs w:val="24"/>
          <w:shd w:val="clear" w:color="auto" w:fill="FFFFFF"/>
        </w:rPr>
        <w:t xml:space="preserve"> </w:t>
      </w:r>
    </w:p>
    <w:tbl>
      <w:tblPr>
        <w:tblStyle w:val="12"/>
        <w:tblW w:w="8668" w:type="dxa"/>
        <w:tblInd w:w="0" w:type="dxa"/>
        <w:tblLayout w:type="fixed"/>
        <w:tblCellMar>
          <w:top w:w="15" w:type="dxa"/>
          <w:left w:w="15" w:type="dxa"/>
          <w:bottom w:w="15" w:type="dxa"/>
          <w:right w:w="15" w:type="dxa"/>
        </w:tblCellMar>
      </w:tblPr>
      <w:tblGrid>
        <w:gridCol w:w="295"/>
        <w:gridCol w:w="1133"/>
        <w:gridCol w:w="5902"/>
        <w:gridCol w:w="380"/>
        <w:gridCol w:w="420"/>
        <w:gridCol w:w="538"/>
      </w:tblGrid>
      <w:tr>
        <w:tblPrEx>
          <w:tblLayout w:type="fixed"/>
          <w:tblCellMar>
            <w:top w:w="15" w:type="dxa"/>
            <w:left w:w="15" w:type="dxa"/>
            <w:bottom w:w="15" w:type="dxa"/>
            <w:right w:w="15" w:type="dxa"/>
          </w:tblCellMar>
        </w:tblPrEx>
        <w:trPr>
          <w:trHeight w:val="660" w:hRule="atLeast"/>
        </w:trPr>
        <w:tc>
          <w:tcPr>
            <w:tcW w:w="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货物名称</w:t>
            </w:r>
          </w:p>
        </w:tc>
        <w:tc>
          <w:tcPr>
            <w:tcW w:w="5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技术规格及主要参数</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538"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hint="eastAsia" w:ascii="宋体" w:hAnsi="宋体" w:eastAsia="宋体" w:cs="宋体"/>
                <w:b/>
                <w:color w:val="000000"/>
                <w:sz w:val="21"/>
                <w:szCs w:val="21"/>
              </w:rPr>
            </w:pPr>
            <w:r>
              <w:rPr>
                <w:rFonts w:hint="eastAsia" w:ascii="宋体" w:hAnsi="宋体" w:eastAsia="宋体" w:cs="宋体"/>
                <w:b/>
                <w:color w:val="000000"/>
                <w:sz w:val="21"/>
                <w:szCs w:val="21"/>
              </w:rPr>
              <w:t>是否核心产品</w:t>
            </w:r>
          </w:p>
        </w:tc>
      </w:tr>
      <w:tr>
        <w:tblPrEx>
          <w:tblLayout w:type="fixed"/>
          <w:tblCellMar>
            <w:top w:w="15" w:type="dxa"/>
            <w:left w:w="15" w:type="dxa"/>
            <w:bottom w:w="15" w:type="dxa"/>
            <w:right w:w="15" w:type="dxa"/>
          </w:tblCellMar>
        </w:tblPrEx>
        <w:trPr>
          <w:trHeight w:val="420"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摄像机接入License</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视频管理服务软件, 200路视频接入License,基于市局原有平台承载服务无缝扩容，不影响当前业务。</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90"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48盘位网络云存储主机</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硬件要求：</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单机柜高度≤4U,并满足≥48个硬盘槽位，支持硬盘热插拔；</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主机不少于5个千兆网口（支持扩展），不少于1个PCI-E插槽；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要求云存储节点支持SATA、SSD、SAS类型硬盘，硬盘容量支持1/2/3/4/5/6TB等；</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要求云存储节点电源、电池和风扇全冗余设计，支持在线热插拔更换；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云存储节点PCI-E插槽需支持万兆、千兆以太网卡以及SAS 3.0卡；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云存储节点应具备电池模块，在异常掉电时给节点缓存数据提供永久保护；</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云存储节点需提供双BIOS特性功能，当主BIOS异常时，能从备用BIOS启动；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系统采用统一命名空间管理，存储节点空间虚拟化为统一的存储共享池，并以唯一IP地址对外提供存储服务；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支持不少于20000个客户端接入；</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业务可用有效空间利用率达到90%以上；</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系统应支持容量及性能线性扩展：千兆网络情况下，每增加一台存储节点，视频存储性能平均扩展达到3Gbit/s，单台存储节点图片存储性能达到1Gb/s，且不受图片大小改变而产生大的变化；万兆网络情况下，每增加一台存储节点，视频存储性能平均扩展达到5Gbit/s；</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单盘损坏时，数据恢复时间小于10分钟/TB；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支持NFS、CIFS、iSCSI、FTP、HTTP、REST、POSIX/Windows；</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支持按自定义文件类型批量导出或下载文件；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云存储需支持多台存储节点多种方式批量并发下载录像，包括windows拷贝模式、http模式、API方式;</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全扁平网络架构，数据平面与信令控制平面分离，数据路径最短化，即使所有元数据服务器异常，已配置存储业务不中断；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存储节点间支持数据的双份、多份存储冗余保护模式，系统允许一半的存储节点故障宕机情况下，业务不中断，数据不丢失；</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异常存储节点的正常磁盘插入其他存储节点，数据可以继续利用；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当系统中存储节点或磁盘故障，数据不丢失，业务不中断；故障节点或故障磁盘上的数据可以通过其他节点实现自动恢复，整个过程不影响在线业务；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支持存储节点磁盘热插拔，在读写数据时，插拔节点内的任意块磁盘，设备、系统均正常运行，业务不中断，数据不丢失；磁盘拔出一段时间后插回，可自动恢复到系统中，数据仅做增量修复；</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在不依赖交换机特性的前体现，实现网络冗余和负载均衡；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云存储系统需支持在线纠删码，存储节点间支持多种纠删码数据冗余和保护模式；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系统在线增加管理节点、存储节点进行系统扩展，业务不中断；在线移除管理节点、存储节点，业务不中断；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支持H.265编码格式视频的存取；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支持系统横向及纵向在线扩展，能在线进行存储节点、磁盘柜、磁盘扩展，业务不中断；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云存储系统应支持节点间根据节点性能、容量自动负载均衡；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云存储系统应支持节点内根据存储资源性能、容量空间自动负载均衡；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提供多存储设备容量整合，各个存储节点的空间组成统一存储资源池，并可根据用户业务要求按需分配不同的存储空间；</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云存储系统需支持热备空间和热备盘两种方式预留给数据恢复使用；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系统应支持不少于蜂鸣、邮件、短信、指示灯等告警方式；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本次配置含48块4TB磁阵专用硬盘，基于现有云存储系统无缝扩容，不影响当前业务正常进行；</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产品符合GB/T28181-2016《公共安全视频监控联网系统信息传输、交换、控制技术要求》标准和《GB16796-2009安全防范报警设备安全要求和试验方法》标准要求</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840" w:hRule="atLeast"/>
        </w:trPr>
        <w:tc>
          <w:tcPr>
            <w:tcW w:w="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云存储扩展柜</w:t>
            </w:r>
          </w:p>
        </w:tc>
        <w:tc>
          <w:tcPr>
            <w:tcW w:w="590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网络存储扩展柜,1个控制器个数，2个管理串口(RS232)，6个4x12Gbps Mini SAS HD后端扩展接口；48个磁盘通道数，磁盘类型支持SATA/SSD/SAS/NL-SAS；电源，支持1+1冗余；工作环境温度：5°C～40°C；工作环境湿度：20%～80%（无冷凝），本次配置含48块4TB磁阵专用硬盘，基于市局原有云存储系统无缝扩容，不影响当前业务正常进行；</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机柜</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2200mm*600mm*1200mm，含两个32APDU</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面</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90"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200W防水枪机</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摄像机像素达到200万分辨率 图像传感器采用CMOS传感器；</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水平解析力达到1100TVL；</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焦距范围在2.8~12mm，电动变焦镜头；</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红外照射距离≥100米；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支持最低照度彩色≤0.002Lx，黑白≤0.0002Lx；</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支持H.265，H.264等编码格式；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支持不少于1路音频输入输出接口；★不少于1路告警输入/告警输出，支持告警联动，支持不少于1路RS485串口；支持不少于1路BNC接口；</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120dB光学宽动态，满足高反差场景监控需求；</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主码流支持同时输出20路视频图像进行画面预览；</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支持缓存补录；</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★支持越界检测、区域入侵、进入区域、离开区域、徘徊检测、快速移动、人员聚集、非法停车、遗留物检测、物品移除检测等智能分析功能；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支持IP地址过滤和MAC地址绑定功能；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支持视频水印功能；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设备同时具有交直流供电及POE供电，可互备供电；</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★电源电压在DC12V±25%或AC24V±25%范围内变化时设备可正常工作；</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具备声音异常告警；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防护等级不低于IP67；</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产品符合GA/T 1127-2013《安全防范视频监控摄像机通用技术要求》和GB/T28181-2016《公共安全视频监控联网系统信息传输、交换、控制技术要求》标准要求</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摄像机电源</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DC24V 2.5A</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684"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200万星光级红外球型网络摄像机</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视频编码格式支持H.265、H.264、MJPEG；</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支持最低照度彩色≤0.001lx，黑白≤0.0004lx；</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摄像机像素达到200万分辨率；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设备的水平分辨力应达到1100TVL；</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焦距范围在6.5~143mm，≥22倍光学变倍；</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图像传感器采用 ≥1/1.9inch传感器；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★设备应具备宽动态功能；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★设备应具备角度上传功能；</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光圈范围在F1.5~F3.4；</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设备应具备透雾、背光补偿、强光抑制、数字降噪等功能；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设备可以根据被摄物的距离自动调节红外灯功率；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设备在10%丢包的网络环境中，可正常监视画面；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支持IP地址过滤和MAC地址绑定功能；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设备支持图片抓拍功能；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设备支持区域入侵、停车、越界入侵、人员聚集、进入区域、离开区域、快速移动、物品移除、物品遗留、徘徊等智能分析功能；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设备支持客流量统计功能，进入人数超过限定人数后，可给出告警，并联动抓图及录像；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设备可检测声音异常并进行告警；</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支持1路音频输入/输出接口，</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★支持1路告警输入/警输出，支持告警联动；</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支持不少于1路RS485串口；支持不少于1路BNC接口；支持不少于1个网口；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★电压在AC24V±25%范围内变化时，设备应能正常工作；</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★支持IP66防尘防水等级；</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产品符合GA/T 645-2014《安全防范监控变速球型摄像机》标准和GB/T28181-2016《公共安全视频监控联网系统信息传输、交换、控制技术要求》标准要求</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是</w:t>
            </w:r>
          </w:p>
        </w:tc>
      </w:tr>
      <w:tr>
        <w:tblPrEx>
          <w:tblLayout w:type="fixed"/>
          <w:tblCellMar>
            <w:top w:w="15" w:type="dxa"/>
            <w:left w:w="15" w:type="dxa"/>
            <w:bottom w:w="15" w:type="dxa"/>
            <w:right w:w="15" w:type="dxa"/>
          </w:tblCellMar>
        </w:tblPrEx>
        <w:trPr>
          <w:trHeight w:val="3255"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200万像素天网卡口摄像机</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根据现场实际需求，配置定焦镜头；</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支持H.265、H.264、MJPEG视频编码协议；</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最低照度彩色≤0.0005lux，黑白≤0.0001lux；</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信噪比&gt;52dB；</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宽动态范围可以达到105db，支持宽动态自动切换；</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支持光学透雾；</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图像传感器采用 ≥1/1.9inch传感器；</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摄像机分辨率达到200万像素；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支持视频三码流；</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支持1080P(1920*1080)最大60帧/秒；</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支持区域增强(ROI)；</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支持网络自适应，20%丢包网络环境下图像效果良好；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支持IP地址过滤和MAC地址绑定功能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支持越界检测、区域入侵、进入区域、离开区域、徘徊检测、快速移动、人员聚集、非法停车、遗留物检测、物品移除检测等智能分析功能；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支持车、非机动车及人识别，支持车、非机动车及人流量统计；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支持场景变更、图像虚焦、声音异常等异常检测；</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支持视频车辆检测方式；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支持车牌号码、车牌颜色、行车方向、车速、混行检测、车款、车标、年款、流量统计等特征识别；</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支持单车道、双车道、三车道场景抓拍；</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支持车辆抓拍及车牌识别，车辆捕获率：白天≥95%,晚上≥90%；车牌识别率：白天≥95%,晚上≥90%；</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支持时间、车牌号码、车道、摄像机ID、方向、防伪编码、设备编号、地点、车牌颜色、车速等图片OSD叠加；</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★支持≥1个网口，</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★支持≥1路告警输入，≥1路告警输出；</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支持≥1路RS485串口，支持≥1路BNC接口；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支持电源防反接、过压/过流保护；</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工作环境温度范围不低于-35℃~65℃；</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防护等级≥IP66；</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产品符合GA/T 1127-2013《安全防范视频监控摄像机通用技术要求》和GB/T28181-2016《公共安全视频监控联网系统信息传输、交换、控制技术要求》标准要求</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支</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1431"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LED补光灯</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同时兼顾卡口抓拍同步补光和夜间实况补光；</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色温范围不小于5000k；</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光通量不小于2600lm；</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支持光敏触发方式；</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补光距离不小于16m；</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支持光控、时控可调；</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支持IP66防护等级；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功率≤24W；</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支持AC220V±15%宽压变化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适用-30～70℃温度环境气候工作；</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防雷接地</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符合国标</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630"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立杆</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Q235材质，地笼M22×300×1m×4，立杆采用6米八棱杆，下口200，上口130，臂厚4.0mm，下法兰320mmx320mm，x18mm，上法兰260mm×260mm×14mm，横臂采用八棱臂，大口140，小口80，臂厚3.5mm，挑臂5米，热镀锌喷塑</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立杆基础</w:t>
            </w:r>
          </w:p>
        </w:tc>
        <w:tc>
          <w:tcPr>
            <w:tcW w:w="59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由混凝土和钢筋地龙两部分组成。挖1米深，1.1米*1.1米见方地坑浇筑混凝土，将钢筋地龙坐入正中。</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机箱</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2mm以上优质不锈钢板，含空开、插排,要求防雷接地和防水防尘。</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762"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防雷器</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信号、电源二合一 ;多功能防浪涌过电压精细保护;交直流电源通用;三级滤压串联保护</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个</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网线</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国标，超五类305米/箱</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箱</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电源线</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国标，RVV 2*2.5mm</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米</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20000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管材</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国标 直径20mm</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米</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20000</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286"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光纤租费</w:t>
            </w:r>
          </w:p>
        </w:tc>
        <w:tc>
          <w:tcPr>
            <w:tcW w:w="590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120路光纤5年租赁费</w:t>
            </w: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tblPrEx>
          <w:tblLayout w:type="fixed"/>
          <w:tblCellMar>
            <w:top w:w="15" w:type="dxa"/>
            <w:left w:w="15" w:type="dxa"/>
            <w:bottom w:w="15" w:type="dxa"/>
            <w:right w:w="15" w:type="dxa"/>
          </w:tblCellMar>
        </w:tblPrEx>
        <w:trPr>
          <w:trHeight w:val="420" w:hRule="atLeast"/>
        </w:trPr>
        <w:tc>
          <w:tcPr>
            <w:tcW w:w="2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施工辅料及其他费用</w:t>
            </w:r>
          </w:p>
        </w:tc>
        <w:tc>
          <w:tcPr>
            <w:tcW w:w="590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1"/>
                <w:szCs w:val="21"/>
              </w:rPr>
            </w:pPr>
          </w:p>
        </w:tc>
        <w:tc>
          <w:tcPr>
            <w:tcW w:w="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bl>
    <w:p>
      <w:pPr>
        <w:shd w:val="solid" w:color="FFFFFF" w:fill="auto"/>
        <w:autoSpaceDN w:val="0"/>
        <w:spacing w:line="360" w:lineRule="atLeast"/>
        <w:ind w:firstLine="482" w:firstLineChars="200"/>
        <w:jc w:val="both"/>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 xml:space="preserve">(三）采购标的执行标准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1</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城市联网监控报警系统设计方面：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《安全防范视频监控联网系统信息传输、交换、控制技术要求》（GB/ T28181）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《城市监控报警联网系统技术标准》（GA/T669-2008）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《全国公安机关图像信息联网总体技术方案》</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公安部关于城市报警与监控系统的建设、管理、应用规范性文件（公安部科技信息化局汇编2009年3月）</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安防视频监控系统设计方面：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《视频安防监控系统技术要求》（GA/T367-2001）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《安全防范监控数字视音频编码技术要求》（GB/T 25724-2010）</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《民用闭路监视电视系统工程技术规范》(GB50198-2011)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《工业电视系统工程设计规范》（GB50115-2009）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《安全防范系统通用图形符号》（GA/T74-2016）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《综合布线系统工程设计规范》 （GB/T50311-2007）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视频监控图像质量方面：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《电视视频通道测试方法》（GB3659-83）</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《彩色电视图像质量主观评价方法》（GB7401-1987）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视频系统网络设计方面：</w:t>
      </w:r>
      <w:r>
        <w:rPr>
          <w:rFonts w:hint="eastAsia" w:ascii="宋体" w:hAnsi="宋体" w:eastAsia="宋体" w:cs="宋体"/>
          <w:color w:val="000000"/>
          <w:sz w:val="24"/>
          <w:szCs w:val="24"/>
          <w:shd w:val="clear" w:color="auto" w:fill="FFFFFF"/>
        </w:rPr>
        <w:tab/>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《信息技术开放系统互连网络层安全协议》（GB/T 17963）</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《计算机信息系统安全产品部件》（GA 216.1－1999）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《计算机软件开发规范》（GB8566-88）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《公安信息通信网边界接入平台安全规划（试行）—视频接入部分》（公科信【2011】5号）</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视频系统工程建设方面：</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《安全防范工程费用概预算编制办法》（GA/T70-2004）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《安全防范工程程序与要求》（GA/T75-94）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《安全防范工程技术规范》(GB 50348-2014)</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《视频安防监控系统工程设计规范》（GB 50395-2007）</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《电子计算机机房设计规范》(GB50174-2008）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《建筑物防雷设计规范》(GB50057-2010)</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《建筑物电子信息系统防雷技术规范》(GB50343-2012)</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《安全防范系统雷电浪涌防护技术要求》(GA/T670-2006)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《民用建筑电气设计规范》(JGJ16-2008)</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视频系统工程验收</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《公安交通电视监视系统验收规范》（GA/T509）</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《安全防范系统验收规则》（GA308/2001）</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《中国电气装置安装工程施工及验收规范》（GBJ232-90.92）</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《综合布线系统工程验收规范》(GB50312-2016)</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其他</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平安城市建设相关地方规范与标准；公安部《警用地理信息系统系列标准规范》；省“天网覆盖”工程设备地址属性规范。</w:t>
      </w:r>
    </w:p>
    <w:p>
      <w:pPr>
        <w:shd w:val="solid" w:color="FFFFFF" w:fill="auto"/>
        <w:autoSpaceDN w:val="0"/>
        <w:spacing w:line="360" w:lineRule="atLeast"/>
        <w:ind w:firstLine="601"/>
        <w:jc w:val="both"/>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w:t>
      </w:r>
      <w:r>
        <w:rPr>
          <w:rFonts w:hint="eastAsia" w:ascii="宋体" w:hAnsi="宋体" w:cs="宋体"/>
          <w:b/>
          <w:color w:val="000000"/>
          <w:sz w:val="24"/>
          <w:szCs w:val="24"/>
          <w:shd w:val="clear" w:color="auto" w:fill="FFFFFF"/>
          <w:lang w:eastAsia="zh-CN"/>
        </w:rPr>
        <w:t>四</w:t>
      </w:r>
      <w:r>
        <w:rPr>
          <w:rFonts w:hint="eastAsia" w:ascii="宋体" w:hAnsi="宋体" w:eastAsia="宋体" w:cs="宋体"/>
          <w:b/>
          <w:color w:val="000000"/>
          <w:sz w:val="24"/>
          <w:szCs w:val="24"/>
          <w:shd w:val="clear" w:color="auto" w:fill="FFFFFF"/>
        </w:rPr>
        <w:t xml:space="preserve">）、验收标准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项目由采购人组织相关人员进行验收，也可委托第三方检测机构进行验收。验收按照招标文件要求包括：全部设备、产品、型号、规格、数量、外型、外观、包装及资料、文件（如装箱单、保修单、随箱介质等）等。</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五、评标方法和评标标准</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（一）评标方法：最低评标价法□ 综合评分法</w:t>
      </w:r>
      <w:r>
        <w:rPr>
          <w:rFonts w:hint="eastAsia" w:ascii="宋体" w:hAnsi="宋体" w:eastAsia="宋体" w:cs="宋体"/>
          <w:color w:val="000000"/>
          <w:sz w:val="24"/>
          <w:szCs w:val="24"/>
          <w:shd w:val="clear" w:color="auto" w:fill="FFFFFF"/>
        </w:rPr>
        <w:fldChar w:fldCharType="begin"/>
      </w:r>
      <w:r>
        <w:rPr>
          <w:rFonts w:hint="eastAsia" w:ascii="宋体" w:hAnsi="宋体" w:eastAsia="宋体" w:cs="宋体"/>
          <w:color w:val="000000"/>
          <w:sz w:val="24"/>
          <w:szCs w:val="24"/>
          <w:shd w:val="clear" w:color="auto" w:fill="FFFFFF"/>
        </w:rPr>
        <w:instrText xml:space="preserve"> EQ \o\ac(</w:instrText>
      </w:r>
      <w:r>
        <w:rPr>
          <w:rFonts w:hint="eastAsia" w:ascii="宋体" w:hAnsi="宋体" w:eastAsia="宋体" w:cs="宋体"/>
          <w:color w:val="000000"/>
          <w:position w:val="-4"/>
          <w:sz w:val="36"/>
          <w:szCs w:val="24"/>
          <w:shd w:val="clear" w:color="auto" w:fill="FFFFFF"/>
        </w:rPr>
        <w:instrText xml:space="preserve">□</w:instrText>
      </w:r>
      <w:r>
        <w:rPr>
          <w:rFonts w:hint="eastAsia" w:ascii="宋体" w:hAnsi="宋体" w:eastAsia="宋体" w:cs="宋体"/>
          <w:color w:val="000000"/>
          <w:position w:val="0"/>
          <w:sz w:val="24"/>
          <w:szCs w:val="24"/>
          <w:shd w:val="clear" w:color="auto" w:fill="FFFFFF"/>
        </w:rPr>
        <w:instrText xml:space="preserve">,√)</w:instrText>
      </w:r>
      <w:r>
        <w:rPr>
          <w:rFonts w:hint="eastAsia" w:ascii="宋体" w:hAnsi="宋体" w:eastAsia="宋体" w:cs="宋体"/>
          <w:color w:val="000000"/>
          <w:sz w:val="24"/>
          <w:szCs w:val="24"/>
          <w:shd w:val="clear" w:color="auto" w:fill="FFFFFF"/>
        </w:rPr>
        <w:fldChar w:fldCharType="end"/>
      </w:r>
      <w:r>
        <w:rPr>
          <w:rFonts w:hint="eastAsia" w:ascii="宋体" w:hAnsi="宋体" w:eastAsia="宋体" w:cs="宋体"/>
          <w:color w:val="000000"/>
          <w:sz w:val="24"/>
          <w:szCs w:val="24"/>
          <w:shd w:val="clear" w:color="auto" w:fill="FFFFFF"/>
        </w:rPr>
        <w:t xml:space="preserve"> </w:t>
      </w:r>
    </w:p>
    <w:p>
      <w:pPr>
        <w:shd w:val="solid" w:color="FFFFFF" w:fill="auto"/>
        <w:autoSpaceDN w:val="0"/>
        <w:spacing w:line="360" w:lineRule="atLeast"/>
        <w:ind w:firstLine="601"/>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（二）综合评分法评标标准： </w:t>
      </w:r>
    </w:p>
    <w:tbl>
      <w:tblPr>
        <w:tblStyle w:val="1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3"/>
        <w:gridCol w:w="645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分值构成</w:t>
            </w:r>
          </w:p>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(总分100分)</w:t>
            </w:r>
          </w:p>
        </w:tc>
        <w:tc>
          <w:tcPr>
            <w:tcW w:w="7593" w:type="dxa"/>
            <w:gridSpan w:val="2"/>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价格分值：   30 分</w:t>
            </w:r>
          </w:p>
          <w:p>
            <w:pPr>
              <w:shd w:val="solid" w:color="FFFFFF" w:fill="auto"/>
              <w:autoSpaceDN w:val="0"/>
              <w:spacing w:line="360" w:lineRule="atLeast"/>
              <w:ind w:firstLine="48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商务部分：   20 分</w:t>
            </w:r>
          </w:p>
          <w:p>
            <w:pPr>
              <w:shd w:val="solid" w:color="FFFFFF" w:fill="auto"/>
              <w:autoSpaceDN w:val="0"/>
              <w:spacing w:line="360" w:lineRule="atLeast"/>
              <w:ind w:firstLine="48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技术部分：   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一、价格部分（满分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投标报价</w:t>
            </w:r>
          </w:p>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评分标准</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评标基准价：满足招标文件要求的有效投标报价中，最低的投标报价为评标基准价。</w:t>
            </w:r>
          </w:p>
          <w:p>
            <w:pPr>
              <w:shd w:val="solid" w:color="FFFFFF" w:fill="auto"/>
              <w:autoSpaceDN w:val="0"/>
              <w:spacing w:line="330" w:lineRule="atLeas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投标报价得分=（评标基准价/评标价格）×  30</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二、商务部分（满分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2" w:hRule="atLeast"/>
        </w:trPr>
        <w:tc>
          <w:tcPr>
            <w:tcW w:w="1263"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企业实力</w:t>
            </w:r>
          </w:p>
        </w:tc>
        <w:tc>
          <w:tcPr>
            <w:tcW w:w="6452" w:type="dxa"/>
            <w:shd w:val="solid" w:color="FFFFFF" w:fill="auto"/>
            <w:tcMar>
              <w:top w:w="0" w:type="dxa"/>
              <w:left w:w="108" w:type="dxa"/>
              <w:bottom w:w="0" w:type="dxa"/>
              <w:right w:w="108" w:type="dxa"/>
            </w:tcMar>
            <w:vAlign w:val="center"/>
          </w:tcPr>
          <w:p>
            <w:pPr>
              <w:shd w:val="solid" w:color="FFFFFF" w:fill="auto"/>
              <w:autoSpaceDN w:val="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投标人提供ISO9001 系列质量管理体系认证得2分，否则不得分；</w:t>
            </w:r>
          </w:p>
          <w:p>
            <w:pPr>
              <w:shd w:val="solid" w:color="FFFFFF" w:fill="auto"/>
              <w:autoSpaceDN w:val="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投标人提供OHSAS18001:2011职业健康安全管理体系认证得2分，否则不得分；</w:t>
            </w:r>
          </w:p>
          <w:p>
            <w:pPr>
              <w:shd w:val="solid" w:color="FFFFFF" w:fill="auto"/>
              <w:autoSpaceDN w:val="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投标人提供ISO14001:2015环境管理体系认证得2分;否则不得分；</w:t>
            </w:r>
          </w:p>
          <w:p>
            <w:pPr>
              <w:shd w:val="solid" w:color="FFFFFF" w:fill="auto"/>
              <w:autoSpaceDN w:val="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2015年以来，投标人被企业所在地工商部门评为守合同重信用企业的得2分（以上证书评标时提供证书复印件加盖公章）</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  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63" w:type="dxa"/>
            <w:shd w:val="solid" w:color="FFFFFF" w:fill="auto"/>
            <w:tcMar>
              <w:top w:w="0" w:type="dxa"/>
              <w:left w:w="108" w:type="dxa"/>
              <w:bottom w:w="0" w:type="dxa"/>
              <w:right w:w="108" w:type="dxa"/>
            </w:tcMar>
            <w:vAlign w:val="center"/>
          </w:tcPr>
          <w:p>
            <w:pPr>
              <w:shd w:val="solid" w:color="FFFFFF" w:fill="auto"/>
              <w:autoSpaceDN w:val="0"/>
              <w:ind w:firstLine="210" w:firstLineChars="10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业绩</w:t>
            </w:r>
          </w:p>
        </w:tc>
        <w:tc>
          <w:tcPr>
            <w:tcW w:w="6452" w:type="dxa"/>
            <w:shd w:val="solid" w:color="FFFFFF" w:fill="auto"/>
            <w:tcMar>
              <w:top w:w="0" w:type="dxa"/>
              <w:left w:w="108" w:type="dxa"/>
              <w:bottom w:w="0" w:type="dxa"/>
              <w:right w:w="108" w:type="dxa"/>
            </w:tcMar>
            <w:vAlign w:val="center"/>
          </w:tcPr>
          <w:p>
            <w:pPr>
              <w:shd w:val="solid" w:color="FFFFFF" w:fill="auto"/>
              <w:autoSpaceDN w:val="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投标人提供自2014年1月1日以来签订的类似项目业绩，单份合同金额在300万及以上的（</w:t>
            </w:r>
            <w:r>
              <w:rPr>
                <w:rFonts w:hint="eastAsia" w:ascii="宋体" w:hAnsi="宋体" w:eastAsia="宋体" w:cs="宋体"/>
                <w:color w:val="000000"/>
                <w:sz w:val="21"/>
                <w:szCs w:val="21"/>
                <w:shd w:val="clear" w:color="auto" w:fill="FFFFFF"/>
                <w:lang w:val="zh-CN"/>
              </w:rPr>
              <w:t>包括合同、验收报告、使用单位评价包含按时开工、竣工，对出现的故障能迅速响应及时排除等。</w:t>
            </w:r>
            <w:r>
              <w:rPr>
                <w:rFonts w:hint="eastAsia" w:ascii="宋体" w:hAnsi="宋体" w:eastAsia="宋体" w:cs="宋体"/>
                <w:color w:val="000000"/>
                <w:sz w:val="21"/>
                <w:szCs w:val="21"/>
                <w:shd w:val="clear" w:color="auto" w:fill="FFFFFF"/>
              </w:rPr>
              <w:t>），每提供齐全一份得3分，最高得12分；（评标时需提供合同及验收报告复印件并加盖公章）</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56"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b/>
                <w:color w:val="000000"/>
                <w:sz w:val="21"/>
                <w:szCs w:val="21"/>
                <w:shd w:val="clear" w:color="auto" w:fill="FFFFFF"/>
              </w:rPr>
              <w:t>三、技术部分（满分50分）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评分因素</w:t>
            </w:r>
          </w:p>
        </w:tc>
        <w:tc>
          <w:tcPr>
            <w:tcW w:w="6452" w:type="dxa"/>
            <w:shd w:val="solid" w:color="FFFFFF" w:fill="auto"/>
            <w:tcMar>
              <w:top w:w="0" w:type="dxa"/>
              <w:left w:w="108" w:type="dxa"/>
              <w:bottom w:w="0" w:type="dxa"/>
              <w:right w:w="108" w:type="dxa"/>
            </w:tcMar>
            <w:vAlign w:val="center"/>
          </w:tcPr>
          <w:p>
            <w:pPr>
              <w:spacing w:line="400" w:lineRule="exact"/>
              <w:jc w:val="center"/>
              <w:rPr>
                <w:rFonts w:hint="eastAsia" w:ascii="宋体" w:hAnsi="宋体" w:eastAsia="宋体" w:cs="宋体"/>
                <w:b/>
                <w:i/>
                <w:color w:val="FF0000"/>
                <w:sz w:val="21"/>
                <w:szCs w:val="21"/>
                <w:shd w:val="clear" w:color="auto" w:fill="FFFFFF"/>
              </w:rPr>
            </w:pPr>
            <w:r>
              <w:rPr>
                <w:rFonts w:hint="eastAsia" w:ascii="宋体" w:hAnsi="宋体" w:eastAsia="宋体" w:cs="宋体"/>
                <w:bCs/>
                <w:iCs/>
                <w:sz w:val="21"/>
                <w:szCs w:val="21"/>
                <w:shd w:val="clear" w:color="auto" w:fill="FFFFFF"/>
              </w:rPr>
              <w:t>评分标准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 对招标文件</w:t>
            </w:r>
          </w:p>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响应程度</w:t>
            </w:r>
          </w:p>
        </w:tc>
        <w:tc>
          <w:tcPr>
            <w:tcW w:w="6452" w:type="dxa"/>
            <w:shd w:val="solid" w:color="FFFFFF" w:fill="auto"/>
            <w:tcMar>
              <w:top w:w="0" w:type="dxa"/>
              <w:left w:w="108" w:type="dxa"/>
              <w:bottom w:w="0" w:type="dxa"/>
              <w:right w:w="108" w:type="dxa"/>
            </w:tcMar>
            <w:vAlign w:val="center"/>
          </w:tcPr>
          <w:p>
            <w:pPr>
              <w:spacing w:line="40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综合比较对招标文件技术要求的响应程度，满足招标文件技术要求得10分，未实质性响应的为无效投标， 加★优于招标文件的每项加0.5分（技术证明材料加盖厂商公章），最高得5分。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技术方案</w:t>
            </w:r>
          </w:p>
        </w:tc>
        <w:tc>
          <w:tcPr>
            <w:tcW w:w="6452" w:type="dxa"/>
            <w:shd w:val="solid" w:color="FFFFFF" w:fill="auto"/>
            <w:tcMar>
              <w:top w:w="0" w:type="dxa"/>
              <w:left w:w="108" w:type="dxa"/>
              <w:bottom w:w="0" w:type="dxa"/>
              <w:right w:w="108" w:type="dxa"/>
            </w:tcMar>
            <w:vAlign w:val="center"/>
          </w:tcPr>
          <w:p>
            <w:pP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1.技术方案中详细描述了前端产品的性能、通信链路租用保障能力、后台设备的功能和性能、运维服务技术规划，并提供齐全技术证明资料，且方案完整、可行性，技术先进，得9分；</w:t>
            </w:r>
          </w:p>
          <w:p>
            <w:pP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2.技术方案中基本描述了前端产品的性能、通信链路租用保障能力、后台设备的功能和性能、运维服务技术规划，并提供基本的技术证明资料，且方案基本可行，得6分；</w:t>
            </w:r>
          </w:p>
          <w:p>
            <w:pPr>
              <w:shd w:val="solid" w:color="FFFFFF" w:fill="auto"/>
              <w:autoSpaceDN w:val="0"/>
              <w:spacing w:line="360" w:lineRule="atLeas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3.技术方案中有前端产品的性能、通信链路租用保障能力、后台设备的功能和性能、运维服务技术规划描述，但不详细，提供基本的技术证明资料不全面，且方案可行性差，得1分。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技术实力</w:t>
            </w:r>
          </w:p>
        </w:tc>
        <w:tc>
          <w:tcPr>
            <w:tcW w:w="6452" w:type="dxa"/>
            <w:shd w:val="solid" w:color="FFFFFF" w:fill="auto"/>
            <w:tcMar>
              <w:top w:w="0" w:type="dxa"/>
              <w:left w:w="108" w:type="dxa"/>
              <w:bottom w:w="0" w:type="dxa"/>
              <w:right w:w="108" w:type="dxa"/>
            </w:tcMar>
            <w:vAlign w:val="center"/>
          </w:tcPr>
          <w:p>
            <w:pPr>
              <w:spacing w:line="400" w:lineRule="exact"/>
              <w:jc w:val="both"/>
              <w:rPr>
                <w:rFonts w:hint="eastAsia" w:ascii="宋体" w:hAnsi="宋体" w:eastAsia="宋体" w:cs="宋体"/>
                <w:color w:val="000000"/>
                <w:sz w:val="21"/>
                <w:szCs w:val="21"/>
                <w:shd w:val="clear" w:color="auto" w:fill="FFFFFF"/>
              </w:rPr>
            </w:pPr>
            <w:r>
              <w:rPr>
                <w:rFonts w:hint="eastAsia" w:ascii="宋体" w:hAnsi="宋体" w:eastAsia="宋体" w:cs="宋体"/>
                <w:color w:val="FF0000"/>
                <w:sz w:val="21"/>
                <w:szCs w:val="21"/>
                <w:shd w:val="clear" w:color="auto" w:fill="FFFFFF"/>
              </w:rPr>
              <w:t xml:space="preserve"> </w:t>
            </w:r>
            <w:r>
              <w:rPr>
                <w:rFonts w:hint="eastAsia" w:ascii="宋体" w:hAnsi="宋体" w:eastAsia="宋体" w:cs="宋体"/>
                <w:color w:val="000000"/>
                <w:sz w:val="21"/>
                <w:szCs w:val="21"/>
                <w:shd w:val="clear" w:color="auto" w:fill="FFFFFF"/>
              </w:rPr>
              <w:t xml:space="preserve">1、“200万像素星光级红外枪机、200万微卡口相机、200万像素高清红外球机”支持具有网关ARP绑定功能，有效防范ARP攻击，提升安全性，此项技术功能有国家安全防范报警系统产品质量监督检验中心出具的检测报告（加盖厂家公章），有一项得1分，满分3分。 </w:t>
            </w:r>
          </w:p>
          <w:p>
            <w:pPr>
              <w:spacing w:line="40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200万像素星光级红外枪机、200万微卡口相机、200万像素高清红外球机”应提供国家安全防范报警系统产品质量监督检验中心或公安部交通安全产品质量监督检测中心的系统检测报告（加盖厂家公章），有一项得1分，满分6分。</w:t>
            </w:r>
          </w:p>
          <w:p>
            <w:pPr>
              <w:spacing w:line="40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投标人所投设备清单的监控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加盖厂家公章）得3分，不提供的不得分。</w:t>
            </w:r>
          </w:p>
          <w:p>
            <w:pPr>
              <w:shd w:val="solid" w:color="FFFFFF" w:fill="auto"/>
              <w:autoSpaceDN w:val="0"/>
              <w:spacing w:line="360" w:lineRule="atLeas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4、“200万像素星光级红外枪机、200万微卡口相机、200万像素高清红外球机”产品提供生产厂家CMMI软件能力成熟度模型集成证书并加盖厂家公章，5级2分，4级1分,3级及以下不得分。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售后服务及运维方案</w:t>
            </w:r>
          </w:p>
        </w:tc>
        <w:tc>
          <w:tcPr>
            <w:tcW w:w="6452" w:type="dxa"/>
            <w:shd w:val="solid" w:color="FFFFFF" w:fill="auto"/>
            <w:tcMar>
              <w:top w:w="0" w:type="dxa"/>
              <w:left w:w="108" w:type="dxa"/>
              <w:bottom w:w="0" w:type="dxa"/>
              <w:right w:w="108" w:type="dxa"/>
            </w:tcMar>
            <w:vAlign w:val="center"/>
          </w:tcPr>
          <w:p>
            <w:pPr>
              <w:numPr>
                <w:ilvl w:val="0"/>
                <w:numId w:val="1"/>
              </w:numPr>
              <w:spacing w:line="36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人需要根据标书确定的运维区域、设备情况制定运维方案，为准确区分相关单位（设备运维公司、网络公司等）的责任，提升运维服务效率，保证业主方正常工作需求，自故障发生时间起，解决时间≦4小时得1.5分，≦8小时得1分， ≦24小时得0.5分；&gt;48小时不得分（需要在技术方案中体现具体运维方案）。</w:t>
            </w:r>
          </w:p>
          <w:p>
            <w:pPr>
              <w:spacing w:line="36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2、投标人企业在项目所在地或投标人企业在项目所在地设立办事处或分公司的，能提供其人员由公安厅颁发的安全技术防范从业资格证书以及企业为其在项目所在地市缴纳社保（近三个月中任意一个月）的证明文件，其中每提供齐全1人得1分，最高得3分； </w:t>
            </w:r>
          </w:p>
          <w:p>
            <w:pPr>
              <w:spacing w:line="400" w:lineRule="exact"/>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3、投标人企业在项目所在地或投标人企业在项目所在地设立办事处或分公司的能提供其公司或办事处、分公司购置运维车辆（限工具车、货车、登高车）发票的，每提供一辆得0.5分，最高得2分； </w:t>
            </w:r>
          </w:p>
          <w:p>
            <w:pPr>
              <w:spacing w:line="400" w:lineRule="exact"/>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xml:space="preserve">4、投标人能提供与项目所在地市级以上通信链路运营商合作协议，并且协议中有关于对本项目通信链路运维支持及快速响应机制的，运营商承诺自故障发生时间起，解决时间≦4小时得1.5分，≦8小时得1分， ≦24小时得0.5分；&gt;48小时不得分 </w:t>
            </w:r>
          </w:p>
          <w:p>
            <w:pPr>
              <w:spacing w:line="400" w:lineRule="exact"/>
              <w:jc w:val="both"/>
              <w:rPr>
                <w:rFonts w:hint="eastAsia" w:ascii="宋体" w:hAnsi="宋体" w:eastAsia="宋体" w:cs="宋体"/>
                <w:color w:val="FF0000"/>
                <w:sz w:val="21"/>
                <w:szCs w:val="21"/>
                <w:shd w:val="clear" w:color="auto" w:fill="FFFFFF"/>
              </w:rPr>
            </w:pPr>
            <w:r>
              <w:rPr>
                <w:rFonts w:hint="eastAsia" w:ascii="宋体" w:hAnsi="宋体" w:eastAsia="宋体" w:cs="宋体"/>
                <w:color w:val="000000"/>
                <w:sz w:val="21"/>
                <w:szCs w:val="21"/>
                <w:shd w:val="clear" w:color="auto" w:fill="FFFFFF"/>
              </w:rPr>
              <w:t>5、投标人应保证该项目视频图像完好率，完好率由用户每天统计。投标人承诺完好率为98%得2分，完好率为95%得1分，完好率为90%得0.5分，低于90%不得分。用户根据完好率情况据实结算服务费。</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atLeast"/>
        </w:trPr>
        <w:tc>
          <w:tcPr>
            <w:tcW w:w="1263" w:type="dxa"/>
            <w:shd w:val="solid" w:color="FFFFFF" w:fill="auto"/>
            <w:tcMar>
              <w:top w:w="0" w:type="dxa"/>
              <w:left w:w="108" w:type="dxa"/>
              <w:bottom w:w="0" w:type="dxa"/>
              <w:right w:w="108" w:type="dxa"/>
            </w:tcMar>
            <w:vAlign w:val="center"/>
          </w:tcPr>
          <w:p>
            <w:pPr>
              <w:shd w:val="solid" w:color="FFFFFF" w:fill="auto"/>
              <w:autoSpaceDN w:val="0"/>
              <w:spacing w:line="36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投标文件规范程度</w:t>
            </w:r>
          </w:p>
        </w:tc>
        <w:tc>
          <w:tcPr>
            <w:tcW w:w="6452" w:type="dxa"/>
            <w:shd w:val="solid" w:color="FFFFFF" w:fill="auto"/>
            <w:tcMar>
              <w:top w:w="0" w:type="dxa"/>
              <w:left w:w="108" w:type="dxa"/>
              <w:bottom w:w="0" w:type="dxa"/>
              <w:right w:w="108" w:type="dxa"/>
            </w:tcMar>
            <w:vAlign w:val="center"/>
          </w:tcPr>
          <w:p>
            <w:pPr>
              <w:spacing w:line="400" w:lineRule="exac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投标文件的编制符合招标文件规定、装订整齐、印刷精美得2分；较好得1分，投标文件编制无目录和页码，排序混乱和缺篇少页的不得分。</w:t>
            </w:r>
          </w:p>
        </w:tc>
        <w:tc>
          <w:tcPr>
            <w:tcW w:w="1141"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2分</w:t>
            </w:r>
          </w:p>
        </w:tc>
      </w:tr>
    </w:tbl>
    <w:p>
      <w:pPr>
        <w:numPr>
          <w:ilvl w:val="0"/>
          <w:numId w:val="0"/>
        </w:num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cs="宋体"/>
          <w:color w:val="000000"/>
          <w:sz w:val="24"/>
          <w:szCs w:val="24"/>
          <w:shd w:val="clear" w:color="auto" w:fill="FFFFFF"/>
          <w:lang w:eastAsia="zh-CN"/>
        </w:rPr>
        <w:t>六、</w:t>
      </w:r>
      <w:r>
        <w:rPr>
          <w:rFonts w:hint="eastAsia" w:ascii="宋体" w:hAnsi="宋体" w:eastAsia="宋体" w:cs="宋体"/>
          <w:color w:val="000000"/>
          <w:sz w:val="24"/>
          <w:szCs w:val="24"/>
          <w:shd w:val="clear" w:color="auto" w:fill="FFFFFF"/>
        </w:rPr>
        <w:t xml:space="preserve">资金支付 </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支付方式：银行转账</w:t>
      </w:r>
    </w:p>
    <w:p>
      <w:pPr>
        <w:topLinePunct/>
        <w:adjustRightInd w:val="0"/>
        <w:snapToGrid w:val="0"/>
        <w:spacing w:line="360" w:lineRule="atLeas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w:t>
      </w:r>
      <w:r>
        <w:rPr>
          <w:rFonts w:hint="eastAsia" w:ascii="宋体" w:hAnsi="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支付时间及条件：设备安装完毕，经验收合格后支付除光纤服务费外总价款的95%，剩余5%的款项待设备运行满12个月且无质量问题一次付清。五年光纤租赁费每年支付一次，每次支付总额的20%，每次实际支付费用参考每期图像完好率考评结果据实支付。</w:t>
      </w:r>
    </w:p>
    <w:p>
      <w:pPr>
        <w:shd w:val="solid" w:color="FFFFFF" w:fill="auto"/>
        <w:autoSpaceDN w:val="0"/>
        <w:spacing w:line="360"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七、联系方式采购人：许昌市公安局魏都分局</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地 址：许昌市八一路东段 </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联系人：槐定伟               联系电话：0374-2906378</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代理机构：许昌市魏都区政府采购中心</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址：许昌市天宝路魏都区政府办公楼5楼557室</w:t>
      </w:r>
    </w:p>
    <w:p>
      <w:pPr>
        <w:shd w:val="solid" w:color="FFFFFF" w:fill="auto"/>
        <w:autoSpaceDN w:val="0"/>
        <w:spacing w:line="360" w:lineRule="atLeas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联系人：张良                 联系电话：0374-3325658</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EE2F2"/>
    <w:multiLevelType w:val="singleLevel"/>
    <w:tmpl w:val="B96EE2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5E07B7F"/>
    <w:rsid w:val="06CE5194"/>
    <w:rsid w:val="07C469A9"/>
    <w:rsid w:val="0A9E2559"/>
    <w:rsid w:val="0B613855"/>
    <w:rsid w:val="0D2D3970"/>
    <w:rsid w:val="0D406949"/>
    <w:rsid w:val="0DF807A2"/>
    <w:rsid w:val="0EBF69ED"/>
    <w:rsid w:val="0F6D17CE"/>
    <w:rsid w:val="11042F28"/>
    <w:rsid w:val="11F645BB"/>
    <w:rsid w:val="1378301B"/>
    <w:rsid w:val="14C84776"/>
    <w:rsid w:val="1B55100D"/>
    <w:rsid w:val="1DAA648C"/>
    <w:rsid w:val="1F92504F"/>
    <w:rsid w:val="21652125"/>
    <w:rsid w:val="251022E9"/>
    <w:rsid w:val="26970E59"/>
    <w:rsid w:val="28962A5B"/>
    <w:rsid w:val="2AD330CA"/>
    <w:rsid w:val="2C511174"/>
    <w:rsid w:val="2F2C3AB4"/>
    <w:rsid w:val="310E2887"/>
    <w:rsid w:val="312149B3"/>
    <w:rsid w:val="31D14245"/>
    <w:rsid w:val="33AD2577"/>
    <w:rsid w:val="34943CCE"/>
    <w:rsid w:val="372C7C36"/>
    <w:rsid w:val="3AC0087F"/>
    <w:rsid w:val="3E491A58"/>
    <w:rsid w:val="3EDF7417"/>
    <w:rsid w:val="40F511B6"/>
    <w:rsid w:val="4371077A"/>
    <w:rsid w:val="43BC2FD6"/>
    <w:rsid w:val="43C50EC6"/>
    <w:rsid w:val="4ABE57C9"/>
    <w:rsid w:val="4B0E5437"/>
    <w:rsid w:val="4BA3744D"/>
    <w:rsid w:val="4BA84870"/>
    <w:rsid w:val="4C6B2A12"/>
    <w:rsid w:val="588111CF"/>
    <w:rsid w:val="599F2DE2"/>
    <w:rsid w:val="5CDC5000"/>
    <w:rsid w:val="5FBD3BAD"/>
    <w:rsid w:val="5FCC1B20"/>
    <w:rsid w:val="60941321"/>
    <w:rsid w:val="60BE20FC"/>
    <w:rsid w:val="611D2CB6"/>
    <w:rsid w:val="61873DE3"/>
    <w:rsid w:val="6489371E"/>
    <w:rsid w:val="64EB6E1C"/>
    <w:rsid w:val="65375600"/>
    <w:rsid w:val="675501A8"/>
    <w:rsid w:val="6AC0466B"/>
    <w:rsid w:val="6ACA1A42"/>
    <w:rsid w:val="6DE03CB0"/>
    <w:rsid w:val="6DE17D73"/>
    <w:rsid w:val="74094FFC"/>
    <w:rsid w:val="74565A98"/>
    <w:rsid w:val="753450E7"/>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ascii="宋体" w:hAnsi="宋体"/>
      <w:sz w:val="18"/>
      <w:szCs w:val="18"/>
    </w:rPr>
  </w:style>
  <w:style w:type="character" w:styleId="10">
    <w:name w:val="Strong"/>
    <w:qFormat/>
    <w:uiPriority w:val="0"/>
    <w:rPr>
      <w:b/>
    </w:rPr>
  </w:style>
  <w:style w:type="character" w:styleId="11">
    <w:name w:val="Hyperlink"/>
    <w:qFormat/>
    <w:uiPriority w:val="0"/>
    <w:rPr>
      <w:color w:val="000000"/>
      <w:u w:val="none"/>
    </w:rPr>
  </w:style>
  <w:style w:type="paragraph" w:customStyle="1" w:styleId="13">
    <w:name w:val="普通(网站)1"/>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3</TotalTime>
  <ScaleCrop>false</ScaleCrop>
  <LinksUpToDate>false</LinksUpToDate>
  <CharactersWithSpaces>12758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吉旦</cp:lastModifiedBy>
  <cp:lastPrinted>2018-07-26T01:11:00Z</cp:lastPrinted>
  <dcterms:modified xsi:type="dcterms:W3CDTF">2018-07-30T03:16:52Z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