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 w:hAnsi="仿宋" w:eastAsia="仿宋" w:cs="仿宋"/>
          <w:b/>
          <w:bCs/>
          <w:sz w:val="44"/>
          <w:szCs w:val="44"/>
        </w:rPr>
      </w:pPr>
    </w:p>
    <w:p>
      <w:pPr>
        <w:jc w:val="center"/>
        <w:rPr>
          <w:rFonts w:hint="eastAsia" w:ascii="仿宋" w:hAnsi="仿宋" w:eastAsia="仿宋"/>
          <w:b/>
          <w:w w:val="90"/>
          <w:sz w:val="84"/>
        </w:rPr>
      </w:pPr>
      <w:r>
        <w:rPr>
          <w:rFonts w:hint="eastAsia" w:ascii="仿宋" w:hAnsi="仿宋" w:eastAsia="仿宋" w:cs="仿宋"/>
          <w:b/>
          <w:bCs/>
          <w:sz w:val="44"/>
          <w:szCs w:val="44"/>
        </w:rPr>
        <w:t>禹州市食品药品监督管理局食品抽样检测项目</w:t>
      </w:r>
    </w:p>
    <w:p>
      <w:pPr>
        <w:ind w:firstLine="3417" w:firstLineChars="450"/>
        <w:rPr>
          <w:rFonts w:hint="eastAsia" w:ascii="仿宋" w:hAnsi="仿宋" w:eastAsia="仿宋"/>
          <w:b/>
          <w:w w:val="90"/>
          <w:sz w:val="84"/>
        </w:rPr>
      </w:pPr>
    </w:p>
    <w:p>
      <w:pPr>
        <w:ind w:firstLine="3417" w:firstLineChars="450"/>
        <w:rPr>
          <w:rFonts w:hint="eastAsia" w:ascii="仿宋" w:hAnsi="仿宋" w:eastAsia="仿宋"/>
          <w:b/>
          <w:w w:val="90"/>
          <w:sz w:val="84"/>
        </w:rPr>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rPr>
          <w:rFonts w:ascii="仿宋" w:hAnsi="仿宋" w:eastAsia="仿宋"/>
          <w:sz w:val="32"/>
        </w:rPr>
      </w:pPr>
    </w:p>
    <w:p>
      <w:pPr>
        <w:pStyle w:val="43"/>
        <w:spacing w:line="520" w:lineRule="exact"/>
        <w:ind w:firstLine="320" w:firstLineChars="100"/>
        <w:rPr>
          <w:rFonts w:ascii="仿宋" w:hAnsi="仿宋" w:eastAsia="仿宋"/>
          <w:sz w:val="32"/>
        </w:rPr>
      </w:pPr>
      <w:r>
        <w:rPr>
          <w:rFonts w:hint="eastAsia" w:ascii="仿宋" w:hAnsi="仿宋" w:eastAsia="仿宋"/>
          <w:sz w:val="32"/>
        </w:rPr>
        <w:t>采购单位：禹州市食品药品监督管理局</w:t>
      </w:r>
    </w:p>
    <w:p>
      <w:pPr>
        <w:autoSpaceDE w:val="0"/>
        <w:autoSpaceDN w:val="0"/>
        <w:spacing w:line="360" w:lineRule="auto"/>
        <w:ind w:left="319" w:leftChars="152" w:right="-20"/>
        <w:outlineLvl w:val="0"/>
        <w:rPr>
          <w:rFonts w:hint="eastAsia" w:ascii="仿宋" w:hAnsi="仿宋" w:eastAsia="仿宋"/>
          <w:sz w:val="32"/>
        </w:rPr>
      </w:pPr>
      <w:r>
        <w:rPr>
          <w:rFonts w:hint="eastAsia" w:ascii="仿宋" w:hAnsi="仿宋" w:eastAsia="仿宋"/>
          <w:sz w:val="32"/>
        </w:rPr>
        <w:t>项目名称：禹州市食品药品监督管理局食品抽样检测项目</w:t>
      </w:r>
    </w:p>
    <w:p>
      <w:pPr>
        <w:autoSpaceDE w:val="0"/>
        <w:autoSpaceDN w:val="0"/>
        <w:spacing w:line="360" w:lineRule="auto"/>
        <w:ind w:left="319" w:leftChars="152" w:right="-20"/>
        <w:outlineLvl w:val="0"/>
        <w:rPr>
          <w:rFonts w:hint="eastAsia" w:ascii="仿宋" w:hAnsi="仿宋" w:eastAsia="仿宋"/>
          <w:sz w:val="32"/>
          <w:lang w:val="en-US" w:eastAsia="zh-CN"/>
        </w:rPr>
      </w:pPr>
      <w:r>
        <w:rPr>
          <w:rFonts w:hint="eastAsia" w:ascii="仿宋" w:hAnsi="仿宋" w:eastAsia="仿宋"/>
          <w:sz w:val="32"/>
          <w:lang w:val="en-US" w:eastAsia="zh-CN"/>
        </w:rPr>
        <w:t>采购</w:t>
      </w:r>
      <w:r>
        <w:rPr>
          <w:rFonts w:hint="eastAsia" w:ascii="仿宋" w:hAnsi="仿宋" w:eastAsia="仿宋"/>
          <w:sz w:val="32"/>
        </w:rPr>
        <w:t>编号：YZCG—G201816</w:t>
      </w:r>
      <w:r>
        <w:rPr>
          <w:rFonts w:hint="eastAsia" w:ascii="仿宋" w:hAnsi="仿宋" w:eastAsia="仿宋"/>
          <w:sz w:val="32"/>
          <w:lang w:val="en-US" w:eastAsia="zh-CN"/>
        </w:rPr>
        <w:t>4</w:t>
      </w:r>
    </w:p>
    <w:p>
      <w:pPr>
        <w:ind w:firstLine="320" w:firstLineChars="100"/>
        <w:rPr>
          <w:rFonts w:ascii="仿宋" w:hAnsi="仿宋" w:eastAsia="仿宋"/>
          <w:sz w:val="32"/>
        </w:rPr>
      </w:pPr>
      <w:r>
        <w:rPr>
          <w:rFonts w:hint="eastAsia" w:ascii="仿宋" w:hAnsi="仿宋" w:eastAsia="仿宋"/>
          <w:sz w:val="32"/>
        </w:rPr>
        <w:t>采购代理机构：禹州市政府采购中心</w:t>
      </w:r>
    </w:p>
    <w:p>
      <w:pPr>
        <w:ind w:firstLine="320" w:firstLineChars="100"/>
        <w:rPr>
          <w:rFonts w:ascii="仿宋" w:hAnsi="仿宋" w:eastAsia="仿宋"/>
          <w:b/>
          <w:sz w:val="32"/>
        </w:rPr>
      </w:pPr>
      <w:r>
        <w:rPr>
          <w:rFonts w:hint="eastAsia" w:ascii="仿宋" w:hAnsi="仿宋" w:eastAsia="仿宋"/>
          <w:sz w:val="32"/>
        </w:rPr>
        <w:t>采购监督机构：禹州市政府采购监督管理办公室</w:t>
      </w:r>
    </w:p>
    <w:p>
      <w:pPr>
        <w:rPr>
          <w:rFonts w:ascii="仿宋" w:hAnsi="仿宋" w:eastAsia="仿宋"/>
          <w:b/>
          <w:sz w:val="32"/>
        </w:rPr>
      </w:pPr>
    </w:p>
    <w:p>
      <w:pPr>
        <w:ind w:firstLine="3360" w:firstLineChars="1050"/>
        <w:rPr>
          <w:rFonts w:ascii="仿宋" w:hAnsi="仿宋" w:eastAsia="仿宋"/>
          <w:bCs/>
          <w:sz w:val="32"/>
        </w:rPr>
      </w:pPr>
      <w:r>
        <w:rPr>
          <w:rFonts w:hint="eastAsia" w:ascii="仿宋" w:hAnsi="仿宋" w:eastAsia="仿宋"/>
          <w:bCs/>
          <w:sz w:val="32"/>
        </w:rPr>
        <w:t>二〇一八年</w:t>
      </w:r>
      <w:r>
        <w:rPr>
          <w:rFonts w:hint="eastAsia" w:ascii="仿宋" w:hAnsi="仿宋" w:eastAsia="仿宋"/>
          <w:bCs/>
          <w:sz w:val="32"/>
          <w:lang w:val="en-US" w:eastAsia="zh-CN"/>
        </w:rPr>
        <w:t>七</w:t>
      </w:r>
      <w:r>
        <w:rPr>
          <w:rFonts w:hint="eastAsia" w:ascii="仿宋" w:hAnsi="仿宋" w:eastAsia="仿宋"/>
          <w:bCs/>
          <w:sz w:val="32"/>
        </w:rPr>
        <w:t>月</w:t>
      </w:r>
    </w:p>
    <w:p>
      <w:pPr>
        <w:spacing w:line="520" w:lineRule="exact"/>
        <w:jc w:val="both"/>
        <w:textAlignment w:val="baseline"/>
        <w:rPr>
          <w:rFonts w:ascii="仿宋" w:hAnsi="仿宋" w:eastAsia="仿宋" w:cs="仿宋_GB2312"/>
          <w:b/>
          <w:sz w:val="44"/>
          <w:szCs w:val="24"/>
        </w:rPr>
      </w:pPr>
    </w:p>
    <w:p>
      <w:pPr>
        <w:spacing w:line="520" w:lineRule="exact"/>
        <w:jc w:val="both"/>
        <w:textAlignment w:val="baseline"/>
        <w:rPr>
          <w:rFonts w:ascii="仿宋" w:hAnsi="仿宋" w:eastAsia="仿宋" w:cs="仿宋_GB2312"/>
          <w:b/>
          <w:sz w:val="44"/>
          <w:szCs w:val="24"/>
        </w:rPr>
      </w:pPr>
    </w:p>
    <w:p>
      <w:pPr>
        <w:spacing w:line="520" w:lineRule="exact"/>
        <w:jc w:val="both"/>
        <w:textAlignment w:val="baseline"/>
        <w:rPr>
          <w:rFonts w:ascii="仿宋" w:hAnsi="仿宋" w:eastAsia="仿宋" w:cs="仿宋_GB2312"/>
          <w:b/>
          <w:sz w:val="44"/>
          <w:szCs w:val="24"/>
        </w:rPr>
      </w:pPr>
    </w:p>
    <w:p>
      <w:pPr>
        <w:spacing w:line="520" w:lineRule="exact"/>
        <w:jc w:val="both"/>
        <w:textAlignment w:val="baseline"/>
        <w:rPr>
          <w:rFonts w:ascii="仿宋" w:hAnsi="仿宋" w:eastAsia="仿宋" w:cs="仿宋_GB2312"/>
          <w:b/>
          <w:sz w:val="44"/>
          <w:szCs w:val="24"/>
        </w:rPr>
      </w:pPr>
    </w:p>
    <w:p>
      <w:pPr>
        <w:spacing w:line="520" w:lineRule="exact"/>
        <w:jc w:val="both"/>
        <w:textAlignment w:val="baseline"/>
        <w:rPr>
          <w:rFonts w:ascii="仿宋" w:hAnsi="仿宋" w:eastAsia="仿宋" w:cs="仿宋_GB2312"/>
          <w:b/>
          <w:sz w:val="44"/>
          <w:szCs w:val="24"/>
        </w:rPr>
      </w:pPr>
    </w:p>
    <w:p>
      <w:pPr>
        <w:spacing w:line="520" w:lineRule="exact"/>
        <w:jc w:val="both"/>
        <w:textAlignment w:val="baseline"/>
        <w:rPr>
          <w:rFonts w:ascii="仿宋" w:hAnsi="仿宋" w:eastAsia="仿宋" w:cs="仿宋_GB2312"/>
          <w:b/>
          <w:sz w:val="44"/>
          <w:szCs w:val="24"/>
        </w:rPr>
      </w:pPr>
    </w:p>
    <w:p>
      <w:pPr>
        <w:spacing w:line="520" w:lineRule="exact"/>
        <w:jc w:val="both"/>
        <w:textAlignment w:val="baseline"/>
        <w:rPr>
          <w:rFonts w:ascii="仿宋" w:hAnsi="仿宋" w:eastAsia="仿宋" w:cs="仿宋_GB2312"/>
          <w:b/>
          <w:sz w:val="44"/>
          <w:szCs w:val="24"/>
        </w:rPr>
      </w:pPr>
    </w:p>
    <w:p>
      <w:pPr>
        <w:spacing w:line="520" w:lineRule="exact"/>
        <w:jc w:val="both"/>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hint="eastAsia" w:ascii="仿宋" w:hAnsi="仿宋" w:eastAsia="仿宋" w:cs="仿宋_GB2312"/>
          <w:b/>
          <w:sz w:val="44"/>
          <w:szCs w:val="24"/>
          <w:lang w:val="en-US" w:eastAsia="zh-CN"/>
        </w:rPr>
      </w:pPr>
      <w:r>
        <w:rPr>
          <w:rFonts w:hint="eastAsia" w:ascii="仿宋" w:hAnsi="仿宋" w:eastAsia="仿宋" w:cs="仿宋_GB2312"/>
          <w:b/>
          <w:sz w:val="44"/>
          <w:szCs w:val="24"/>
          <w:lang w:val="en-US" w:eastAsia="zh-CN"/>
        </w:rPr>
        <w:t>.</w:t>
      </w: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 xml:space="preserve">第二部分 </w:t>
      </w:r>
      <w:r>
        <w:rPr>
          <w:rFonts w:hint="eastAsia" w:ascii="黑体" w:eastAsia="黑体" w:cs="黑体"/>
          <w:b/>
          <w:bCs/>
          <w:sz w:val="28"/>
          <w:szCs w:val="28"/>
          <w:lang w:val="en-US" w:eastAsia="zh-CN"/>
        </w:rPr>
        <w:t xml:space="preserve"> </w:t>
      </w:r>
      <w:r>
        <w:rPr>
          <w:rFonts w:hint="eastAsia" w:ascii="黑体" w:eastAsia="黑体" w:cs="黑体"/>
          <w:b/>
          <w:bCs/>
          <w:sz w:val="28"/>
          <w:szCs w:val="28"/>
          <w:lang w:val="zh-CN"/>
        </w:rPr>
        <w:t>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en-US" w:eastAsia="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合同书（参考样本）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spacing w:line="520" w:lineRule="exact"/>
        <w:textAlignment w:val="baseline"/>
        <w:rPr>
          <w:rFonts w:ascii="仿宋" w:hAnsi="仿宋" w:eastAsia="仿宋"/>
          <w:b/>
          <w:sz w:val="44"/>
          <w:szCs w:val="44"/>
        </w:rPr>
      </w:pPr>
    </w:p>
    <w:p>
      <w:pPr>
        <w:numPr>
          <w:ilvl w:val="0"/>
          <w:numId w:val="4"/>
        </w:numPr>
        <w:spacing w:line="520" w:lineRule="exact"/>
        <w:ind w:firstLine="1966" w:firstLineChars="445"/>
        <w:textAlignment w:val="baseline"/>
        <w:rPr>
          <w:rFonts w:ascii="仿宋" w:hAnsi="仿宋" w:eastAsia="仿宋"/>
          <w:b/>
          <w:sz w:val="44"/>
          <w:szCs w:val="44"/>
        </w:rPr>
      </w:pPr>
      <w:r>
        <w:rPr>
          <w:rFonts w:hint="eastAsia" w:ascii="黑体" w:hAnsi="黑体" w:eastAsia="黑体" w:cs="黑体"/>
          <w:b/>
          <w:sz w:val="44"/>
          <w:szCs w:val="44"/>
        </w:rPr>
        <w:t xml:space="preserve"> 投标邀请函</w:t>
      </w:r>
    </w:p>
    <w:p>
      <w:pPr>
        <w:autoSpaceDE w:val="0"/>
        <w:autoSpaceDN w:val="0"/>
        <w:spacing w:line="360" w:lineRule="auto"/>
        <w:ind w:left="319" w:leftChars="152" w:right="-20"/>
        <w:outlineLvl w:val="0"/>
        <w:rPr>
          <w:rFonts w:hint="eastAsia" w:ascii="仿宋" w:hAnsi="仿宋" w:eastAsia="仿宋"/>
          <w:sz w:val="32"/>
        </w:rPr>
      </w:pPr>
    </w:p>
    <w:p>
      <w:pPr>
        <w:jc w:val="center"/>
        <w:rPr>
          <w:rFonts w:hint="eastAsia" w:ascii="宋体" w:hAnsi="宋体" w:eastAsia="宋体" w:cs="宋体"/>
          <w:b/>
          <w:bCs/>
          <w:sz w:val="32"/>
        </w:rPr>
      </w:pPr>
      <w:r>
        <w:rPr>
          <w:rFonts w:hint="eastAsia" w:ascii="宋体" w:hAnsi="宋体" w:eastAsia="宋体" w:cs="宋体"/>
          <w:b/>
          <w:bCs/>
          <w:sz w:val="32"/>
        </w:rPr>
        <w:t>禹州市食品药品监督管理局食品抽样检测项目</w:t>
      </w:r>
    </w:p>
    <w:p>
      <w:pPr>
        <w:jc w:val="center"/>
        <w:rPr>
          <w:rFonts w:hint="eastAsia" w:ascii="宋体" w:hAnsi="宋体" w:eastAsia="宋体" w:cs="宋体"/>
          <w:b/>
          <w:bCs/>
          <w:sz w:val="32"/>
          <w:lang w:val="en-US" w:eastAsia="zh-CN"/>
        </w:rPr>
      </w:pPr>
      <w:r>
        <w:rPr>
          <w:rFonts w:hint="eastAsia" w:ascii="宋体" w:hAnsi="宋体" w:eastAsia="宋体" w:cs="宋体"/>
          <w:b/>
          <w:bCs/>
          <w:sz w:val="32"/>
          <w:lang w:val="en-US" w:eastAsia="zh-CN"/>
        </w:rPr>
        <w:t>邀请函</w:t>
      </w:r>
    </w:p>
    <w:p>
      <w:pPr>
        <w:spacing w:line="520" w:lineRule="exact"/>
        <w:ind w:firstLine="643" w:firstLineChars="200"/>
        <w:jc w:val="center"/>
        <w:rPr>
          <w:rFonts w:hint="eastAsia" w:ascii="仿宋" w:hAnsi="仿宋" w:eastAsia="仿宋"/>
          <w:b/>
          <w:bCs/>
          <w:sz w:val="32"/>
          <w:lang w:val="en-US" w:eastAsia="zh-CN"/>
        </w:rPr>
      </w:pPr>
    </w:p>
    <w:p>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禹州市政府采购中心受禹州市食品药品监督管理局的委托，就“禹州市食品药品监督管理局食品抽样</w:t>
      </w:r>
      <w:r>
        <w:rPr>
          <w:rFonts w:hint="eastAsia" w:ascii="仿宋" w:hAnsi="仿宋" w:eastAsia="仿宋" w:cs="仿宋"/>
          <w:sz w:val="24"/>
          <w:szCs w:val="24"/>
          <w:lang w:eastAsia="zh-CN"/>
        </w:rPr>
        <w:t>检测</w:t>
      </w:r>
      <w:r>
        <w:rPr>
          <w:rFonts w:hint="eastAsia" w:ascii="仿宋" w:hAnsi="仿宋" w:eastAsia="仿宋" w:cs="仿宋"/>
          <w:sz w:val="24"/>
          <w:szCs w:val="24"/>
        </w:rPr>
        <w:t>项目”进行公开招标，欢迎合格的投标人前来投标。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一、项目基本情况</w:t>
      </w:r>
    </w:p>
    <w:p>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1、采购人：禹州市食品药品监督管理局</w:t>
      </w:r>
    </w:p>
    <w:p>
      <w:pPr>
        <w:spacing w:line="520" w:lineRule="exact"/>
        <w:ind w:left="479" w:leftChars="228" w:firstLine="0" w:firstLineChars="0"/>
        <w:rPr>
          <w:rFonts w:hint="eastAsia" w:ascii="仿宋" w:hAnsi="仿宋" w:eastAsia="仿宋" w:cs="仿宋"/>
          <w:sz w:val="24"/>
          <w:szCs w:val="24"/>
        </w:rPr>
      </w:pPr>
      <w:r>
        <w:rPr>
          <w:rFonts w:hint="eastAsia" w:ascii="仿宋" w:hAnsi="仿宋" w:eastAsia="仿宋" w:cs="仿宋"/>
          <w:sz w:val="24"/>
          <w:szCs w:val="24"/>
        </w:rPr>
        <w:t>2、项目名称：禹州市食品药品监督管理局食品抽样检测项目</w:t>
      </w:r>
    </w:p>
    <w:p>
      <w:pPr>
        <w:spacing w:line="520" w:lineRule="exact"/>
        <w:ind w:left="479" w:leftChars="228" w:firstLine="0" w:firstLineChars="0"/>
        <w:rPr>
          <w:rFonts w:ascii="仿宋" w:hAnsi="仿宋" w:eastAsia="仿宋" w:cs="仿宋"/>
          <w:sz w:val="24"/>
          <w:szCs w:val="24"/>
        </w:rPr>
      </w:pPr>
      <w:r>
        <w:rPr>
          <w:rFonts w:hint="eastAsia" w:ascii="仿宋" w:hAnsi="仿宋" w:eastAsia="仿宋" w:cs="仿宋"/>
          <w:sz w:val="24"/>
          <w:szCs w:val="24"/>
        </w:rPr>
        <w:t>3、采购编号：YZCG—G201816</w:t>
      </w:r>
      <w:r>
        <w:rPr>
          <w:rFonts w:hint="eastAsia" w:ascii="仿宋" w:hAnsi="仿宋" w:eastAsia="仿宋" w:cs="仿宋"/>
          <w:sz w:val="24"/>
          <w:szCs w:val="24"/>
          <w:lang w:val="en-US" w:eastAsia="zh-CN"/>
        </w:rPr>
        <w:t>4</w:t>
      </w:r>
    </w:p>
    <w:p>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4、项目需求：禹州市食品药品监督管理局比选</w:t>
      </w:r>
      <w:r>
        <w:rPr>
          <w:rFonts w:hint="eastAsia" w:ascii="仿宋" w:hAnsi="仿宋" w:eastAsia="仿宋" w:cs="仿宋"/>
          <w:sz w:val="24"/>
          <w:szCs w:val="24"/>
          <w:lang w:val="en-US" w:eastAsia="zh-CN"/>
        </w:rPr>
        <w:t>5</w:t>
      </w:r>
      <w:r>
        <w:rPr>
          <w:rFonts w:hint="eastAsia" w:ascii="仿宋" w:hAnsi="仿宋" w:eastAsia="仿宋" w:cs="仿宋"/>
          <w:sz w:val="24"/>
          <w:szCs w:val="24"/>
        </w:rPr>
        <w:t>家食品检验检测机构建立大宗食品检验检测机构备选库，承担2018和2019年度禹州市食品药品监督管理局食品检验检测任务及食品安全突发事件应急检验任务。服务期限截止到2018年大宗食品抽样检验工作完成</w:t>
      </w:r>
    </w:p>
    <w:p>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5、采购预算：</w:t>
      </w:r>
      <w:r>
        <w:rPr>
          <w:rFonts w:hint="eastAsia" w:ascii="仿宋" w:hAnsi="仿宋" w:eastAsia="仿宋" w:cs="仿宋"/>
          <w:sz w:val="24"/>
          <w:szCs w:val="24"/>
          <w:lang w:val="en-US" w:eastAsia="zh-CN"/>
        </w:rPr>
        <w:t>472.5</w:t>
      </w:r>
      <w:r>
        <w:rPr>
          <w:rFonts w:hint="eastAsia" w:ascii="仿宋" w:hAnsi="仿宋" w:eastAsia="仿宋" w:cs="仿宋"/>
          <w:sz w:val="24"/>
          <w:szCs w:val="24"/>
        </w:rPr>
        <w:t>万元</w:t>
      </w:r>
    </w:p>
    <w:p>
      <w:pPr>
        <w:spacing w:line="520" w:lineRule="exact"/>
        <w:rPr>
          <w:rFonts w:ascii="仿宋" w:hAnsi="仿宋" w:eastAsia="仿宋" w:cs="仿宋"/>
          <w:b/>
          <w:bCs/>
          <w:sz w:val="24"/>
          <w:szCs w:val="24"/>
        </w:rPr>
      </w:pPr>
      <w:r>
        <w:rPr>
          <w:rFonts w:hint="eastAsia" w:ascii="仿宋" w:hAnsi="仿宋" w:eastAsia="仿宋" w:cs="仿宋"/>
          <w:sz w:val="24"/>
          <w:szCs w:val="24"/>
        </w:rPr>
        <w:t>　　</w:t>
      </w:r>
      <w:r>
        <w:rPr>
          <w:rFonts w:hint="eastAsia" w:ascii="仿宋" w:hAnsi="仿宋" w:eastAsia="仿宋" w:cs="仿宋"/>
          <w:b/>
          <w:bCs/>
          <w:sz w:val="24"/>
          <w:szCs w:val="24"/>
        </w:rPr>
        <w:t>二、需要落实的政府采购政策</w:t>
      </w:r>
    </w:p>
    <w:p>
      <w:pPr>
        <w:spacing w:line="520" w:lineRule="exact"/>
        <w:rPr>
          <w:rFonts w:ascii="仿宋" w:hAnsi="仿宋" w:eastAsia="仿宋" w:cs="仿宋"/>
          <w:sz w:val="24"/>
          <w:szCs w:val="24"/>
        </w:rPr>
      </w:pPr>
      <w:r>
        <w:rPr>
          <w:rFonts w:hint="eastAsia" w:ascii="仿宋" w:hAnsi="仿宋" w:eastAsia="仿宋" w:cs="仿宋"/>
          <w:sz w:val="24"/>
          <w:szCs w:val="24"/>
        </w:rPr>
        <w:t>　　本项目落实节约能源、保护环境、扶持不发达地区和少数民族地区、促进中小企业、监狱企业发展等政府采购政策。（详见招标文件）</w:t>
      </w:r>
    </w:p>
    <w:p>
      <w:pPr>
        <w:spacing w:line="520" w:lineRule="exact"/>
        <w:rPr>
          <w:rFonts w:ascii="仿宋" w:hAnsi="仿宋" w:eastAsia="仿宋" w:cs="仿宋"/>
          <w:b/>
          <w:bCs/>
          <w:sz w:val="24"/>
          <w:szCs w:val="24"/>
        </w:rPr>
      </w:pPr>
      <w:r>
        <w:rPr>
          <w:rFonts w:hint="eastAsia" w:ascii="仿宋" w:hAnsi="仿宋" w:eastAsia="仿宋" w:cs="仿宋"/>
          <w:sz w:val="24"/>
          <w:szCs w:val="24"/>
        </w:rPr>
        <w:t>　</w:t>
      </w:r>
      <w:r>
        <w:rPr>
          <w:rFonts w:hint="eastAsia" w:ascii="仿宋" w:hAnsi="仿宋" w:eastAsia="仿宋" w:cs="仿宋"/>
          <w:b/>
          <w:bCs/>
          <w:sz w:val="24"/>
          <w:szCs w:val="24"/>
        </w:rPr>
        <w:t>　三、供应商资格要求</w:t>
      </w:r>
    </w:p>
    <w:p>
      <w:pPr>
        <w:spacing w:line="520" w:lineRule="exact"/>
        <w:ind w:firstLine="480"/>
        <w:rPr>
          <w:rFonts w:ascii="仿宋" w:hAnsi="仿宋" w:eastAsia="仿宋" w:cs="仿宋"/>
          <w:sz w:val="24"/>
          <w:szCs w:val="24"/>
        </w:rPr>
      </w:pPr>
      <w:r>
        <w:rPr>
          <w:rFonts w:hint="eastAsia" w:ascii="仿宋" w:hAnsi="仿宋" w:eastAsia="仿宋" w:cs="仿宋"/>
          <w:sz w:val="24"/>
          <w:szCs w:val="24"/>
        </w:rPr>
        <w:t>1、符合《政府采购法》第二十二条之规定，具有独立法人资格且</w:t>
      </w:r>
      <w:r>
        <w:rPr>
          <w:rFonts w:hint="eastAsia" w:ascii="仿宋" w:hAnsi="仿宋" w:eastAsia="仿宋" w:cs="仿宋"/>
          <w:sz w:val="24"/>
          <w:szCs w:val="24"/>
          <w:lang w:eastAsia="zh-CN"/>
        </w:rPr>
        <w:t>具有相应的</w:t>
      </w:r>
      <w:r>
        <w:rPr>
          <w:rFonts w:hint="eastAsia" w:ascii="仿宋" w:hAnsi="仿宋" w:eastAsia="仿宋" w:cs="仿宋"/>
          <w:sz w:val="24"/>
          <w:szCs w:val="24"/>
        </w:rPr>
        <w:t>经营范围；</w:t>
      </w:r>
    </w:p>
    <w:p>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投标商应开具由项目所在地或企业营业执照注册所在地人民检察院出具的无行贿犯罪档案告知函；</w:t>
      </w:r>
    </w:p>
    <w:p>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3、投标商具有《检验检测机构资质认定证书》或《食品检验机构资质认定证书》；</w:t>
      </w:r>
    </w:p>
    <w:p>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4、法定代表人授权代表须是本单位职工，提供本公司为本人缴纳社会保险证明；</w:t>
      </w:r>
    </w:p>
    <w:p>
      <w:pPr>
        <w:spacing w:line="52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5、本项目不接受联合体投标。</w:t>
      </w:r>
    </w:p>
    <w:p>
      <w:pPr>
        <w:spacing w:line="520" w:lineRule="exact"/>
        <w:rPr>
          <w:rFonts w:ascii="仿宋" w:hAnsi="仿宋" w:eastAsia="仿宋" w:cs="仿宋"/>
          <w:b/>
          <w:bCs/>
          <w:sz w:val="24"/>
          <w:szCs w:val="24"/>
        </w:rPr>
      </w:pPr>
      <w:r>
        <w:rPr>
          <w:rFonts w:hint="eastAsia" w:ascii="仿宋" w:hAnsi="仿宋" w:eastAsia="仿宋" w:cs="仿宋"/>
          <w:b/>
          <w:bCs/>
          <w:sz w:val="24"/>
          <w:szCs w:val="24"/>
        </w:rPr>
        <w:t>　　四、获取招标文件的方式、时间、地点及文件费用</w:t>
      </w:r>
    </w:p>
    <w:p>
      <w:pPr>
        <w:spacing w:line="520" w:lineRule="exact"/>
        <w:ind w:firstLine="480" w:firstLineChars="200"/>
        <w:jc w:val="both"/>
        <w:rPr>
          <w:rFonts w:hint="eastAsia" w:ascii="仿宋" w:hAnsi="仿宋" w:eastAsia="仿宋" w:cs="仿宋"/>
          <w:sz w:val="24"/>
          <w:szCs w:val="24"/>
          <w:lang w:val="zh-CN"/>
        </w:rPr>
      </w:pPr>
      <w:r>
        <w:rPr>
          <w:rFonts w:hint="eastAsia" w:ascii="仿宋" w:hAnsi="仿宋" w:eastAsia="仿宋" w:cs="仿宋"/>
          <w:sz w:val="24"/>
          <w:szCs w:val="24"/>
          <w:lang w:val="zh-CN"/>
        </w:rPr>
        <w:t>1、持CA数字认证证书，登录</w:t>
      </w:r>
      <w:r>
        <w:rPr>
          <w:rFonts w:hint="eastAsia" w:ascii="仿宋" w:hAnsi="仿宋" w:eastAsia="仿宋" w:cs="仿宋"/>
          <w:sz w:val="24"/>
          <w:szCs w:val="24"/>
          <w:lang w:val="zh-CN"/>
        </w:rPr>
        <w:fldChar w:fldCharType="begin"/>
      </w:r>
      <w:r>
        <w:rPr>
          <w:rFonts w:hint="eastAsia" w:ascii="仿宋" w:hAnsi="仿宋" w:eastAsia="仿宋" w:cs="仿宋"/>
          <w:sz w:val="24"/>
          <w:szCs w:val="24"/>
          <w:lang w:val="zh-CN"/>
        </w:rPr>
        <w:instrText xml:space="preserve">HYPERLINK "http://221.14.6.70:8088/ggzy/eps/public/RegistAllJcxx.html"</w:instrText>
      </w:r>
      <w:r>
        <w:rPr>
          <w:rFonts w:hint="eastAsia" w:ascii="仿宋" w:hAnsi="仿宋" w:eastAsia="仿宋" w:cs="仿宋"/>
          <w:sz w:val="24"/>
          <w:szCs w:val="24"/>
          <w:lang w:val="zh-CN"/>
        </w:rPr>
        <w:fldChar w:fldCharType="separate"/>
      </w:r>
      <w:r>
        <w:rPr>
          <w:rFonts w:hint="eastAsia" w:ascii="仿宋" w:hAnsi="仿宋" w:eastAsia="仿宋" w:cs="仿宋"/>
          <w:sz w:val="24"/>
          <w:szCs w:val="24"/>
          <w:lang w:val="zh-CN"/>
        </w:rPr>
        <w:t>http://221.14.6.70:8088/ggzy/eps/public/RegistAllJcxx.html</w:t>
      </w:r>
      <w:r>
        <w:rPr>
          <w:rFonts w:hint="eastAsia" w:ascii="仿宋" w:hAnsi="仿宋" w:eastAsia="仿宋" w:cs="仿宋"/>
          <w:sz w:val="24"/>
          <w:szCs w:val="24"/>
          <w:lang w:val="zh-CN"/>
        </w:rPr>
        <w:fldChar w:fldCharType="end"/>
      </w:r>
      <w:r>
        <w:rPr>
          <w:rFonts w:hint="eastAsia" w:ascii="仿宋" w:hAnsi="仿宋" w:eastAsia="仿宋" w:cs="仿宋"/>
          <w:sz w:val="24"/>
          <w:szCs w:val="24"/>
          <w:lang w:val="zh-CN"/>
        </w:rPr>
        <w:t>进行免费注册登记（详见全国公共资源交易平台（河南省·许昌市）“常见问题解答-诚信库网上注册相关资料下载”）；</w:t>
      </w:r>
    </w:p>
    <w:p>
      <w:pPr>
        <w:spacing w:line="520" w:lineRule="exact"/>
        <w:ind w:firstLine="480" w:firstLineChars="200"/>
        <w:jc w:val="both"/>
        <w:rPr>
          <w:rFonts w:hint="eastAsia" w:ascii="仿宋" w:hAnsi="仿宋" w:eastAsia="仿宋" w:cs="仿宋"/>
          <w:sz w:val="24"/>
          <w:szCs w:val="24"/>
          <w:lang w:val="zh-CN"/>
        </w:rPr>
      </w:pPr>
      <w:r>
        <w:rPr>
          <w:rFonts w:hint="eastAsia" w:ascii="仿宋" w:hAnsi="仿宋" w:eastAsia="仿宋" w:cs="仿宋"/>
          <w:sz w:val="24"/>
          <w:szCs w:val="24"/>
          <w:lang w:val="zh-CN"/>
        </w:rPr>
        <w:t>2、在投标截止时间前登录</w:t>
      </w:r>
      <w:r>
        <w:rPr>
          <w:rFonts w:hint="eastAsia" w:ascii="仿宋" w:hAnsi="仿宋" w:eastAsia="仿宋" w:cs="仿宋"/>
          <w:sz w:val="24"/>
          <w:szCs w:val="24"/>
          <w:lang w:val="zh-CN"/>
        </w:rPr>
        <w:fldChar w:fldCharType="begin"/>
      </w:r>
      <w:r>
        <w:rPr>
          <w:rFonts w:hint="eastAsia" w:ascii="仿宋" w:hAnsi="仿宋" w:eastAsia="仿宋" w:cs="仿宋"/>
          <w:sz w:val="24"/>
          <w:szCs w:val="24"/>
          <w:lang w:val="zh-CN"/>
        </w:rPr>
        <w:instrText xml:space="preserve">HYPERLINK "http://221.14.6.70:8088/ggzy/"</w:instrText>
      </w:r>
      <w:r>
        <w:rPr>
          <w:rFonts w:hint="eastAsia" w:ascii="仿宋" w:hAnsi="仿宋" w:eastAsia="仿宋" w:cs="仿宋"/>
          <w:sz w:val="24"/>
          <w:szCs w:val="24"/>
          <w:lang w:val="zh-CN"/>
        </w:rPr>
        <w:fldChar w:fldCharType="separate"/>
      </w:r>
      <w:r>
        <w:rPr>
          <w:rFonts w:hint="eastAsia" w:ascii="仿宋" w:hAnsi="仿宋" w:eastAsia="仿宋" w:cs="仿宋"/>
          <w:sz w:val="24"/>
          <w:szCs w:val="24"/>
          <w:lang w:val="zh-CN"/>
        </w:rPr>
        <w:t>http://221.14.6.70:8088/ggzy/</w:t>
      </w:r>
      <w:r>
        <w:rPr>
          <w:rFonts w:hint="eastAsia" w:ascii="仿宋" w:hAnsi="仿宋" w:eastAsia="仿宋" w:cs="仿宋"/>
          <w:sz w:val="24"/>
          <w:szCs w:val="24"/>
          <w:lang w:val="zh-CN"/>
        </w:rPr>
        <w:fldChar w:fldCharType="end"/>
      </w:r>
      <w:r>
        <w:rPr>
          <w:rFonts w:hint="eastAsia" w:ascii="仿宋" w:hAnsi="仿宋" w:eastAsia="仿宋" w:cs="仿宋"/>
          <w:sz w:val="24"/>
          <w:szCs w:val="24"/>
          <w:lang w:val="zh-CN"/>
        </w:rPr>
        <w:t>，自行下载招标文件（详见全国公共资源交易平台（河南省·许昌市）“常见问题解答-交易系统操作手册”）。</w:t>
      </w:r>
    </w:p>
    <w:p>
      <w:pPr>
        <w:spacing w:line="52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、未通过全国公共资源交易平台（河南省·许昌市）下载招标文件的投标企业，拒收其递交的投标文件</w:t>
      </w:r>
      <w:r>
        <w:rPr>
          <w:rFonts w:hint="eastAsia" w:ascii="仿宋" w:hAnsi="仿宋" w:eastAsia="仿宋" w:cs="仿宋"/>
          <w:sz w:val="24"/>
          <w:szCs w:val="24"/>
          <w:lang w:eastAsia="zh-CN"/>
        </w:rPr>
        <w:t>。</w:t>
      </w:r>
    </w:p>
    <w:p>
      <w:pPr>
        <w:spacing w:line="52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eastAsia="zh-CN"/>
        </w:rPr>
        <w:t>招标</w:t>
      </w:r>
      <w:r>
        <w:rPr>
          <w:rFonts w:hint="eastAsia" w:ascii="仿宋" w:hAnsi="仿宋" w:eastAsia="仿宋" w:cs="仿宋"/>
          <w:sz w:val="24"/>
          <w:szCs w:val="24"/>
        </w:rPr>
        <w:t>文件每份售价人民币200元，于递交投标文件时缴纳给采购代理机构，售后不退。</w:t>
      </w:r>
    </w:p>
    <w:p>
      <w:pPr>
        <w:spacing w:line="520" w:lineRule="exact"/>
        <w:rPr>
          <w:rFonts w:ascii="仿宋" w:hAnsi="仿宋" w:eastAsia="仿宋" w:cs="仿宋"/>
          <w:b/>
          <w:bCs/>
          <w:sz w:val="24"/>
          <w:szCs w:val="24"/>
        </w:rPr>
      </w:pPr>
      <w:r>
        <w:rPr>
          <w:rFonts w:hint="eastAsia" w:ascii="仿宋" w:hAnsi="仿宋" w:eastAsia="仿宋" w:cs="仿宋"/>
          <w:b/>
          <w:bCs/>
          <w:sz w:val="24"/>
          <w:szCs w:val="24"/>
        </w:rPr>
        <w:t>　　五、投标截止时间、开标时间及地点：</w:t>
      </w:r>
    </w:p>
    <w:p>
      <w:pPr>
        <w:spacing w:line="520" w:lineRule="exact"/>
        <w:rPr>
          <w:rFonts w:ascii="仿宋" w:hAnsi="仿宋" w:eastAsia="仿宋" w:cs="仿宋"/>
          <w:sz w:val="24"/>
          <w:szCs w:val="24"/>
        </w:rPr>
      </w:pPr>
      <w:r>
        <w:rPr>
          <w:rFonts w:hint="eastAsia" w:ascii="仿宋" w:hAnsi="仿宋" w:eastAsia="仿宋" w:cs="仿宋"/>
          <w:sz w:val="24"/>
          <w:szCs w:val="24"/>
        </w:rPr>
        <w:t>　　1、投标截止及开标时间：2018年</w:t>
      </w:r>
      <w:r>
        <w:rPr>
          <w:rFonts w:hint="eastAsia" w:ascii="仿宋" w:hAnsi="仿宋" w:eastAsia="仿宋" w:cs="仿宋"/>
          <w:sz w:val="24"/>
          <w:szCs w:val="24"/>
          <w:lang w:val="en-US" w:eastAsia="zh-CN"/>
        </w:rPr>
        <w:t>7</w:t>
      </w:r>
      <w:r>
        <w:rPr>
          <w:rFonts w:hint="eastAsia" w:ascii="仿宋" w:hAnsi="仿宋" w:eastAsia="仿宋" w:cs="仿宋"/>
          <w:sz w:val="24"/>
          <w:szCs w:val="24"/>
        </w:rPr>
        <w:t>月</w:t>
      </w:r>
      <w:r>
        <w:rPr>
          <w:rFonts w:hint="eastAsia" w:ascii="仿宋" w:hAnsi="仿宋" w:eastAsia="仿宋" w:cs="仿宋"/>
          <w:sz w:val="24"/>
          <w:szCs w:val="24"/>
          <w:lang w:val="en-US" w:eastAsia="zh-CN"/>
        </w:rPr>
        <w:t>25</w:t>
      </w:r>
      <w:r>
        <w:rPr>
          <w:rFonts w:hint="eastAsia" w:ascii="仿宋" w:hAnsi="仿宋" w:eastAsia="仿宋" w:cs="仿宋"/>
          <w:sz w:val="24"/>
          <w:szCs w:val="24"/>
        </w:rPr>
        <w:t>日9：00　（北京时间），逾期送达或不符合规定的投标文件不予接受。</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2、开标地点：禹州市公共资源交易中心第二开标室（禹州市行政服务中心楼9楼） </w:t>
      </w:r>
    </w:p>
    <w:p>
      <w:pPr>
        <w:spacing w:line="520" w:lineRule="exact"/>
        <w:rPr>
          <w:rFonts w:ascii="仿宋" w:hAnsi="仿宋" w:eastAsia="仿宋" w:cs="仿宋"/>
          <w:b/>
          <w:bCs/>
          <w:sz w:val="24"/>
          <w:szCs w:val="24"/>
        </w:rPr>
      </w:pPr>
      <w:r>
        <w:rPr>
          <w:rFonts w:hint="eastAsia" w:ascii="仿宋" w:hAnsi="仿宋" w:eastAsia="仿宋" w:cs="仿宋"/>
          <w:b/>
          <w:bCs/>
          <w:sz w:val="24"/>
          <w:szCs w:val="24"/>
        </w:rPr>
        <w:t>　　六、代理机构及采购单位地址、联系人、联系电话</w:t>
      </w:r>
    </w:p>
    <w:p>
      <w:pPr>
        <w:spacing w:line="520" w:lineRule="exact"/>
        <w:rPr>
          <w:rFonts w:ascii="仿宋" w:hAnsi="仿宋" w:eastAsia="仿宋" w:cs="仿宋"/>
          <w:sz w:val="24"/>
          <w:szCs w:val="24"/>
        </w:rPr>
      </w:pPr>
      <w:r>
        <w:rPr>
          <w:rFonts w:hint="eastAsia" w:ascii="仿宋" w:hAnsi="仿宋" w:eastAsia="仿宋" w:cs="仿宋"/>
          <w:sz w:val="24"/>
          <w:szCs w:val="24"/>
        </w:rPr>
        <w:t>　（一）代理机构：禹州市政府采购中心</w:t>
      </w:r>
    </w:p>
    <w:p>
      <w:pPr>
        <w:spacing w:line="520" w:lineRule="exact"/>
        <w:rPr>
          <w:rFonts w:ascii="仿宋" w:hAnsi="仿宋" w:eastAsia="仿宋" w:cs="仿宋"/>
          <w:sz w:val="24"/>
          <w:szCs w:val="24"/>
        </w:rPr>
      </w:pPr>
      <w:r>
        <w:rPr>
          <w:rFonts w:hint="eastAsia" w:ascii="仿宋" w:hAnsi="仿宋" w:eastAsia="仿宋" w:cs="仿宋"/>
          <w:sz w:val="24"/>
          <w:szCs w:val="24"/>
        </w:rPr>
        <w:t>　　地址：禹州市行政服务中心楼917房间</w:t>
      </w:r>
    </w:p>
    <w:p>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lang w:eastAsia="zh-CN"/>
        </w:rPr>
        <w:t>艾先生</w:t>
      </w:r>
      <w:r>
        <w:rPr>
          <w:rFonts w:hint="eastAsia" w:ascii="仿宋" w:hAnsi="仿宋" w:eastAsia="仿宋" w:cs="仿宋"/>
          <w:sz w:val="24"/>
          <w:szCs w:val="24"/>
        </w:rPr>
        <w:t xml:space="preserve">  联系电话：0374-2077111</w:t>
      </w:r>
    </w:p>
    <w:p>
      <w:pPr>
        <w:numPr>
          <w:ilvl w:val="0"/>
          <w:numId w:val="5"/>
        </w:numPr>
        <w:spacing w:line="520" w:lineRule="exact"/>
        <w:rPr>
          <w:rFonts w:hint="eastAsia" w:ascii="仿宋" w:hAnsi="仿宋" w:eastAsia="仿宋" w:cs="仿宋"/>
          <w:sz w:val="24"/>
          <w:szCs w:val="24"/>
        </w:rPr>
      </w:pPr>
      <w:r>
        <w:rPr>
          <w:rFonts w:hint="eastAsia" w:ascii="仿宋" w:hAnsi="仿宋" w:eastAsia="仿宋" w:cs="仿宋"/>
          <w:sz w:val="24"/>
          <w:szCs w:val="24"/>
        </w:rPr>
        <w:t>采购单位：禹州市食品药品监督管理局</w:t>
      </w:r>
    </w:p>
    <w:p>
      <w:pPr>
        <w:spacing w:line="52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地址：</w:t>
      </w:r>
      <w:r>
        <w:rPr>
          <w:rFonts w:hint="eastAsia" w:ascii="仿宋" w:hAnsi="仿宋" w:eastAsia="仿宋" w:cs="仿宋"/>
          <w:sz w:val="24"/>
          <w:szCs w:val="24"/>
          <w:lang w:eastAsia="zh-CN"/>
        </w:rPr>
        <w:t>禹州市禹王大道</w:t>
      </w:r>
    </w:p>
    <w:p>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 xml:space="preserve">联系人：王先生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联系电话：13803740380</w:t>
      </w:r>
      <w:r>
        <w:rPr>
          <w:rFonts w:hint="eastAsia" w:ascii="仿宋" w:hAnsi="仿宋" w:eastAsia="仿宋" w:cs="仿宋"/>
          <w:sz w:val="24"/>
          <w:szCs w:val="24"/>
        </w:rPr>
        <w:t>　　　　　　　</w:t>
      </w:r>
    </w:p>
    <w:p>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　　　　　　　　       　</w:t>
      </w:r>
    </w:p>
    <w:p>
      <w:pPr>
        <w:spacing w:line="520" w:lineRule="exact"/>
        <w:ind w:firstLine="6480" w:firstLineChars="2700"/>
        <w:rPr>
          <w:rFonts w:ascii="仿宋" w:hAnsi="仿宋" w:eastAsia="仿宋" w:cs="仿宋"/>
          <w:b/>
          <w:sz w:val="44"/>
          <w:szCs w:val="44"/>
        </w:rPr>
      </w:pPr>
      <w:r>
        <w:rPr>
          <w:rFonts w:hint="eastAsia" w:ascii="仿宋" w:hAnsi="仿宋" w:eastAsia="仿宋" w:cs="仿宋"/>
          <w:sz w:val="24"/>
          <w:szCs w:val="24"/>
        </w:rPr>
        <w:t>2018年</w:t>
      </w:r>
      <w:r>
        <w:rPr>
          <w:rFonts w:hint="eastAsia" w:ascii="仿宋" w:hAnsi="仿宋" w:eastAsia="仿宋" w:cs="仿宋"/>
          <w:sz w:val="24"/>
          <w:szCs w:val="24"/>
          <w:lang w:val="en-US" w:eastAsia="zh-CN"/>
        </w:rPr>
        <w:t>7</w:t>
      </w:r>
      <w:r>
        <w:rPr>
          <w:rFonts w:hint="eastAsia" w:ascii="仿宋" w:hAnsi="仿宋" w:eastAsia="仿宋" w:cs="仿宋"/>
          <w:sz w:val="24"/>
          <w:szCs w:val="24"/>
        </w:rPr>
        <w:t>月</w:t>
      </w:r>
      <w:r>
        <w:rPr>
          <w:rFonts w:hint="eastAsia" w:ascii="仿宋" w:hAnsi="仿宋" w:eastAsia="仿宋" w:cs="仿宋"/>
          <w:sz w:val="24"/>
          <w:szCs w:val="24"/>
          <w:lang w:val="en-US" w:eastAsia="zh-CN"/>
        </w:rPr>
        <w:t>4</w:t>
      </w:r>
      <w:r>
        <w:rPr>
          <w:rFonts w:hint="eastAsia" w:ascii="仿宋" w:hAnsi="仿宋" w:eastAsia="仿宋" w:cs="仿宋"/>
          <w:sz w:val="24"/>
          <w:szCs w:val="24"/>
        </w:rPr>
        <w:t>日</w:t>
      </w:r>
    </w:p>
    <w:p/>
    <w:p>
      <w:pPr>
        <w:spacing w:line="360" w:lineRule="auto"/>
        <w:rPr>
          <w:rFonts w:hint="eastAsia" w:ascii="仿宋" w:hAnsi="仿宋" w:eastAsia="仿宋" w:cs="仿宋"/>
          <w:b/>
          <w:sz w:val="44"/>
          <w:szCs w:val="44"/>
        </w:rPr>
      </w:pPr>
    </w:p>
    <w:p>
      <w:pPr>
        <w:spacing w:line="360" w:lineRule="auto"/>
        <w:ind w:firstLine="3534" w:firstLineChars="800"/>
        <w:rPr>
          <w:rFonts w:ascii="仿宋" w:hAnsi="仿宋" w:eastAsia="仿宋" w:cs="仿宋"/>
          <w:b/>
          <w:sz w:val="44"/>
          <w:szCs w:val="44"/>
        </w:rPr>
      </w:pPr>
      <w:r>
        <w:rPr>
          <w:rFonts w:hint="eastAsia" w:ascii="仿宋" w:hAnsi="仿宋" w:eastAsia="仿宋" w:cs="仿宋"/>
          <w:b/>
          <w:sz w:val="44"/>
          <w:szCs w:val="44"/>
        </w:rPr>
        <w:t>前  附  表</w:t>
      </w:r>
    </w:p>
    <w:tbl>
      <w:tblPr>
        <w:tblStyle w:val="38"/>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3"/>
        <w:gridCol w:w="6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2"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2" w:type="dxa"/>
            <w:tcMar>
              <w:top w:w="0" w:type="dxa"/>
              <w:left w:w="0" w:type="dxa"/>
              <w:bottom w:w="0" w:type="dxa"/>
              <w:right w:w="0" w:type="dxa"/>
            </w:tcMar>
            <w:vAlign w:val="center"/>
          </w:tcPr>
          <w:p>
            <w:pPr>
              <w:autoSpaceDE w:val="0"/>
              <w:autoSpaceDN w:val="0"/>
              <w:spacing w:line="360" w:lineRule="auto"/>
              <w:ind w:right="-20"/>
              <w:outlineLvl w:val="0"/>
              <w:rPr>
                <w:rFonts w:ascii="仿宋" w:hAnsi="仿宋" w:eastAsia="仿宋"/>
                <w:b/>
                <w:kern w:val="0"/>
                <w:sz w:val="24"/>
                <w:szCs w:val="24"/>
              </w:rPr>
            </w:pPr>
            <w:r>
              <w:rPr>
                <w:rFonts w:hint="eastAsia" w:ascii="仿宋" w:hAnsi="仿宋" w:eastAsia="仿宋"/>
                <w:sz w:val="24"/>
                <w:szCs w:val="24"/>
              </w:rPr>
              <w:t>YZCG—G201816</w:t>
            </w:r>
            <w:r>
              <w:rPr>
                <w:rFonts w:hint="eastAsia" w:ascii="仿宋" w:hAnsi="仿宋" w:eastAsia="仿宋"/>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2" w:type="dxa"/>
            <w:tcMar>
              <w:top w:w="0" w:type="dxa"/>
              <w:left w:w="0" w:type="dxa"/>
              <w:bottom w:w="0" w:type="dxa"/>
              <w:right w:w="0" w:type="dxa"/>
            </w:tcMar>
            <w:vAlign w:val="center"/>
          </w:tcPr>
          <w:p>
            <w:pPr>
              <w:pStyle w:val="43"/>
              <w:spacing w:line="520" w:lineRule="exact"/>
              <w:ind w:firstLine="0" w:firstLineChars="0"/>
              <w:rPr>
                <w:rFonts w:ascii="仿宋" w:hAnsi="仿宋" w:eastAsia="仿宋"/>
                <w:color w:val="000000"/>
                <w:kern w:val="0"/>
                <w:sz w:val="24"/>
                <w:szCs w:val="24"/>
              </w:rPr>
            </w:pPr>
            <w:r>
              <w:rPr>
                <w:rFonts w:hint="eastAsia" w:ascii="仿宋" w:hAnsi="仿宋" w:eastAsia="仿宋"/>
                <w:color w:val="000000"/>
                <w:kern w:val="0"/>
                <w:sz w:val="24"/>
                <w:szCs w:val="24"/>
              </w:rPr>
              <w:t>禹州市</w:t>
            </w:r>
            <w:r>
              <w:rPr>
                <w:rFonts w:hint="eastAsia" w:ascii="仿宋" w:hAnsi="仿宋" w:eastAsia="仿宋"/>
                <w:color w:val="000000"/>
                <w:kern w:val="0"/>
                <w:sz w:val="24"/>
                <w:szCs w:val="24"/>
                <w:lang w:eastAsia="zh-CN"/>
              </w:rPr>
              <w:t>食品药品监督管理局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项目名称</w:t>
            </w:r>
          </w:p>
        </w:tc>
        <w:tc>
          <w:tcPr>
            <w:tcW w:w="6302" w:type="dxa"/>
            <w:tcMar>
              <w:top w:w="0" w:type="dxa"/>
              <w:left w:w="0" w:type="dxa"/>
              <w:bottom w:w="0" w:type="dxa"/>
              <w:right w:w="0" w:type="dxa"/>
            </w:tcMar>
            <w:vAlign w:val="center"/>
          </w:tcPr>
          <w:p>
            <w:pPr>
              <w:autoSpaceDE w:val="0"/>
              <w:autoSpaceDN w:val="0"/>
              <w:spacing w:line="360" w:lineRule="auto"/>
              <w:ind w:right="-20"/>
              <w:outlineLvl w:val="0"/>
              <w:rPr>
                <w:rFonts w:ascii="仿宋" w:hAnsi="仿宋" w:eastAsia="仿宋"/>
                <w:color w:val="000000"/>
                <w:kern w:val="0"/>
                <w:sz w:val="24"/>
                <w:szCs w:val="24"/>
              </w:rPr>
            </w:pPr>
            <w:r>
              <w:rPr>
                <w:rFonts w:hint="eastAsia" w:ascii="仿宋" w:hAnsi="仿宋" w:eastAsia="仿宋"/>
                <w:color w:val="000000"/>
                <w:kern w:val="0"/>
                <w:sz w:val="24"/>
                <w:szCs w:val="24"/>
              </w:rPr>
              <w:t>禹州市食品药品监督管理局食品抽样检测项目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3"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2"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3"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工期</w:t>
            </w:r>
          </w:p>
        </w:tc>
        <w:tc>
          <w:tcPr>
            <w:tcW w:w="6302" w:type="dxa"/>
            <w:tcMar>
              <w:top w:w="0" w:type="dxa"/>
              <w:left w:w="0" w:type="dxa"/>
              <w:bottom w:w="0" w:type="dxa"/>
              <w:right w:w="0" w:type="dxa"/>
            </w:tcMar>
            <w:vAlign w:val="center"/>
          </w:tcPr>
          <w:p>
            <w:pPr>
              <w:autoSpaceDE w:val="0"/>
              <w:autoSpaceDN w:val="0"/>
              <w:adjustRightInd w:val="0"/>
              <w:spacing w:line="420" w:lineRule="exact"/>
              <w:rPr>
                <w:rFonts w:hint="eastAsia" w:ascii="仿宋" w:hAnsi="仿宋" w:eastAsia="仿宋"/>
                <w:sz w:val="24"/>
                <w:szCs w:val="24"/>
                <w:lang w:eastAsia="zh-CN"/>
              </w:rPr>
            </w:pPr>
            <w:r>
              <w:rPr>
                <w:rFonts w:hint="eastAsia" w:ascii="仿宋" w:hAnsi="仿宋" w:eastAsia="仿宋"/>
                <w:sz w:val="24"/>
                <w:szCs w:val="24"/>
                <w:lang w:eastAsia="zh-CN"/>
              </w:rPr>
              <w:t>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3"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2" w:type="dxa"/>
            <w:tcMar>
              <w:top w:w="0" w:type="dxa"/>
              <w:left w:w="0" w:type="dxa"/>
              <w:bottom w:w="0" w:type="dxa"/>
              <w:right w:w="0" w:type="dxa"/>
            </w:tcMar>
            <w:vAlign w:val="center"/>
          </w:tcPr>
          <w:p>
            <w:pPr>
              <w:widowControl/>
              <w:spacing w:line="440" w:lineRule="exact"/>
              <w:textAlignment w:val="center"/>
              <w:rPr>
                <w:rFonts w:hint="eastAsia" w:ascii="仿宋" w:hAnsi="仿宋" w:eastAsia="仿宋"/>
                <w:sz w:val="24"/>
                <w:szCs w:val="24"/>
                <w:lang w:eastAsia="zh-CN"/>
              </w:rPr>
            </w:pPr>
            <w:r>
              <w:rPr>
                <w:rFonts w:hint="eastAsia" w:ascii="仿宋" w:hAnsi="仿宋" w:eastAsia="仿宋"/>
                <w:sz w:val="24"/>
                <w:szCs w:val="24"/>
                <w:lang w:eastAsia="zh-CN"/>
              </w:rPr>
              <w:t>伍万元整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3"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2018年</w:t>
            </w:r>
            <w:r>
              <w:rPr>
                <w:rFonts w:hint="eastAsia" w:ascii="仿宋" w:hAnsi="仿宋" w:eastAsia="仿宋"/>
                <w:sz w:val="24"/>
                <w:szCs w:val="24"/>
                <w:lang w:val="en-US" w:eastAsia="zh-CN"/>
              </w:rPr>
              <w:t>7</w:t>
            </w:r>
            <w:r>
              <w:rPr>
                <w:rFonts w:hint="eastAsia" w:ascii="仿宋" w:hAnsi="仿宋" w:eastAsia="仿宋"/>
                <w:sz w:val="24"/>
                <w:szCs w:val="24"/>
              </w:rPr>
              <w:t>月</w:t>
            </w:r>
            <w:r>
              <w:rPr>
                <w:rFonts w:hint="eastAsia" w:ascii="仿宋" w:hAnsi="仿宋" w:eastAsia="仿宋"/>
                <w:sz w:val="24"/>
                <w:szCs w:val="24"/>
                <w:lang w:val="en-US" w:eastAsia="zh-CN"/>
              </w:rPr>
              <w:t>25</w:t>
            </w:r>
            <w:r>
              <w:rPr>
                <w:rFonts w:hint="eastAsia" w:ascii="仿宋" w:hAnsi="仿宋" w:eastAsia="仿宋"/>
                <w:sz w:val="24"/>
                <w:szCs w:val="24"/>
              </w:rPr>
              <w:t>日9：00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3"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3"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2"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3"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2"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1、投标文件（一）（资格性投标文件）：正本1份，副本2份。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2、投标文件（二）（符合性投标文件）：正本1份，副本4份。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FF0000"/>
                <w:kern w:val="0"/>
                <w:sz w:val="24"/>
                <w:szCs w:val="24"/>
              </w:rPr>
              <w:t>注：投标人须提供电子版投标文件一份，单独密封</w:t>
            </w:r>
            <w:r>
              <w:rPr>
                <w:rFonts w:hint="eastAsia" w:ascii="仿宋" w:hAnsi="仿宋" w:eastAsia="仿宋"/>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2" w:type="dxa"/>
            <w:tcMar>
              <w:top w:w="0" w:type="dxa"/>
              <w:left w:w="0" w:type="dxa"/>
              <w:bottom w:w="0" w:type="dxa"/>
              <w:right w:w="0" w:type="dxa"/>
            </w:tcMar>
            <w:vAlign w:val="center"/>
          </w:tcPr>
          <w:p>
            <w:pPr>
              <w:pStyle w:val="123"/>
              <w:widowControl/>
              <w:numPr>
                <w:ilvl w:val="0"/>
                <w:numId w:val="6"/>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3"/>
              <w:widowControl/>
              <w:spacing w:line="440" w:lineRule="exact"/>
              <w:ind w:firstLine="0"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3"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rPr>
              <w:t>2018年</w:t>
            </w:r>
            <w:r>
              <w:rPr>
                <w:rFonts w:hint="eastAsia" w:ascii="仿宋" w:hAnsi="仿宋" w:eastAsia="仿宋"/>
                <w:sz w:val="24"/>
                <w:szCs w:val="24"/>
                <w:lang w:val="en-US" w:eastAsia="zh-CN"/>
              </w:rPr>
              <w:t>7</w:t>
            </w:r>
            <w:r>
              <w:rPr>
                <w:rFonts w:hint="eastAsia" w:ascii="仿宋" w:hAnsi="仿宋" w:eastAsia="仿宋"/>
                <w:sz w:val="24"/>
                <w:szCs w:val="24"/>
              </w:rPr>
              <w:t>月</w:t>
            </w:r>
            <w:r>
              <w:rPr>
                <w:rFonts w:hint="eastAsia" w:ascii="仿宋" w:hAnsi="仿宋" w:eastAsia="仿宋"/>
                <w:sz w:val="24"/>
                <w:szCs w:val="24"/>
                <w:lang w:val="en-US" w:eastAsia="zh-CN"/>
              </w:rPr>
              <w:t>25</w:t>
            </w:r>
            <w:r>
              <w:rPr>
                <w:rFonts w:hint="eastAsia" w:ascii="仿宋" w:hAnsi="仿宋" w:eastAsia="仿宋"/>
                <w:sz w:val="24"/>
                <w:szCs w:val="24"/>
              </w:rPr>
              <w:t>日9：00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3"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rPr>
              <w:t>2018年</w:t>
            </w:r>
            <w:r>
              <w:rPr>
                <w:rFonts w:hint="eastAsia" w:ascii="仿宋" w:hAnsi="仿宋" w:eastAsia="仿宋"/>
                <w:sz w:val="24"/>
                <w:szCs w:val="24"/>
                <w:lang w:val="en-US" w:eastAsia="zh-CN"/>
              </w:rPr>
              <w:t>7</w:t>
            </w:r>
            <w:r>
              <w:rPr>
                <w:rFonts w:hint="eastAsia" w:ascii="仿宋" w:hAnsi="仿宋" w:eastAsia="仿宋"/>
                <w:sz w:val="24"/>
                <w:szCs w:val="24"/>
              </w:rPr>
              <w:t>月</w:t>
            </w:r>
            <w:r>
              <w:rPr>
                <w:rFonts w:hint="eastAsia" w:ascii="仿宋" w:hAnsi="仿宋" w:eastAsia="仿宋"/>
                <w:sz w:val="24"/>
                <w:szCs w:val="24"/>
                <w:lang w:val="en-US" w:eastAsia="zh-CN"/>
              </w:rPr>
              <w:t>25</w:t>
            </w:r>
            <w:r>
              <w:rPr>
                <w:rFonts w:hint="eastAsia" w:ascii="仿宋" w:hAnsi="仿宋" w:eastAsia="仿宋"/>
                <w:sz w:val="24"/>
                <w:szCs w:val="24"/>
              </w:rPr>
              <w:t>日9：00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法定代表人（持身份证原件）或授权委托人（持身份证原件和法人代表授权委托书）现场签到，否则拒绝接收其投标文件。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2" w:type="dxa"/>
            <w:tcMar>
              <w:top w:w="0" w:type="dxa"/>
              <w:left w:w="0" w:type="dxa"/>
              <w:bottom w:w="0" w:type="dxa"/>
              <w:right w:w="0" w:type="dxa"/>
            </w:tcMar>
            <w:vAlign w:val="center"/>
          </w:tcPr>
          <w:p>
            <w:pPr>
              <w:pStyle w:val="123"/>
              <w:spacing w:line="480" w:lineRule="exact"/>
              <w:ind w:firstLine="0" w:firstLineChars="0"/>
              <w:rPr>
                <w:rFonts w:ascii="仿宋" w:hAnsi="仿宋" w:eastAsia="仿宋"/>
                <w:b/>
                <w:bCs/>
                <w:sz w:val="24"/>
                <w:szCs w:val="24"/>
                <w:lang w:val="zh-CN"/>
              </w:rPr>
            </w:pPr>
            <w:r>
              <w:rPr>
                <w:rFonts w:hint="eastAsia" w:ascii="仿宋" w:hAnsi="仿宋" w:eastAsia="仿宋"/>
                <w:b/>
                <w:bCs/>
                <w:sz w:val="24"/>
                <w:szCs w:val="24"/>
                <w:lang w:val="zh-CN"/>
              </w:rPr>
              <w:t>本项目最高限价为：</w:t>
            </w:r>
            <w:r>
              <w:rPr>
                <w:rFonts w:hint="eastAsia" w:ascii="仿宋" w:hAnsi="仿宋" w:eastAsia="仿宋" w:cstheme="minorBidi"/>
                <w:color w:val="FF0000"/>
                <w:kern w:val="2"/>
                <w:sz w:val="24"/>
                <w:szCs w:val="24"/>
                <w:lang w:val="en-US" w:eastAsia="zh-CN" w:bidi="ar-SA"/>
              </w:rPr>
              <w:t>472.5</w:t>
            </w:r>
            <w:r>
              <w:rPr>
                <w:rFonts w:hint="eastAsia" w:ascii="仿宋" w:hAnsi="仿宋" w:eastAsia="仿宋"/>
                <w:b/>
                <w:bCs/>
                <w:sz w:val="24"/>
                <w:szCs w:val="24"/>
              </w:rPr>
              <w:t>万元，</w:t>
            </w:r>
            <w:r>
              <w:rPr>
                <w:rFonts w:hint="eastAsia" w:ascii="仿宋" w:hAnsi="仿宋" w:eastAsia="仿宋"/>
                <w:b/>
                <w:bCs/>
                <w:sz w:val="24"/>
                <w:szCs w:val="24"/>
                <w:lang w:val="zh-CN"/>
              </w:rPr>
              <w:t>投标商投标总报价不能超过项目最高限价，否则为无效投标。</w:t>
            </w:r>
          </w:p>
        </w:tc>
      </w:tr>
    </w:tbl>
    <w:p>
      <w:pPr>
        <w:widowControl/>
        <w:spacing w:line="440" w:lineRule="exact"/>
        <w:ind w:firstLine="482" w:firstLineChars="200"/>
        <w:jc w:val="left"/>
        <w:rPr>
          <w:rFonts w:ascii="仿宋" w:hAnsi="仿宋" w:eastAsia="仿宋"/>
          <w:b/>
          <w:sz w:val="24"/>
          <w:szCs w:val="24"/>
        </w:rPr>
      </w:pPr>
    </w:p>
    <w:p>
      <w:pPr>
        <w:widowControl/>
        <w:spacing w:line="440" w:lineRule="exact"/>
        <w:ind w:firstLine="482" w:firstLineChars="200"/>
        <w:jc w:val="left"/>
        <w:rPr>
          <w:rFonts w:ascii="仿宋" w:hAnsi="仿宋" w:eastAsia="仿宋"/>
          <w:b/>
          <w:sz w:val="24"/>
          <w:szCs w:val="24"/>
        </w:rPr>
      </w:pPr>
    </w:p>
    <w:p>
      <w:pPr>
        <w:wordWrap w:val="0"/>
        <w:topLinePunct/>
        <w:spacing w:line="440" w:lineRule="exact"/>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w:t>
      </w:r>
      <w:r>
        <w:rPr>
          <w:rFonts w:hint="eastAsia" w:ascii="仿宋" w:hAnsi="仿宋" w:eastAsia="仿宋" w:cs="宋体"/>
          <w:bCs/>
          <w:sz w:val="24"/>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w:t>
      </w:r>
      <w:r>
        <w:rPr>
          <w:rFonts w:hint="eastAsia" w:ascii="仿宋" w:hAnsi="仿宋" w:eastAsia="仿宋" w:cs="宋体"/>
          <w:bCs/>
          <w:sz w:val="24"/>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5.4</w:t>
      </w:r>
      <w:r>
        <w:rPr>
          <w:rFonts w:hint="eastAsia" w:ascii="仿宋" w:hAnsi="仿宋" w:eastAsia="仿宋" w:cs="宋体"/>
          <w:bCs/>
          <w:sz w:val="24"/>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5.5.不符合招标文件技术规格、技术标准要求的；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5.6.投标文件中相关资质证件复件印与资质原件不一致的；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5.8.经评标委员会</w:t>
      </w:r>
      <w:r>
        <w:rPr>
          <w:rFonts w:hint="eastAsia" w:ascii="仿宋" w:hAnsi="仿宋" w:eastAsia="仿宋" w:cs="仿宋"/>
          <w:sz w:val="24"/>
          <w:szCs w:val="24"/>
        </w:rPr>
        <w:t>确认提供虚假投标资料的；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5.9.投标文件内容模糊不清，无法辨认的;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11.</w:t>
      </w:r>
      <w:r>
        <w:rPr>
          <w:rFonts w:hint="eastAsia" w:ascii="仿宋" w:hAnsi="仿宋" w:eastAsia="仿宋" w:cs="宋体"/>
          <w:bCs/>
          <w:sz w:val="24"/>
          <w:lang w:val="zh-CN"/>
        </w:rPr>
        <w:t>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13.</w:t>
      </w:r>
      <w:r>
        <w:rPr>
          <w:rFonts w:hint="eastAsia" w:ascii="仿宋" w:hAnsi="仿宋" w:eastAsia="仿宋" w:cs="宋体"/>
          <w:bCs/>
          <w:sz w:val="24"/>
          <w:lang w:val="zh-CN"/>
        </w:rPr>
        <w:t>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1</w:t>
      </w:r>
      <w:r>
        <w:rPr>
          <w:rFonts w:hint="eastAsia" w:ascii="仿宋" w:hAnsi="仿宋" w:eastAsia="仿宋" w:cs="宋体"/>
          <w:bCs/>
          <w:sz w:val="24"/>
        </w:rPr>
        <w:t>.</w:t>
      </w:r>
      <w:r>
        <w:rPr>
          <w:rFonts w:hint="eastAsia" w:ascii="仿宋" w:hAnsi="仿宋" w:eastAsia="仿宋" w:cs="宋体"/>
          <w:bCs/>
          <w:sz w:val="24"/>
          <w:lang w:val="zh-CN"/>
        </w:rPr>
        <w:t>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.2</w:t>
      </w:r>
      <w:r>
        <w:rPr>
          <w:rFonts w:hint="eastAsia" w:ascii="仿宋" w:hAnsi="仿宋" w:eastAsia="仿宋" w:cs="宋体"/>
          <w:bCs/>
          <w:sz w:val="24"/>
        </w:rPr>
        <w:t>.</w:t>
      </w:r>
      <w:r>
        <w:rPr>
          <w:rFonts w:hint="eastAsia" w:ascii="仿宋" w:hAnsi="仿宋" w:eastAsia="仿宋" w:cs="宋体"/>
          <w:bCs/>
          <w:sz w:val="24"/>
          <w:lang w:val="zh-CN"/>
        </w:rPr>
        <w:t>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.3</w:t>
      </w:r>
      <w:r>
        <w:rPr>
          <w:rFonts w:hint="eastAsia" w:ascii="仿宋" w:hAnsi="仿宋" w:eastAsia="仿宋" w:cs="宋体"/>
          <w:bCs/>
          <w:sz w:val="24"/>
        </w:rPr>
        <w:t>.</w:t>
      </w:r>
      <w:r>
        <w:rPr>
          <w:rFonts w:hint="eastAsia" w:ascii="仿宋" w:hAnsi="仿宋" w:eastAsia="仿宋" w:cs="宋体"/>
          <w:bCs/>
          <w:sz w:val="24"/>
          <w:lang w:val="zh-CN"/>
        </w:rPr>
        <w:t>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.4</w:t>
      </w:r>
      <w:r>
        <w:rPr>
          <w:rFonts w:hint="eastAsia" w:ascii="仿宋" w:hAnsi="仿宋" w:eastAsia="仿宋" w:cs="宋体"/>
          <w:bCs/>
          <w:sz w:val="24"/>
        </w:rPr>
        <w:t>.</w:t>
      </w:r>
      <w:r>
        <w:rPr>
          <w:rFonts w:hint="eastAsia" w:ascii="仿宋" w:hAnsi="仿宋" w:eastAsia="仿宋" w:cs="宋体"/>
          <w:bCs/>
          <w:sz w:val="24"/>
          <w:lang w:val="zh-CN"/>
        </w:rPr>
        <w:t>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5.</w:t>
      </w:r>
      <w:r>
        <w:rPr>
          <w:rFonts w:hint="eastAsia" w:ascii="仿宋" w:hAnsi="仿宋" w:eastAsia="仿宋" w:cs="宋体"/>
          <w:bCs/>
          <w:sz w:val="24"/>
          <w:lang w:val="zh-CN"/>
        </w:rPr>
        <w:t>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FF0000"/>
          <w:sz w:val="24"/>
        </w:rPr>
      </w:pPr>
      <w:r>
        <w:rPr>
          <w:rFonts w:hint="eastAsia" w:ascii="仿宋" w:hAnsi="仿宋" w:eastAsia="仿宋" w:cs="宋体"/>
          <w:bCs/>
          <w:sz w:val="24"/>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12、采购单位委派代表参加评审委员会的，须向采购代理机构出具授权函。除授权代表外，采购单位委派纪检监察人员对开标、评标过程实施监督的须进入九楼电子监控室，且不得超过2人。</w:t>
      </w:r>
    </w:p>
    <w:p>
      <w:pPr>
        <w:kinsoku w:val="0"/>
        <w:wordWrap w:val="0"/>
        <w:overflowPunct w:val="0"/>
        <w:topLinePunct/>
        <w:snapToGrid w:val="0"/>
        <w:spacing w:line="360" w:lineRule="auto"/>
        <w:ind w:firstLine="482"/>
        <w:rPr>
          <w:rFonts w:ascii="仿宋" w:hAnsi="仿宋" w:eastAsia="仿宋" w:cs="宋体"/>
          <w:color w:val="000000"/>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7</w:t>
      </w:r>
      <w:r>
        <w:rPr>
          <w:rFonts w:hint="eastAsia" w:ascii="仿宋" w:hAnsi="仿宋" w:eastAsia="仿宋" w:cs="宋体"/>
          <w:bCs/>
          <w:color w:val="FF0000"/>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第三部分  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5.1.8合同书（参考样本)</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FF0000"/>
          <w:sz w:val="24"/>
          <w:szCs w:val="24"/>
          <w:lang w:val="zh-CN"/>
        </w:rPr>
      </w:pPr>
      <w:r>
        <w:rPr>
          <w:rFonts w:hint="eastAsia" w:ascii="仿宋" w:hAnsi="仿宋" w:eastAsia="仿宋" w:cs="仿宋_GB2312"/>
          <w:b/>
          <w:color w:val="FF0000"/>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投标人应提交一份正本和四份副本投标文件。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投标文件（包括封面）由投标人的法定代表人或其授权代表签字并加盖投标人公章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。授权代表签字的，投标文件应附法定代表人签署的授权委托书。投标文件应尽量避免涂改、行间插字或删除。如果出现上述情况，改动之处应加盖单位章或由投标人的法定代表人或其授权代表签字确认。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ascii="仿宋" w:hAnsi="仿宋" w:eastAsia="仿宋" w:cs="仿宋"/>
          <w:sz w:val="24"/>
        </w:rPr>
      </w:pPr>
      <w:r>
        <w:rPr>
          <w:rFonts w:hint="eastAsia" w:ascii="仿宋" w:hAnsi="仿宋" w:eastAsia="仿宋" w:cs="仿宋"/>
          <w:b/>
          <w:sz w:val="24"/>
        </w:rPr>
        <w:t>11.投标保证金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11.1投标保证金为投标文件的组成部分之一。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11.2投标保证金用于保护本次招标人免受投标人的行为而引起的风险。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wordWrap w:val="0"/>
        <w:topLinePunct/>
        <w:snapToGrid w:val="0"/>
        <w:spacing w:line="360" w:lineRule="auto"/>
        <w:ind w:left="479" w:leftChars="228"/>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许昌市公共资源交易中心保证金缴纳回执”附投标文件中。同时开标现场提供一份“许昌市公共资源交易中心保证金缴纳回执”以备查询。</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w:t>
      </w:r>
      <w:r>
        <w:rPr>
          <w:rFonts w:hint="eastAsia" w:ascii="仿宋" w:hAnsi="仿宋" w:eastAsia="仿宋" w:cs="仿宋"/>
          <w:color w:val="FF0000"/>
          <w:sz w:val="24"/>
          <w:lang w:val="zh-CN"/>
        </w:rPr>
        <w:t>0374-2961598。</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11.7.5 法律法规及招标文件规定的其他情形。</w:t>
      </w:r>
    </w:p>
    <w:p>
      <w:pPr>
        <w:widowControl/>
        <w:spacing w:line="360" w:lineRule="auto"/>
        <w:ind w:firstLine="482" w:firstLineChars="200"/>
        <w:jc w:val="left"/>
        <w:rPr>
          <w:rFonts w:ascii="仿宋" w:hAnsi="仿宋" w:eastAsia="仿宋" w:cs="仿宋"/>
          <w:b/>
          <w:sz w:val="24"/>
          <w:szCs w:val="24"/>
        </w:rPr>
      </w:pPr>
      <w:r>
        <w:rPr>
          <w:rFonts w:hint="eastAsia" w:ascii="仿宋" w:hAnsi="仿宋" w:eastAsia="仿宋" w:cs="仿宋"/>
          <w:b/>
          <w:sz w:val="24"/>
          <w:szCs w:val="24"/>
        </w:rPr>
        <w:t>D   投标文件的递交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widowControl/>
        <w:spacing w:line="360" w:lineRule="auto"/>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widowControl/>
        <w:spacing w:line="360" w:lineRule="auto"/>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F 无效投标与废标</w:t>
      </w:r>
    </w:p>
    <w:p>
      <w:pPr>
        <w:widowControl/>
        <w:numPr>
          <w:ilvl w:val="0"/>
          <w:numId w:val="7"/>
        </w:numPr>
        <w:tabs>
          <w:tab w:val="left" w:pos="8280"/>
        </w:tabs>
        <w:spacing w:line="360" w:lineRule="auto"/>
        <w:ind w:right="-1" w:firstLine="480" w:firstLineChars="200"/>
        <w:jc w:val="left"/>
        <w:rPr>
          <w:rFonts w:ascii="仿宋" w:hAnsi="仿宋" w:eastAsia="仿宋" w:cs="仿宋_GB2312"/>
          <w:sz w:val="24"/>
          <w:szCs w:val="24"/>
        </w:rPr>
      </w:pPr>
      <w:r>
        <w:rPr>
          <w:rFonts w:hint="eastAsia" w:ascii="仿宋" w:hAnsi="仿宋" w:eastAsia="仿宋" w:cs="仿宋_GB2312"/>
          <w:sz w:val="24"/>
          <w:szCs w:val="24"/>
        </w:rPr>
        <w:t>投标文件属下列情况之一的，按无效投标处理：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.1</w:t>
      </w:r>
      <w:r>
        <w:rPr>
          <w:rFonts w:hint="eastAsia" w:ascii="仿宋" w:hAnsi="仿宋" w:eastAsia="仿宋" w:cs="宋体"/>
          <w:bCs/>
          <w:sz w:val="24"/>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.2</w:t>
      </w:r>
      <w:r>
        <w:rPr>
          <w:rFonts w:hint="eastAsia" w:ascii="仿宋" w:hAnsi="仿宋" w:eastAsia="仿宋" w:cs="宋体"/>
          <w:bCs/>
          <w:sz w:val="24"/>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.3</w:t>
      </w:r>
      <w:r>
        <w:rPr>
          <w:rFonts w:hint="eastAsia" w:ascii="仿宋" w:hAnsi="仿宋" w:eastAsia="仿宋" w:cs="宋体"/>
          <w:bCs/>
          <w:sz w:val="24"/>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.4</w:t>
      </w:r>
      <w:r>
        <w:rPr>
          <w:rFonts w:hint="eastAsia" w:ascii="仿宋" w:hAnsi="仿宋" w:eastAsia="仿宋" w:cs="宋体"/>
          <w:bCs/>
          <w:sz w:val="24"/>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19.5.不符合招标文件技术规格、技术标准要求的；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19.6.投标文件中相关资质证件复件印与资质原件不一致的；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19.8.经评标委员会</w:t>
      </w:r>
      <w:r>
        <w:rPr>
          <w:rFonts w:hint="eastAsia" w:ascii="仿宋" w:hAnsi="仿宋" w:eastAsia="仿宋" w:cs="仿宋"/>
          <w:sz w:val="24"/>
          <w:szCs w:val="24"/>
        </w:rPr>
        <w:t>确认提供虚假投标资料的；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19.9投标文件内容模糊不清，无法辨认的；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仿宋_GB2312"/>
          <w:sz w:val="24"/>
          <w:szCs w:val="24"/>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11.</w:t>
      </w:r>
      <w:r>
        <w:rPr>
          <w:rFonts w:hint="eastAsia" w:ascii="仿宋" w:hAnsi="仿宋" w:eastAsia="仿宋" w:cs="宋体"/>
          <w:bCs/>
          <w:sz w:val="24"/>
          <w:lang w:val="zh-CN"/>
        </w:rPr>
        <w:t>属于招标文件“其它要求”中无效投标条款情形的；</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widowControl/>
        <w:spacing w:line="360" w:lineRule="auto"/>
        <w:ind w:firstLine="472" w:firstLineChars="196"/>
        <w:jc w:val="left"/>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21、对招标人的纪律要求</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22、对投标人的纪律要求</w:t>
      </w:r>
    </w:p>
    <w:p>
      <w:pPr>
        <w:widowControl/>
        <w:spacing w:line="360" w:lineRule="auto"/>
        <w:ind w:firstLine="480" w:firstLineChars="200"/>
        <w:jc w:val="left"/>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widowControl/>
        <w:spacing w:line="360" w:lineRule="auto"/>
        <w:ind w:firstLine="480" w:firstLineChars="200"/>
        <w:jc w:val="left"/>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widowControl/>
        <w:spacing w:line="360" w:lineRule="auto"/>
        <w:ind w:firstLine="480" w:firstLineChars="200"/>
        <w:jc w:val="left"/>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widowControl/>
        <w:spacing w:line="360" w:lineRule="auto"/>
        <w:jc w:val="left"/>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25、质疑与投诉</w:t>
      </w:r>
    </w:p>
    <w:p>
      <w:pPr>
        <w:widowControl/>
        <w:spacing w:line="360" w:lineRule="auto"/>
        <w:jc w:val="left"/>
        <w:rPr>
          <w:rFonts w:ascii="仿宋" w:hAnsi="仿宋" w:eastAsia="仿宋" w:cs="仿宋_GB2312"/>
          <w:sz w:val="24"/>
          <w:szCs w:val="24"/>
        </w:rPr>
      </w:pPr>
      <w:r>
        <w:rPr>
          <w:rFonts w:hint="eastAsia" w:ascii="仿宋" w:hAnsi="仿宋" w:eastAsia="仿宋" w:cs="仿宋_GB2312"/>
          <w:sz w:val="24"/>
          <w:szCs w:val="24"/>
        </w:rPr>
        <w:t xml:space="preserve">    投标人认为本次招标活动违反法律、法规和规章规定的，应当遵守《中华人民共和国财政部94号令》规定。</w:t>
      </w:r>
    </w:p>
    <w:p>
      <w:pPr>
        <w:widowControl/>
        <w:spacing w:line="360" w:lineRule="auto"/>
        <w:jc w:val="left"/>
        <w:rPr>
          <w:rFonts w:ascii="仿宋" w:hAnsi="仿宋" w:eastAsia="仿宋"/>
          <w:b/>
          <w:sz w:val="24"/>
          <w:szCs w:val="24"/>
        </w:rPr>
      </w:pPr>
    </w:p>
    <w:p>
      <w:pPr>
        <w:widowControl/>
        <w:spacing w:line="440" w:lineRule="exact"/>
        <w:jc w:val="left"/>
        <w:rPr>
          <w:rFonts w:ascii="仿宋" w:hAnsi="仿宋" w:eastAsia="仿宋"/>
          <w:b/>
          <w:sz w:val="24"/>
          <w:szCs w:val="24"/>
        </w:rPr>
      </w:pPr>
    </w:p>
    <w:p>
      <w:pPr>
        <w:widowControl/>
        <w:spacing w:line="440" w:lineRule="exact"/>
        <w:ind w:firstLine="1316" w:firstLineChars="298"/>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rPr>
          <w:rFonts w:ascii="仿宋" w:hAnsi="仿宋" w:eastAsia="仿宋"/>
          <w:b/>
          <w:sz w:val="44"/>
        </w:rPr>
        <w:sectPr>
          <w:headerReference r:id="rId4" w:type="first"/>
          <w:footerReference r:id="rId6" w:type="first"/>
          <w:headerReference r:id="rId3" w:type="default"/>
          <w:footerReference r:id="rId5" w:type="default"/>
          <w:pgSz w:w="11907" w:h="16840"/>
          <w:pgMar w:top="1440" w:right="1474" w:bottom="1440" w:left="1474" w:header="851" w:footer="992" w:gutter="0"/>
          <w:cols w:space="720" w:num="1"/>
          <w:titlePg/>
          <w:docGrid w:linePitch="312" w:charSpace="0"/>
        </w:sectPr>
      </w:pPr>
    </w:p>
    <w:p>
      <w:pPr>
        <w:widowControl/>
        <w:numPr>
          <w:ilvl w:val="0"/>
          <w:numId w:val="8"/>
        </w:numPr>
        <w:spacing w:line="440" w:lineRule="exact"/>
        <w:ind w:firstLine="1533" w:firstLineChars="347"/>
        <w:rPr>
          <w:rFonts w:ascii="仿宋" w:hAnsi="仿宋" w:eastAsia="仿宋"/>
          <w:b/>
          <w:sz w:val="44"/>
        </w:rPr>
      </w:pPr>
      <w:r>
        <w:rPr>
          <w:rFonts w:hint="eastAsia" w:ascii="仿宋" w:hAnsi="仿宋" w:eastAsia="仿宋"/>
          <w:b/>
          <w:sz w:val="44"/>
        </w:rPr>
        <w:t>分 采购内容及其他要求</w:t>
      </w:r>
    </w:p>
    <w:p>
      <w:pPr>
        <w:snapToGrid w:val="0"/>
        <w:spacing w:line="360" w:lineRule="auto"/>
        <w:ind w:right="480"/>
        <w:jc w:val="both"/>
        <w:rPr>
          <w:rFonts w:hint="eastAsia" w:ascii="宋体" w:hAnsi="宋体" w:cs="宋体"/>
          <w:b/>
          <w:sz w:val="32"/>
          <w:szCs w:val="32"/>
        </w:rPr>
      </w:pPr>
    </w:p>
    <w:p>
      <w:pPr>
        <w:snapToGrid w:val="0"/>
        <w:spacing w:line="360" w:lineRule="auto"/>
        <w:ind w:right="480"/>
        <w:jc w:val="both"/>
        <w:rPr>
          <w:rFonts w:hint="eastAsia" w:ascii="宋体" w:hAnsi="宋体" w:cs="宋体"/>
          <w:b/>
          <w:sz w:val="24"/>
        </w:rPr>
      </w:pPr>
      <w:r>
        <w:rPr>
          <w:rFonts w:hint="eastAsia" w:ascii="宋体" w:hAnsi="宋体" w:cs="宋体"/>
          <w:b/>
          <w:sz w:val="32"/>
          <w:szCs w:val="32"/>
          <w:lang w:eastAsia="zh-CN"/>
        </w:rPr>
        <w:t>一、</w:t>
      </w:r>
      <w:r>
        <w:rPr>
          <w:rFonts w:hint="eastAsia" w:ascii="宋体" w:hAnsi="宋体" w:cs="宋体"/>
          <w:b/>
          <w:sz w:val="32"/>
          <w:szCs w:val="32"/>
        </w:rPr>
        <w:t>项目需求</w:t>
      </w:r>
      <w:bookmarkStart w:id="0" w:name="_Toc171762333"/>
      <w:bookmarkStart w:id="1" w:name="_Toc165271805"/>
      <w:bookmarkStart w:id="2" w:name="_Toc215222885"/>
      <w:bookmarkStart w:id="3" w:name="_Toc277945144"/>
      <w:bookmarkStart w:id="4" w:name="_Toc165272715"/>
      <w:bookmarkStart w:id="5" w:name="_Toc213257067"/>
    </w:p>
    <w:bookmarkEnd w:id="0"/>
    <w:bookmarkEnd w:id="1"/>
    <w:bookmarkEnd w:id="2"/>
    <w:bookmarkEnd w:id="3"/>
    <w:bookmarkEnd w:id="4"/>
    <w:bookmarkEnd w:id="5"/>
    <w:p>
      <w:pPr>
        <w:tabs>
          <w:tab w:val="left" w:pos="360"/>
          <w:tab w:val="left" w:pos="540"/>
        </w:tabs>
        <w:snapToGrid w:val="0"/>
        <w:spacing w:line="360" w:lineRule="auto"/>
        <w:ind w:firstLine="480" w:firstLineChars="200"/>
        <w:rPr>
          <w:rFonts w:hint="eastAsia" w:ascii="宋体" w:hAnsi="宋体" w:cs="宋体"/>
          <w:sz w:val="24"/>
        </w:rPr>
      </w:pPr>
      <w:r>
        <w:rPr>
          <w:rFonts w:hint="eastAsia" w:ascii="宋体" w:hAnsi="宋体" w:cs="宋体"/>
          <w:sz w:val="24"/>
        </w:rPr>
        <w:t>建立食品抽样检测机构备选库，承担2018和2019年度禹州市食品药品监督管理局食品检验检测任务及</w:t>
      </w:r>
      <w:r>
        <w:rPr>
          <w:rFonts w:hint="eastAsia" w:ascii="宋体" w:hAnsi="宋体" w:cs="宋体"/>
          <w:snapToGrid w:val="0"/>
          <w:color w:val="000000"/>
          <w:kern w:val="0"/>
          <w:sz w:val="24"/>
        </w:rPr>
        <w:t>食品安全突发事件应急检验任务</w:t>
      </w:r>
      <w:r>
        <w:rPr>
          <w:rFonts w:hint="eastAsia" w:ascii="宋体" w:hAnsi="宋体" w:cs="宋体"/>
          <w:sz w:val="24"/>
        </w:rPr>
        <w:t>。服务期限截止到2018年大宗食品抽样检验工作完成。</w:t>
      </w:r>
    </w:p>
    <w:p>
      <w:pPr>
        <w:tabs>
          <w:tab w:val="left" w:pos="360"/>
          <w:tab w:val="left" w:pos="540"/>
        </w:tabs>
        <w:snapToGrid w:val="0"/>
        <w:spacing w:line="360" w:lineRule="auto"/>
        <w:ind w:firstLine="480" w:firstLineChars="200"/>
        <w:rPr>
          <w:rFonts w:hint="eastAsia" w:ascii="宋体" w:hAnsi="宋体" w:cs="宋体"/>
          <w:sz w:val="24"/>
        </w:rPr>
      </w:pPr>
      <w:r>
        <w:rPr>
          <w:rFonts w:hint="eastAsia" w:ascii="宋体" w:hAnsi="宋体" w:cs="宋体"/>
          <w:sz w:val="24"/>
        </w:rPr>
        <w:t>1、承担粮食加工品、食用油、油脂及其制品、调味品、肉制品、乳制品、饮料、方便食品、饼干、罐头、冷冻饮品、速冻食品、薯类和膨化食品、糖果制品、茶叶及相关制品、酒类、蔬菜制品、水果制品、炒货食品及坚果制品、蛋制品、可可及焙烤咖啡产品、食糖、水产制品、淀粉及淀粉制品、糕点、豆制品、蜂产品、保健食品、特殊膳食食品、特殊医学用途配方食品、婴幼儿配方食品、食品添加剂、餐饮食品、食用农产品等33大类产品的抽样检验任务及</w:t>
      </w:r>
      <w:r>
        <w:rPr>
          <w:rFonts w:hint="eastAsia" w:ascii="宋体" w:hAnsi="宋体" w:cs="宋体"/>
          <w:snapToGrid w:val="0"/>
          <w:color w:val="000000"/>
          <w:kern w:val="0"/>
          <w:sz w:val="24"/>
        </w:rPr>
        <w:t>食品安全突发事件应急检验任务</w:t>
      </w:r>
      <w:r>
        <w:rPr>
          <w:rFonts w:hint="eastAsia" w:ascii="宋体" w:hAnsi="宋体" w:cs="宋体"/>
          <w:sz w:val="24"/>
        </w:rPr>
        <w:t>。</w:t>
      </w:r>
    </w:p>
    <w:p>
      <w:pPr>
        <w:tabs>
          <w:tab w:val="left" w:pos="360"/>
          <w:tab w:val="left" w:pos="540"/>
        </w:tabs>
        <w:snapToGrid w:val="0"/>
        <w:spacing w:line="360" w:lineRule="auto"/>
        <w:ind w:firstLine="480" w:firstLineChars="200"/>
        <w:rPr>
          <w:rFonts w:hint="eastAsia" w:ascii="宋体" w:hAnsi="宋体" w:cs="宋体"/>
          <w:sz w:val="24"/>
        </w:rPr>
      </w:pPr>
      <w:r>
        <w:rPr>
          <w:rFonts w:hint="eastAsia" w:ascii="宋体" w:hAnsi="宋体" w:cs="宋体"/>
          <w:sz w:val="24"/>
        </w:rPr>
        <w:t>2、抽检范围覆盖禹州市下辖所有行政区域，抽样对象涵盖食品生产加工、流通及餐饮服务等环节的食品生产经营单位。</w:t>
      </w:r>
    </w:p>
    <w:p>
      <w:pPr>
        <w:tabs>
          <w:tab w:val="left" w:pos="360"/>
          <w:tab w:val="left" w:pos="540"/>
        </w:tabs>
        <w:snapToGrid w:val="0"/>
        <w:spacing w:line="360" w:lineRule="auto"/>
        <w:ind w:firstLine="480" w:firstLineChars="200"/>
        <w:rPr>
          <w:rFonts w:hint="eastAsia" w:ascii="宋体" w:hAnsi="宋体" w:cs="宋体"/>
          <w:sz w:val="24"/>
        </w:rPr>
      </w:pPr>
      <w:r>
        <w:rPr>
          <w:rFonts w:hint="eastAsia" w:ascii="宋体" w:hAnsi="宋体" w:cs="宋体"/>
          <w:sz w:val="24"/>
        </w:rPr>
        <w:t>3、抽样要求。按照《食品安全抽样检验管理办法》、《食品安全监督抽检和风险监测工作规范》、《食品安全监督抽检和风险监测实施细则（2018版）》、《实施细则》执行抽检监测工作程序，履行法定手续。相关样品采集执法文书按照《食品药品监管总局办公厅关于印发食品安全监督抽检和风险监测工作规范的通知》中文书制定。</w:t>
      </w:r>
    </w:p>
    <w:p>
      <w:pPr>
        <w:tabs>
          <w:tab w:val="left" w:pos="360"/>
          <w:tab w:val="left" w:pos="540"/>
        </w:tabs>
        <w:snapToGrid w:val="0"/>
        <w:spacing w:line="360" w:lineRule="auto"/>
        <w:ind w:firstLine="480" w:firstLineChars="200"/>
        <w:rPr>
          <w:rFonts w:hint="eastAsia" w:ascii="宋体" w:hAnsi="宋体" w:cs="宋体"/>
          <w:sz w:val="24"/>
        </w:rPr>
      </w:pPr>
      <w:r>
        <w:rPr>
          <w:rFonts w:hint="eastAsia" w:ascii="宋体" w:hAnsi="宋体" w:cs="宋体"/>
          <w:sz w:val="24"/>
        </w:rPr>
        <w:t>4、检测要求。具备满足速冻及冷饮类储运条件的设备，能够保证微生物待检测样品在5小时以内进入实验室。具备专业的检测队伍及科学的实验室体系管理制度，能够在抽样后的20个工作日内出具检验报告，并按照规定时限分析、上报检测结果。</w:t>
      </w:r>
    </w:p>
    <w:p>
      <w:pPr>
        <w:tabs>
          <w:tab w:val="left" w:pos="360"/>
          <w:tab w:val="left" w:pos="540"/>
        </w:tabs>
        <w:snapToGrid w:val="0"/>
        <w:spacing w:line="360" w:lineRule="auto"/>
        <w:ind w:firstLine="480" w:firstLineChars="200"/>
        <w:rPr>
          <w:rFonts w:hint="eastAsia" w:ascii="宋体" w:hAnsi="宋体" w:cs="宋体"/>
          <w:sz w:val="24"/>
        </w:rPr>
      </w:pPr>
      <w:r>
        <w:rPr>
          <w:rFonts w:hint="eastAsia" w:ascii="宋体" w:hAnsi="宋体" w:cs="宋体"/>
          <w:sz w:val="24"/>
        </w:rPr>
        <w:t>5、大宗食品检验检测机构协议供货检测品种、项目见下表：</w:t>
      </w:r>
    </w:p>
    <w:tbl>
      <w:tblPr>
        <w:tblStyle w:val="38"/>
        <w:tblW w:w="85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511"/>
        <w:gridCol w:w="638"/>
        <w:gridCol w:w="567"/>
        <w:gridCol w:w="709"/>
        <w:gridCol w:w="1276"/>
        <w:gridCol w:w="567"/>
        <w:gridCol w:w="2410"/>
        <w:gridCol w:w="850"/>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0" w:hRule="atLeast"/>
        </w:trPr>
        <w:tc>
          <w:tcPr>
            <w:tcW w:w="8584" w:type="dxa"/>
            <w:gridSpan w:val="9"/>
            <w:vAlign w:val="center"/>
          </w:tcPr>
          <w:p>
            <w:pPr>
              <w:widowControl/>
              <w:spacing w:line="168" w:lineRule="auto"/>
              <w:jc w:val="center"/>
              <w:textAlignment w:val="center"/>
              <w:rPr>
                <w:rFonts w:hint="eastAsia" w:ascii="宋体" w:hAnsi="宋体" w:cs="宋体"/>
                <w:b/>
                <w:color w:val="000000"/>
                <w:sz w:val="24"/>
              </w:rPr>
            </w:pPr>
            <w:r>
              <w:rPr>
                <w:rFonts w:hint="eastAsia" w:ascii="宋体" w:hAnsi="宋体" w:cs="宋体"/>
                <w:b/>
                <w:color w:val="000000"/>
                <w:kern w:val="0"/>
                <w:sz w:val="24"/>
                <w:lang w:bidi="ar"/>
              </w:rPr>
              <w:t>2018年食品安全抽检品种、项目表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20" w:hRule="atLeast"/>
        </w:trPr>
        <w:tc>
          <w:tcPr>
            <w:tcW w:w="511" w:type="dxa"/>
            <w:vAlign w:val="center"/>
          </w:tcPr>
          <w:p>
            <w:pPr>
              <w:widowControl/>
              <w:spacing w:line="168" w:lineRule="auto"/>
              <w:jc w:val="center"/>
              <w:textAlignment w:val="center"/>
              <w:rPr>
                <w:rFonts w:hint="eastAsia" w:ascii="宋体" w:hAnsi="宋体" w:cs="宋体"/>
                <w:b/>
                <w:color w:val="000000"/>
                <w:sz w:val="24"/>
              </w:rPr>
            </w:pPr>
            <w:r>
              <w:rPr>
                <w:rFonts w:hint="eastAsia" w:ascii="宋体" w:hAnsi="宋体" w:cs="宋体"/>
                <w:b/>
                <w:color w:val="000000"/>
                <w:kern w:val="0"/>
                <w:sz w:val="24"/>
                <w:lang w:bidi="ar"/>
              </w:rPr>
              <w:t>序号</w:t>
            </w:r>
          </w:p>
        </w:tc>
        <w:tc>
          <w:tcPr>
            <w:tcW w:w="638" w:type="dxa"/>
            <w:vAlign w:val="center"/>
          </w:tcPr>
          <w:p>
            <w:pPr>
              <w:widowControl/>
              <w:spacing w:line="168" w:lineRule="auto"/>
              <w:jc w:val="center"/>
              <w:textAlignment w:val="center"/>
              <w:rPr>
                <w:rFonts w:hint="eastAsia" w:ascii="宋体" w:hAnsi="宋体" w:cs="宋体"/>
                <w:b/>
                <w:color w:val="000000"/>
                <w:sz w:val="24"/>
              </w:rPr>
            </w:pPr>
            <w:r>
              <w:rPr>
                <w:rFonts w:hint="eastAsia" w:ascii="宋体" w:hAnsi="宋体" w:cs="宋体"/>
                <w:b/>
                <w:color w:val="000000"/>
                <w:kern w:val="0"/>
                <w:sz w:val="24"/>
                <w:lang w:bidi="ar"/>
              </w:rPr>
              <w:t>食品大类</w:t>
            </w:r>
          </w:p>
        </w:tc>
        <w:tc>
          <w:tcPr>
            <w:tcW w:w="567" w:type="dxa"/>
            <w:vAlign w:val="center"/>
          </w:tcPr>
          <w:p>
            <w:pPr>
              <w:widowControl/>
              <w:spacing w:line="168" w:lineRule="auto"/>
              <w:jc w:val="center"/>
              <w:textAlignment w:val="center"/>
              <w:rPr>
                <w:rFonts w:hint="eastAsia" w:ascii="宋体" w:hAnsi="宋体" w:cs="宋体"/>
                <w:b/>
                <w:color w:val="000000"/>
                <w:sz w:val="24"/>
              </w:rPr>
            </w:pPr>
            <w:r>
              <w:rPr>
                <w:rFonts w:hint="eastAsia" w:ascii="宋体" w:hAnsi="宋体" w:cs="宋体"/>
                <w:b/>
                <w:color w:val="000000"/>
                <w:kern w:val="0"/>
                <w:sz w:val="24"/>
                <w:lang w:bidi="ar"/>
              </w:rPr>
              <w:t>食品亚类</w:t>
            </w:r>
          </w:p>
        </w:tc>
        <w:tc>
          <w:tcPr>
            <w:tcW w:w="709" w:type="dxa"/>
            <w:vAlign w:val="center"/>
          </w:tcPr>
          <w:p>
            <w:pPr>
              <w:widowControl/>
              <w:spacing w:line="168" w:lineRule="auto"/>
              <w:jc w:val="center"/>
              <w:textAlignment w:val="center"/>
              <w:rPr>
                <w:rFonts w:hint="eastAsia" w:ascii="宋体" w:hAnsi="宋体" w:cs="宋体"/>
                <w:b/>
                <w:color w:val="000000"/>
                <w:sz w:val="24"/>
              </w:rPr>
            </w:pPr>
            <w:r>
              <w:rPr>
                <w:rFonts w:hint="eastAsia" w:ascii="宋体" w:hAnsi="宋体" w:cs="宋体"/>
                <w:b/>
                <w:color w:val="000000"/>
                <w:kern w:val="0"/>
                <w:sz w:val="24"/>
                <w:lang w:bidi="ar"/>
              </w:rPr>
              <w:t>食品品种</w:t>
            </w:r>
          </w:p>
        </w:tc>
        <w:tc>
          <w:tcPr>
            <w:tcW w:w="1276" w:type="dxa"/>
            <w:vAlign w:val="center"/>
          </w:tcPr>
          <w:p>
            <w:pPr>
              <w:widowControl/>
              <w:spacing w:line="168" w:lineRule="auto"/>
              <w:jc w:val="center"/>
              <w:textAlignment w:val="center"/>
              <w:rPr>
                <w:rFonts w:hint="eastAsia" w:ascii="宋体" w:hAnsi="宋体" w:cs="宋体"/>
                <w:b/>
                <w:color w:val="000000"/>
                <w:sz w:val="24"/>
              </w:rPr>
            </w:pPr>
            <w:r>
              <w:rPr>
                <w:rFonts w:hint="eastAsia" w:ascii="宋体" w:hAnsi="宋体" w:cs="宋体"/>
                <w:b/>
                <w:color w:val="000000"/>
                <w:kern w:val="0"/>
                <w:sz w:val="24"/>
                <w:lang w:bidi="ar"/>
              </w:rPr>
              <w:t>食品细类</w:t>
            </w:r>
          </w:p>
        </w:tc>
        <w:tc>
          <w:tcPr>
            <w:tcW w:w="567" w:type="dxa"/>
            <w:vAlign w:val="center"/>
          </w:tcPr>
          <w:p>
            <w:pPr>
              <w:widowControl/>
              <w:spacing w:line="168" w:lineRule="auto"/>
              <w:jc w:val="center"/>
              <w:textAlignment w:val="center"/>
              <w:rPr>
                <w:rFonts w:hint="eastAsia" w:ascii="宋体" w:hAnsi="宋体" w:cs="宋体"/>
                <w:b/>
                <w:color w:val="000000"/>
                <w:sz w:val="24"/>
              </w:rPr>
            </w:pPr>
            <w:r>
              <w:rPr>
                <w:rFonts w:hint="eastAsia" w:ascii="宋体" w:hAnsi="宋体" w:cs="宋体"/>
                <w:b/>
                <w:color w:val="000000"/>
                <w:kern w:val="0"/>
                <w:sz w:val="24"/>
                <w:lang w:bidi="ar"/>
              </w:rPr>
              <w:t>风险等级</w:t>
            </w:r>
          </w:p>
        </w:tc>
        <w:tc>
          <w:tcPr>
            <w:tcW w:w="2410" w:type="dxa"/>
            <w:vAlign w:val="center"/>
          </w:tcPr>
          <w:p>
            <w:pPr>
              <w:widowControl/>
              <w:spacing w:line="168" w:lineRule="auto"/>
              <w:jc w:val="center"/>
              <w:textAlignment w:val="center"/>
              <w:rPr>
                <w:rFonts w:hint="eastAsia" w:ascii="宋体" w:hAnsi="宋体" w:cs="宋体"/>
                <w:b/>
                <w:color w:val="000000"/>
                <w:sz w:val="24"/>
              </w:rPr>
            </w:pPr>
            <w:r>
              <w:rPr>
                <w:rStyle w:val="141"/>
                <w:rFonts w:hint="default"/>
                <w:lang w:bidi="ar"/>
              </w:rPr>
              <w:t>抽检项目</w:t>
            </w:r>
            <w:r>
              <w:rPr>
                <w:rStyle w:val="142"/>
                <w:rFonts w:hint="default"/>
                <w:lang w:bidi="ar"/>
              </w:rPr>
              <w:t>a</w:t>
            </w:r>
          </w:p>
        </w:tc>
        <w:tc>
          <w:tcPr>
            <w:tcW w:w="850" w:type="dxa"/>
            <w:vAlign w:val="center"/>
          </w:tcPr>
          <w:p>
            <w:pPr>
              <w:widowControl/>
              <w:spacing w:line="168" w:lineRule="auto"/>
              <w:jc w:val="center"/>
              <w:textAlignment w:val="center"/>
              <w:rPr>
                <w:rFonts w:hint="eastAsia" w:ascii="宋体" w:hAnsi="宋体" w:cs="宋体"/>
                <w:b/>
                <w:color w:val="000000"/>
                <w:sz w:val="24"/>
              </w:rPr>
            </w:pPr>
            <w:r>
              <w:rPr>
                <w:rFonts w:hint="eastAsia" w:ascii="宋体" w:hAnsi="宋体" w:cs="宋体"/>
                <w:b/>
                <w:color w:val="000000"/>
                <w:kern w:val="0"/>
                <w:sz w:val="24"/>
                <w:lang w:bidi="ar"/>
              </w:rPr>
              <w:t>单项报价(元)</w:t>
            </w:r>
          </w:p>
        </w:tc>
        <w:tc>
          <w:tcPr>
            <w:tcW w:w="1056" w:type="dxa"/>
            <w:vAlign w:val="center"/>
          </w:tcPr>
          <w:p>
            <w:pPr>
              <w:widowControl/>
              <w:spacing w:line="168" w:lineRule="auto"/>
              <w:jc w:val="center"/>
              <w:textAlignment w:val="center"/>
              <w:rPr>
                <w:rFonts w:hint="eastAsia" w:ascii="宋体" w:hAnsi="宋体" w:cs="宋体"/>
                <w:b/>
                <w:color w:val="000000"/>
                <w:sz w:val="24"/>
              </w:rPr>
            </w:pPr>
            <w:r>
              <w:rPr>
                <w:rFonts w:hint="eastAsia" w:ascii="宋体" w:hAnsi="宋体" w:cs="宋体"/>
                <w:b/>
                <w:color w:val="000000"/>
                <w:kern w:val="0"/>
                <w:sz w:val="24"/>
                <w:lang w:bidi="ar"/>
              </w:rPr>
              <w:t>单批次总报价(元)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粮食加工品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大米</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大米</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大米</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无机砷（以As计）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铬（以Cr计）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赭曲霉毒素A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苯并[a]芘</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甲基嘧啶磷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丙草胺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稻瘟灵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和草敌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敌瘟磷</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杀虫环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马拉硫磷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丁草胺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小麦粉</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小麦粉</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通用小麦粉、专用小麦粉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铬（以Cr计）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玉米赤霉烯酮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脱氧雪腐镰刀菌烯醇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赭曲霉毒素A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苯并[a]芘</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敌草快</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氰戊菊酯和S-氰戊菊酯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二氧化钛</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滑石粉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溴酸钾</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甲醛次硫酸氢钠(以甲醛计)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过氧化苯甲酰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挂面</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挂面</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普通挂面、手工面</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二氧化钛</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其他粮食加工品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谷物加工品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谷物加工品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无机砷（以As计）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赭曲霉毒素A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甲基毒死蜱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溴氰菊酯</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苯醚甲环唑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谷物碾磨加工品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玉米粉、玉米片、玉米渣</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脱氧雪腐镰刀菌烯醇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赭曲霉毒素A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玉米赤霉烯酮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米粉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其他谷物碾磨加工品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赭曲霉毒素A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谷物粉类制成品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生湿面制品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粮食加工品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其他粮食加工品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谷物粉类制成品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发酵面制品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米粉制品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其他谷物粉类制成品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食用油、油脂及其制品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食用植物油(含煎炸用油)</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食用植物油(半精炼、全精炼)</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花生油</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酸值/酸价</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苯并[a]芘</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溶剂残留量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反式脂肪酸</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二丁基羟基甲苯（BHT）</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特丁基对苯二酚（TBHQ）</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没食子酸丙酯(PG)</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玉米油</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酸值/酸价</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苯并[a]芘</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溶剂残留量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反式脂肪酸</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没食子酸丙酯(PG)</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二丁基羟基甲苯（BHT）</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特丁基对苯二酚（TBHQ）</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芝麻油</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酸值/酸价</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苯并[a]芘</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溶剂残留量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反式脂肪酸</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没食子酸丙酯(PG)</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二丁基羟基甲苯（BHT）</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特丁基对苯二酚（TBHQ）</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橄榄油、油橄榄果渣油</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酸值/酸价</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反式脂肪酸</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没食子酸丙酯(PG)</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溶剂残留量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丁基羟基茴香醚（BHA）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二丁基羟基甲苯（BHT）</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特丁基对苯二酚（TBHQ）</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其他食用植物油(半精炼、全精炼)</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酸值/酸价</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反式脂肪酸</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没食子酸丙酯(PG)</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苯并[a]芘</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溶剂残留量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游离棉酚</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丁基羟基茴香醚（BHA）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二丁基羟基甲苯（BHT）</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特丁基对苯二酚（TBHQ）</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煎炸过程用油(餐饮环节)</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煎炸过程用油</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酸价</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极性组分</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羰基价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食用油、油脂及其制品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食用动物油脂</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食用动物油脂</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食用动物油脂</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酸价</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丙二醛</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苯并[a]芘</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丁基羟基茴香醚（BHA）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二丁基羟基甲苯（BHT）</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没食子酸丙酯（PG）</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特丁基对苯二酚（TBHQ）</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食用油脂制品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食用油脂制品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食用油脂制品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酸价（以脂肪计）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镍（以Ni计）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苯并[a]芘</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丁基羟基茴香醚（BHA）（以油脂中的含量计）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二丁基羟基甲苯（BHT）（以油脂中的含量计）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特丁基对苯二酚（TBHQ）（以油脂中的含量计）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酵母菌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调味品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酱油</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酱油</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酿造酱油、配制酱油（酿造和配制按2:1）</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氨基酸态氮</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铵盐（以占氨基酸态氮的百分比计）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食醋</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食醋</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酿造食醋、配制食醋</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总酸（以乙酸计）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游离矿酸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酱类</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酱类</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黄豆酱、甜面酱等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氨基酸态氮</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调味料酒</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调味料酒</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料酒</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香辛料类</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香辛料类</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香辛料调味油</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罗丹明B</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苏丹红I-IV</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丁基羟基茴香醚（BHA）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二丁基羟基甲苯（BHT）</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特丁基对苯二酚（TBHQ）</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辣椒、花椒、辣椒粉、花椒粉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丙溴磷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乙酰甲胺磷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罗丹明B</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苏丹红I-IV</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碱性橙Ⅱ,21,22</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调味品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香辛料类</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香辛料类</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香辛料酱（芥末酱、青芥酱等）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其他香辛料调味品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苏丹红I-IV</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调味料</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固体复合调味料</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鸡粉、鸡精调味料</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谷氨酸钠</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呈味核苷酸二钠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致病菌（金黄色葡萄球菌、沙门氏菌）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其他固体调味料</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苏丹红I-IV</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致病菌（金黄色葡萄球菌、沙门氏菌、副溶血性弧菌）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半固体复合调味料</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蛋黄酱、沙拉酱</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致病菌（金黄色葡萄球菌、沙门氏菌、副溶血性弧菌）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坚果与籽类的泥（酱），包括花生酱等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辣椒酱</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苏丹红I-IV</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火锅底料、麻辣烫底料及蘸料</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苏丹红I-IV</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副溶血性弧菌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调味品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调味料</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半固体复合调味料</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其他半固体调味料</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苏丹红I-IV</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副溶血性弧菌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液体复合调味料</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蚝油、虾油、鱼露</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碱性橙Ⅱ,21,22</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副溶血性弧菌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其他液体调味料</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副溶血性弧菌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味精</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味精</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味精</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谷氨酸钠</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肉制品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预制肉制品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调理肉制品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调理肉制品（非速冻）</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铬（以Cr计）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腌腊肉制品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腌腊肉制品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三甲胺氮</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铬（以Cr计）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N-二甲基亚硝胺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亚硝酸盐（以亚硝酸钠计）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丁基羟基茴香醚（BHA）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二丁基羟基甲苯（BHT）</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特丁基对苯二酚（TBHQ）</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抗氧化剂混合使用时各自用量占其最大使用量的比例之和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胭脂红</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熟肉制品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发酵肉制品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发酵肉制品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铬（以Cr计）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亚硝酸盐（以亚硝酸钠计）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N-二甲基亚硝胺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胭脂红</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单核细胞增生李斯特氏菌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大肠埃希氏菌O157:H7</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酱卤肉制品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酱卤肉制品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铬（以Cr计）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酸性橙Ⅱ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亚硝酸盐（以亚硝酸钠计）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胭脂红</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单核细胞增生李斯特氏菌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大肠埃希氏菌O157:H7</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肉制品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熟肉制品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熟肉干制品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熟肉干制品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铬（以Cr计）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N-二甲基亚硝胺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胭脂红</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单核细胞增生李斯特氏菌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大肠埃希氏菌O157:H7</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熏烧烤肉制品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熏烧烤肉制品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铬（以Cr计）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苯并[a]芘</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亚硝酸盐（以亚硝酸钠计）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胭脂红</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单核细胞增生李斯特氏菌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大肠埃希氏菌O157:H7</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熏煮香肠火腿制品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熏煮香肠火腿制品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铬（以Cr计）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亚硝酸盐（以亚硝酸钠计）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N-二甲基亚硝胺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胭脂红</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单核细胞增生李斯特氏菌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大肠埃希氏菌O157:H7</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乳制品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乳制品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液体乳</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巴氏杀菌乳</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蛋白质</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酸度</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铬(以Cr计)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黄曲霉毒素M</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地塞米松</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三聚氰胺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灭菌乳</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脂肪</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非脂乳固体</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蛋白质</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酸度</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铬(以Cr计)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黄曲霉毒素M</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玉米赤霉醇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狄氏剂</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地塞米松</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三聚氰胺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发酵乳</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脂肪</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非脂乳固体</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蛋白质</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酸度</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乳酸菌数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铬(以Cr计)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黄曲霉毒素M</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三聚氰胺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乳酸菌数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β-胡萝卜素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酵母</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调制乳</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脂肪</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蛋白质</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铬(以Cr计)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黄曲霉毒素M</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玉米赤霉醇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β-胡萝卜素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维生素E( dl-α-生育酚, d-α-生育酚, 混合生育酚浓缩物)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三聚氰胺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乳制品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乳制品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乳清粉和乳清蛋白粉(企业原料)</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脱盐乳清粉、非脱盐乳清粉、浓缩乳清蛋白粉、分离乳清蛋白粉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蛋白质</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水分</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乳糖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黄曲霉毒素M</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三聚氰胺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乳粉</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全脂乳粉、脱脂乳粉、部分脱脂乳粉、调制乳粉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脂肪</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蛋白质</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水分</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复原乳酸度（除调制乳粉外）</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铬(以Cr计)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黄曲霉毒素M</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亚硝酸盐(以NaNO</w:t>
            </w:r>
            <w:r>
              <w:rPr>
                <w:rStyle w:val="144"/>
                <w:rFonts w:hint="default"/>
                <w:lang w:bidi="ar"/>
              </w:rPr>
              <w:t>2</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三聚氰胺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β-胡萝卜素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spacing w:line="168" w:lineRule="auto"/>
              <w:jc w:val="center"/>
              <w:rPr>
                <w:rFonts w:hint="eastAsia" w:ascii="宋体" w:hAnsi="宋体" w:cs="宋体"/>
                <w:color w:val="000000"/>
                <w:sz w:val="24"/>
              </w:rPr>
            </w:pP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其他乳制品(炼乳、奶油、干酪、固态成型产品)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淡炼乳、加糖炼乳和调制炼乳</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脂肪</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乳固体</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蛋白质</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水分</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酸度</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黄曲霉毒素M</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三聚氰胺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干酪(奶酪)、再制干酪</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干酪：铅（以Pb计）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黄曲霉毒素M</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三聚氰胺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单核细胞增生李斯特氏菌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酵母</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再制干酪：脂肪（干物中）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干物质含量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黄曲霉毒素M</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三聚氰胺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纳他霉素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单核细胞增生李斯特氏菌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酵母</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奶片、奶条等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黄曲霉毒素M</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三聚氰胺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稀奶油、奶油和无水奶油</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脂肪</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非脂乳固体</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水分</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酸度</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三聚氰胺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饮料</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饮料</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瓶(桶)装饮用水</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饮用天然矿泉水</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界限指标</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耗氧量(以O</w:t>
            </w:r>
            <w:r>
              <w:rPr>
                <w:rStyle w:val="144"/>
                <w:rFonts w:hint="default"/>
                <w:lang w:bidi="ar"/>
              </w:rPr>
              <w:t>2</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镍</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硒</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镍</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银</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氟化物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耗氧量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挥发酚（以苯酚计）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氰化物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阴离子合成洗涤剂</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氟化物(以F</w:t>
            </w:r>
            <w:r>
              <w:rPr>
                <w:rFonts w:hint="eastAsia" w:ascii="宋体" w:hAnsi="宋体" w:cs="宋体"/>
                <w:color w:val="000000"/>
                <w:kern w:val="0"/>
                <w:sz w:val="24"/>
                <w:vertAlign w:val="superscript"/>
                <w:lang w:bidi="ar"/>
              </w:rPr>
              <w:t>-</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氰化物(以CN</w:t>
            </w:r>
            <w:r>
              <w:rPr>
                <w:rFonts w:hint="eastAsia" w:ascii="宋体" w:hAnsi="宋体" w:cs="宋体"/>
                <w:color w:val="000000"/>
                <w:kern w:val="0"/>
                <w:sz w:val="24"/>
                <w:vertAlign w:val="superscript"/>
                <w:lang w:bidi="ar"/>
              </w:rPr>
              <w:t>-</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溴酸盐</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硝酸盐(以NO</w:t>
            </w:r>
            <w:r>
              <w:rPr>
                <w:rStyle w:val="144"/>
                <w:rFonts w:hint="default"/>
                <w:lang w:bidi="ar"/>
              </w:rPr>
              <w:t>3</w:t>
            </w:r>
            <w:r>
              <w:rPr>
                <w:rFonts w:hint="eastAsia" w:ascii="宋体" w:hAnsi="宋体" w:cs="宋体"/>
                <w:color w:val="000000"/>
                <w:kern w:val="0"/>
                <w:sz w:val="24"/>
                <w:vertAlign w:val="superscript"/>
                <w:lang w:bidi="ar"/>
              </w:rPr>
              <w:t>-</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亚硝酸盐(以NO</w:t>
            </w:r>
            <w:r>
              <w:rPr>
                <w:rStyle w:val="144"/>
                <w:rFonts w:hint="default"/>
                <w:lang w:bidi="ar"/>
              </w:rPr>
              <w:t>2</w:t>
            </w:r>
            <w:r>
              <w:rPr>
                <w:rFonts w:hint="eastAsia" w:ascii="宋体" w:hAnsi="宋体" w:cs="宋体"/>
                <w:color w:val="000000"/>
                <w:kern w:val="0"/>
                <w:sz w:val="24"/>
                <w:vertAlign w:val="superscript"/>
                <w:lang w:bidi="ar"/>
              </w:rPr>
              <w:t>-</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粪链球菌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产气荚膜梭菌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铜绿假单胞菌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饮料</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饮料</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瓶(桶)装饮用水</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饮用纯净水</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浑浊度</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耗氧量(以O</w:t>
            </w:r>
            <w:r>
              <w:rPr>
                <w:rStyle w:val="144"/>
                <w:rFonts w:hint="default"/>
                <w:lang w:bidi="ar"/>
              </w:rPr>
              <w:t>2</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亚硝酸盐(以NO</w:t>
            </w:r>
            <w:r>
              <w:rPr>
                <w:rStyle w:val="144"/>
                <w:rFonts w:hint="default"/>
                <w:lang w:bidi="ar"/>
              </w:rPr>
              <w:t>2</w:t>
            </w:r>
            <w:r>
              <w:rPr>
                <w:rFonts w:hint="eastAsia" w:ascii="宋体" w:hAnsi="宋体" w:cs="宋体"/>
                <w:color w:val="000000"/>
                <w:kern w:val="0"/>
                <w:sz w:val="24"/>
                <w:vertAlign w:val="superscript"/>
                <w:lang w:bidi="ar"/>
              </w:rPr>
              <w:t>-</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余氯(游离氯)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三氯甲烷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四氯化碳</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溴酸盐</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铜绿假单胞菌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其他饮用水</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浑浊度</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耗氧量(以O</w:t>
            </w:r>
            <w:r>
              <w:rPr>
                <w:rStyle w:val="144"/>
                <w:rFonts w:hint="default"/>
                <w:lang w:bidi="ar"/>
              </w:rPr>
              <w:t>2</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亚硝酸盐(以NO</w:t>
            </w:r>
            <w:r>
              <w:rPr>
                <w:rStyle w:val="144"/>
                <w:rFonts w:hint="default"/>
                <w:lang w:bidi="ar"/>
              </w:rPr>
              <w:t>2</w:t>
            </w:r>
            <w:r>
              <w:rPr>
                <w:rFonts w:hint="eastAsia" w:ascii="宋体" w:hAnsi="宋体" w:cs="宋体"/>
                <w:color w:val="000000"/>
                <w:kern w:val="0"/>
                <w:sz w:val="24"/>
                <w:vertAlign w:val="superscript"/>
                <w:lang w:bidi="ar"/>
              </w:rPr>
              <w:t>-</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余氯(游离氯)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三氯甲烷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四氯化碳</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溴酸盐</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挥发性酚(以苯酚计)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铜绿假单胞菌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果、蔬汁饮料</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果、蔬汁饮料</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展青霉素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邻苯基苯酚（限橙汁）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增效醚</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马拉硫磷（限番茄汁）</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合成着色剂（柠檬黄、诱惑红、赤藓红、亮蓝、日落黄、苋菜红、新红、胭脂红、酸性、红靛蓝)</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纳他霉素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安赛蜜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合成着色剂（赤藓红、酸性红、苋菜红、诱惑红、新红、胭脂红、柠檬黄、日落黄、亮蓝）</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酵母</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蛋白饮料</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蛋白饮料</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蛋白质</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氰化物(以HCN计)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三聚氰胺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安赛蜜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酵母</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碳酸饮料(汽水)</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碳酸饮料(汽水)</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二氧化碳气容量</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安赛蜜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咖啡因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阿斯巴甜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二氧化碳气容量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酵母</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茶饮料</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茶饮料</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茶多酚</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咖啡因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安赛蜜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茶多酚</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咖啡因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酵母</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固体饮料</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固体饮料</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蛋白质</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赭曲霉毒素A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安赛蜜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合成着色剂（柠檬黄、日落黄、苋菜红、胭脂红、诱惑红、亮蓝）</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饮料</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饮料</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其他饮料</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其他饮料</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安赛蜜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合成着色剂（赤藓红、苋菜红、新红、胭脂红、诱惑红、柠檬黄、日落黄、亮蓝）</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酵母</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7</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方便食品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方便食品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方便面</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油炸面、非油炸面、方便米粉（米线）、方便粉丝</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酸价（以脂肪计）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调味面制品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调味面制品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酸价（以脂肪计）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富马酸二甲酯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苏丹红I-IV</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其他方便食品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方便粥、方便盒饭、冷面及其他熟制方便食品等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酸价（以脂肪计）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8</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饼干</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饼干</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饼干</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饼干</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酸价（以脂肪计）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 xml:space="preserve"> 铅（以 Pb 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铝的残留量（干样品，以 Al 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三聚氰胺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丁基羟基茴香醚(BHA)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二丁基羟基甲苯（BHT)</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特丁基对苯二酚（TBHQ）</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没食子酸丙酯(PG)</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9</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罐头</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罐头</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畜禽水产罐头</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畜禽肉类罐头</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铬（以Cr计）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亚硝酸盐（以亚硝酸钠计）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水产动物类罐头</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组胺</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无机砷（以As计）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铬（以Cr计）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组胺（限鲐鱼罐头）</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乙二胺四乙酸二钠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9</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罐头</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罐头</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果蔬罐头</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水果类罐头</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展青霉素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合成着色剂（柠檬黄、日落黄、苋菜红、胭脂红、赤藓红、诱惑红、亮蓝、靛蓝）</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阿斯巴甜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蔬菜类罐头</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阿斯巴甜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乙二胺四乙酸二钠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霉菌计数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食用菌罐头</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乙二胺四乙酸二钠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其他罐头</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其他罐头</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阿斯巴甜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乙二胺四乙酸二钠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10</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冷冻饮品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冷冻饮品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冷冻饮品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冰淇淋、雪糕、雪泥、冰棍、食用冰、甜味冰、其他类</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蛋白质</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三聚氰胺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11</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速冻食品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速冻面米食品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速冻面米食品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水饺、元宵、馄饨等生制品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包子、馒头等熟制品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速冻其他食品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速冻谷物食品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玉米等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速冻肉制品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速冻调理肉制品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11</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速冻食品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速冻其他食品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速冻水产制品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速冻水产制品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无机砷（以As计）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N-二甲基亚硝胺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速冻蔬菜制品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速冻蔬菜制品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速冻水果制品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速冻水果制品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大肠埃希氏菌O157:H7</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12</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薯类和膨化食品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薯类和膨化食品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膨化食品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含油型膨化食品和非含油型膨化食品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水分</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酸价（以脂肪计）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薯类食品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干制薯类（马铃薯片）</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酸价（以脂肪计）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干制薯类（除马铃薯片外）</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冷冻薯类</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薯泥（酱）类</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薯粉类</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其他类</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13</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糖果制品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糖果制品(含巧克力及制品)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糖果</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糖果</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合成着色剂(柠檬黄、苋菜红、胭脂红、日落黄、赤藓红、亮蓝）</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相同色泽着色剂混合使用时各自用量占其最大使用量的比例之和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巧克力及巧克力制品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巧克力、巧克力制品、代可可脂巧克力及代可可脂巧克力制品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果冻</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果冻</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阿斯巴甜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酵母</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14</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茶叶及相关制品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茶叶</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茶叶</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绿茶、红茶、乌龙茶、黄茶、白茶、黑茶、花茶、袋泡茶、紧压茶</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苯醚甲环唑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吡虫啉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草甘膦</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除虫脲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哒螨灵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多菌灵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联苯菊酯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氯氟氰菊酯和高效氯氟氰菊酯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氯氰菊酯和高效氯氰菊酯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灭多威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噻虫嗪</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噻嗪酮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杀螟丹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三氯杀螨醇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氰戊菊酯和S-氰戊菊酯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啶虫脒</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吡蚜酮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敌百虫</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甲拌磷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氯唑磷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水胺硫磷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氧乐果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砖茶</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黑砖茶、花砖茶、茯砖茶、康砖茶、金尖茶、青砖茶、米砖茶等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苯醚甲环唑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吡虫啉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草甘膦</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除虫脲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哒螨灵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多菌灵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联苯菊酯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氯氟氰菊酯和高效氯氟氰菊酯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氯氰菊酯和高效氯氰菊酯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灭多威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噻虫嗪</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噻嗪酮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杀螟丹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三氯杀螨醇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氰戊菊酯和S-氰戊菊酯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啶虫脒</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吡蚜酮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敌百虫</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甲拌磷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氯唑磷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水胺硫磷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氧乐果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含茶制品和代用茶</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含茶制品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速溶茶类、其它含茶制品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乙酰甲胺磷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杀螟硫磷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代用茶</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代用茶</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敌敌畏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15</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酒类</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蒸馏酒</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白酒</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白酒、白酒(液态)、白酒(原酒)</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酒精度</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氰化物(以HCN计)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发酵酒</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黄酒</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黄酒</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酒精度</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啤酒</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啤酒</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酒精度</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甲醛</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警示语标注</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葡萄酒</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葡萄酒</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酒精度</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赭曲霉毒素A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纳他霉素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果酒</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果酒</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酒精度</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展青霉素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纳他霉素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其他酒</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其他发酵酒</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其他发酵酒</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酒精度</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纳他霉素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配制酒</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以蒸馏酒及食用酒精为酒基的配制酒</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酒精度</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氰化物(以HCN计)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合成着色剂(柠檬黄、日落黄、胭脂红、苋菜红、亮蓝、新红、赤藓红)</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以发酵酒为酒基的配制酒</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酒精度</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合成着色剂(柠檬黄、日落黄、胭脂红、苋菜红、亮蓝、新红、赤藓红)</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其他蒸馏酒</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其他蒸馏酒</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酒精度</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氰化物(以HCN计)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16</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蔬菜制品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蔬菜制品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酱腌菜</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酱腌菜</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亚硝酸盐（以NaNO</w:t>
            </w:r>
            <w:r>
              <w:rPr>
                <w:rStyle w:val="144"/>
                <w:rFonts w:hint="default"/>
                <w:lang w:bidi="ar"/>
              </w:rPr>
              <w:t>2</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苏丹红I-IV</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纽甜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蔬菜干制品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自然干制品、热风干燥蔬菜、冷冻干燥蔬菜、蔬菜脆片、蔬菜粉及制品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苏丹红I-IV</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食用菌制品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干制食用菌</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腌渍食用菌</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其他蔬菜制品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其他蔬菜制品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17</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水果制品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水果制品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果酱</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果酱</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展青霉素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水果干制品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水果干制品（含干枸杞）</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展青霉素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吡虫啉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17</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水果制品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水果制品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蜜饯</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蜜饯类、凉果类、果脯类、话化类、果糕类</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展青霉素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合成着色剂（亮蓝、日落黄、柠檬黄、胭脂红、苋菜红、赤藓红）</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相同色泽着色剂混合使用时各自用量占其最大使用量的比例之和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18</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炒货食品及坚果制品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炒货食品及坚果制品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炒货食品及坚果制品（ 烘炒类、油炸类、其他类）</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开心果、杏仁、松仁、瓜子</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酸价（以脂肪计）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纽甜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其他炒货食品及坚果制品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酸价（以脂肪计）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纽甜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19</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蛋制品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再制蛋</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再制蛋</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苏丹红I-IV</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干蛋类</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干蛋类</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冰蛋类</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冰蛋类</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其他类</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其他类</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苏丹红I-IV</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20</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可可及焙烤咖啡产品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焙炒咖啡</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焙炒咖啡</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焙炒咖啡</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咖啡因</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赭曲霉毒素A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可可制品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可可制品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可可制品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可可脂（以干物质计）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酵母</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21</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食糖</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食糖</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食糖</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白砂糖、绵白糖、赤砂糖、冰糖、方糖、冰片糖等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蔗糖分</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总糖分</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还原糖分</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色值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不溶于水杂质</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螨</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22</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水产制品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水产制品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干制水产品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藻类干制品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副溶血性弧菌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预制动物性水产干制品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无机砷（以As计）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N-二甲基亚硝胺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盐渍水产品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盐渍鱼</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组胺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无机砷（以As计）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N-二甲基亚硝胺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盐渍藻</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其他盐渍水产品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无机砷（以As计）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N-二甲基亚硝胺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鱼糜制品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预制鱼糜制品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挥发性盐基氮</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无机砷（以As计）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N-二甲基亚硝胺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熟制动物性水产制品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熟制动物性水产制品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无机砷（以As计）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N-二甲基亚硝胺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苯并[a]芘</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副溶血性弧菌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生食水产品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生食动物性水产品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挥发性盐基氮</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无机砷（以As计）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N-二甲基亚硝胺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苯并[a]芘</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铝的残留量（以即食海蜇中Al计）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副溶血性弧菌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吸虫囊蚴</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线虫幼虫</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绦虫裂头蚴</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22</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水产制品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水产制品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水生动物油脂及制品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水生动物油脂及制品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丁基羟基茴香醚（BHA）（以油脂中的含量计）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二丁基羟基甲苯（BHT）（以油脂中的含量计）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特丁基对苯二酚（TBHQ）（以油脂中的含量计）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没食子酸丙酯（PG）（以油脂中的含量计）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水产深加工品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水产深加工品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无机砷（以As计）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铬（以Cr计）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N-二甲基亚硝胺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副溶血性弧菌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23</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淀粉及淀粉制品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淀粉及淀粉制品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淀粉</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淀粉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氢氰酸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霉菌/霉菌和酵母</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淀粉制品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粉丝粉条等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铝的残留量(干样品，以Al计)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淀粉糖</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淀粉糖</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24</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糕点</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糕点</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糕点</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糕点</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酸价（以脂肪计）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富马酸二甲酯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苏丹红I-IV</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安赛蜜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铝的残留量（干样品，以Al计）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丙酸及其钠盐、钙盐(以丙酸计)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纳他霉素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月饼</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月饼</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酸价（以脂肪计）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 xml:space="preserve"> 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富马酸二甲酯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 xml:space="preserve"> 苏丹红I-IV</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铝的残留量（干样品，以Al计）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丙酸及其钠盐、钙盐(以丙酸计)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纳他霉素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粽子</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粽子</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粽子</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过氧化值（以脂肪计）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苏丹红I-IV</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安赛蜜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铝的残留量(干样品，以Al计)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25</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豆制品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豆制品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发酵性豆制品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腐乳、豆豉、纳豆等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丙酸及其钠盐钙盐(以丙酸计)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甜蜜素(以环己基氨基磺酸计)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铝的残留量（干样品,以Al计）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非发酵性豆制品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豆干、豆腐、豆皮等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脲酶试验</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丙酸及其钠盐钙盐(以丙酸计)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纳他霉素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铝的残留量（干样品,以Al计）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腐竹、油皮</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丙酸及其钠盐钙盐(以丙酸计)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铝的残留量（干样品,以Al计）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其他豆制品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大豆蛋白类制品等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脱氢乙酸及其钠盐(以脱氢乙酸计)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丙酸及其钠盐钙盐(以丙酸计)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三氯蔗糖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铝的残留量（干样品,以Al计）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防腐剂混合使用时各自用量占其最大使用量的比例之和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26</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蜂产品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蜂产品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蜂蜜</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蜂蜜</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果糖和葡萄糖</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蔗糖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双甲脒</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氟胺氰菊酯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霉菌计数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嗜渗酵母计数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蜂王浆（含蜂王浆冻干粉）</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蜂王浆（含蜂王浆冻干粉）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10-羟基-2-癸烯酸</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蛋白质</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淀粉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灰分</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酸度</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蜂花粉</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蜂花粉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蛋白质</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水分</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蜂产品制品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蜂产品制品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糖精钠（以糖精计）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霉菌计数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酵母计数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27</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保健食品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保健食品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保健食品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保健食品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功效/标志性成分</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水分</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可溶性固形物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铅（Pb）</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总砷（As）</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总汞（Hg）</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硬胶囊壳中的铬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西布曲明</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N-单去甲基西布曲明</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N，N-双去甲基西布曲明</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麻黄碱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芬氟拉明</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酚酞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呋塞米</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甲苯磺丁脲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格列本脲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格列齐特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格列吡嗪</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格列喹酮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格列美脲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马来酸罗格列酮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瑞格列奈</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盐酸吡格列酮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盐酸二甲双胍</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盐酸苯乙双胍</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盐酸丁二胍</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格列波脲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那红地那非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红地那非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伐地那非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羟基豪莫西地那非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西地那非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豪莫西地那非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氨基他达拉非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他达拉非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硫代艾地那非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伪伐地那非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那莫西地那非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地西泮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硝西泮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氯硝西泮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氯氮卓</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奥沙西泮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马来酸咪哒唑仑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劳拉西泮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艾司唑仑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阿普唑仑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三唑仑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巴比妥</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苯巴比妥</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异戊巴比妥</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司可巴比妥</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氯美扎酮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佐匹克隆</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氯苯那敏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扎来普隆</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文拉法辛</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青藤碱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罗通定</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阿替洛尔</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盐酸可乐定</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氢氯噻嗪</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卡托普利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哌唑嗪</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利血平</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硝苯地平</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氨氯地平</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尼群地平</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尼莫地平</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尼索地平</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非洛地平</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洛伐他汀</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辛伐他汀</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烟酸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霉菌和酵母</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28</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特殊膳食食品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婴幼儿辅助食品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婴幼儿谷类辅助食品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婴幼儿谷物辅助食品、婴幼儿高蛋白谷物辅助食品、婴幼儿生制类谷物辅助食品、婴幼儿饼干或其他婴幼儿谷物辅助食品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能量</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蛋白质</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脂肪</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亚油酸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月桂酸占总脂肪的比值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肉豆蔻酸占总脂肪的比值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维生素D</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钙</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维生素E</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2</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6</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12</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烟酸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叶酸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泛酸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维生素C</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生物素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碘</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钾</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水分</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不溶性膳食纤维</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脲酶活性定性测定</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无机砷（以As计）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锡（以Sn计）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硝酸盐（以NaNO</w:t>
            </w:r>
            <w:r>
              <w:rPr>
                <w:rStyle w:val="144"/>
                <w:rFonts w:hint="default"/>
                <w:lang w:bidi="ar"/>
              </w:rPr>
              <w:t>3</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亚硝酸盐（以NaNO</w:t>
            </w:r>
            <w:r>
              <w:rPr>
                <w:rStyle w:val="144"/>
                <w:rFonts w:hint="default"/>
                <w:lang w:bidi="ar"/>
              </w:rPr>
              <w:t>2</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婴幼儿罐装辅助食品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泥（糊）状罐装食品、颗粒状罐装食品、汁类罐装食品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蛋白质</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脂肪</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无机砷（以As计）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总汞（以Hg计）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锡（以Sn计）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硝酸盐（以NaNO</w:t>
            </w:r>
            <w:r>
              <w:rPr>
                <w:rStyle w:val="144"/>
                <w:rFonts w:hint="default"/>
                <w:lang w:bidi="ar"/>
              </w:rPr>
              <w:t>3</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亚硝酸盐（以NaNO</w:t>
            </w:r>
            <w:r>
              <w:rPr>
                <w:rStyle w:val="144"/>
                <w:rFonts w:hint="default"/>
                <w:lang w:bidi="ar"/>
              </w:rPr>
              <w:t>2</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霉菌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28</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特殊膳食食品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辅食营养补充品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辅食营养补充品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辅食营养素补充食品、辅食营养素补充片、辅食营养素撒剂</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蛋白质</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钙</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维生素D</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2</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钙</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维生素K</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烟酸(烟酰胺)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6</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叶酸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12</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泛酸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胆碱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生物素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维生素C</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二十二碳六烯酸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脲酶活性定性</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黄曲霉毒素M</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硝酸盐（以NaNO</w:t>
            </w:r>
            <w:r>
              <w:rPr>
                <w:rStyle w:val="144"/>
                <w:rFonts w:hint="default"/>
                <w:lang w:bidi="ar"/>
              </w:rPr>
              <w:t>3</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亚硝酸盐（以NaNO</w:t>
            </w:r>
            <w:r>
              <w:rPr>
                <w:rStyle w:val="144"/>
                <w:rFonts w:hint="default"/>
                <w:lang w:bidi="ar"/>
              </w:rPr>
              <w:t>2</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29</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特殊医学用途配方食品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特殊医学用途配方食品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特殊医学用途婴儿配方食品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特殊医学用途婴儿配方食品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蛋白质</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脂肪</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亚油酸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α-亚麻酸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亚油酸与α-亚麻酸比值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终产品脂肪中月桂酸和肉豆蔻酸（十四烷酸）总量与总脂肪酸的比值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芥酸与总脂肪酸的比值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反式脂肪酸最高含量与总脂肪酸的比值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碳水化合物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维生素D</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维生素E</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维生素K</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2</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6</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12</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烟酸（烟酰胺）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叶酸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泛酸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维生素C</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生物素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钾</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钙</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钙磷比值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碘</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硒</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胆碱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肌醇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牛磺酸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左旋肉碱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二十二碳六烯酸与总脂肪酸比</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二十碳四烯酸与总脂肪酸比</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二十二碳六烯酸（22:6n-3）与二十碳四烯酸（20:4n-6）的比</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长链不饱和脂肪酸中二十碳五烯酸（20:5n-3）的量与二十二碳六烯酸的量的比</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二十二碳六烯酸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二十碳四烯酸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水分</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灰分</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杂质度</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脲酶活性定性测定</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核苷酸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叶黄素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黄曲霉毒素M</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硝酸盐（以NaNO</w:t>
            </w:r>
            <w:r>
              <w:rPr>
                <w:rStyle w:val="144"/>
                <w:rFonts w:hint="default"/>
                <w:lang w:bidi="ar"/>
              </w:rPr>
              <w:t>3</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亚硝酸盐（以NaNO</w:t>
            </w:r>
            <w:r>
              <w:rPr>
                <w:rStyle w:val="144"/>
                <w:rFonts w:hint="default"/>
                <w:lang w:bidi="ar"/>
              </w:rPr>
              <w:t>2</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三聚氰胺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阪崎肠杆菌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特殊医学用途配方食品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全营养配方食品、特定全营养配方食品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蛋白质</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亚油酸供能比</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α-亚麻酸供能比</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维生素D</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维生素E</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维生素K</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2</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6</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12</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烟酸（烟酰胺）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叶酸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泛酸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维生素C</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生物素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钾</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钙</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碘</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硒</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胆碱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肌醇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牛磺酸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左旋肉碱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二十二碳六烯酸与总脂肪酸比</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二十碳四烯酸与总脂肪酸比</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二十二碳六烯酸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二十碳四烯酸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核苷酸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叶黄素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黄曲霉毒素M</w:t>
            </w:r>
            <w:r>
              <w:rPr>
                <w:rStyle w:val="144"/>
                <w:rFonts w:hint="default"/>
                <w:lang w:bidi="ar"/>
              </w:rPr>
              <w:t>1</w:t>
            </w:r>
            <w:r>
              <w:rPr>
                <w:rStyle w:val="143"/>
                <w:rFonts w:hint="default"/>
                <w:lang w:bidi="ar"/>
              </w:rPr>
              <w:t>或黄曲霉毒素B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硝酸盐（以NaNO</w:t>
            </w:r>
            <w:r>
              <w:rPr>
                <w:rStyle w:val="144"/>
                <w:rFonts w:hint="default"/>
                <w:lang w:bidi="ar"/>
              </w:rPr>
              <w:t>3</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亚硝酸盐（以NaNO</w:t>
            </w:r>
            <w:r>
              <w:rPr>
                <w:rStyle w:val="144"/>
                <w:rFonts w:hint="default"/>
                <w:lang w:bidi="ar"/>
              </w:rPr>
              <w:t>2</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三聚氰胺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商业无菌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30</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婴幼儿配方食品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婴幼儿配方食品（湿法工艺、干法工艺、干湿法混合工艺）</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婴儿配方食品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乳基婴儿配方食品、豆基婴儿配方食品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蛋白质</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脂肪</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碳水化合物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乳糖占碳水化合物总量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亚油酸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α-亚麻酸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亚油酸与α-亚麻酸比值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终产品脂肪中月桂酸和肉豆蔻酸（十四烷酸）总量占总脂肪酸的比值量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芥酸与总脂肪酸比值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反式脂肪酸与总脂肪酸比值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维生素D</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维生素E</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维生素K</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2</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6</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12</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烟酸（烟酰胺）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叶酸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泛酸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维生素C</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生物素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钾</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钙</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钙磷比值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碘</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硒</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胆碱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肌醇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牛磺酸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左旋肉碱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二十二碳六烯酸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二十碳四烯酸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二十二碳六烯酸与总脂肪酸比</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二十碳四烯酸与总脂肪酸比</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二十二碳六烯酸（22:6n-3）与二十碳四烯酸（20:4n-6）的比</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长链不饱和脂肪酸中二十碳五烯酸（20:5n-3）的量与二十二碳六烯酸的量的比</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水分</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灰分</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杂质度</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叶黄素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脲酶活性定性测定</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核苷酸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黄曲霉毒素M</w:t>
            </w:r>
            <w:r>
              <w:rPr>
                <w:rStyle w:val="144"/>
                <w:rFonts w:hint="default"/>
                <w:lang w:bidi="ar"/>
              </w:rPr>
              <w:t>1</w:t>
            </w:r>
            <w:r>
              <w:rPr>
                <w:rStyle w:val="143"/>
                <w:rFonts w:hint="default"/>
                <w:lang w:bidi="ar"/>
              </w:rPr>
              <w:t>或黄曲霉毒素B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硝酸盐（以NaNO</w:t>
            </w:r>
            <w:r>
              <w:rPr>
                <w:rStyle w:val="144"/>
                <w:rFonts w:hint="default"/>
                <w:lang w:bidi="ar"/>
              </w:rPr>
              <w:t>3</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亚硝酸盐（以NaNO</w:t>
            </w:r>
            <w:r>
              <w:rPr>
                <w:rStyle w:val="144"/>
                <w:rFonts w:hint="default"/>
                <w:lang w:bidi="ar"/>
              </w:rPr>
              <w:t>2</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三聚氰胺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金黄色葡萄球菌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阪崎肠杆菌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30</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婴幼儿配方食品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婴幼儿配方食品（湿法工艺、干法工艺、干湿法混合工艺）</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较大婴儿和幼儿配方食品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乳基较大婴儿和幼儿配方食品、豆基较大婴儿和幼儿配方食品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蛋白质</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脂肪</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亚油酸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维生素D</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维生素E</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维生素K</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2</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6</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维生素B</w:t>
            </w:r>
            <w:r>
              <w:rPr>
                <w:rStyle w:val="144"/>
                <w:rFonts w:hint="default"/>
                <w:lang w:bidi="ar"/>
              </w:rPr>
              <w:t>12</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烟酸（烟酰胺）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叶酸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泛酸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维生素C</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生物素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钾</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钙</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钙磷比值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碘</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硒</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胆碱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肌醇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牛磺酸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左旋肉碱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二十二碳六烯酸与总脂肪酸比</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二十碳四烯酸与总脂肪酸比</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二十二碳六烯酸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二十碳四烯酸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反式脂肪酸与总脂肪酸比值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水分</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灰分</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杂质度</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叶黄素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脲酶活性定性测定</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核苷酸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黄曲霉毒素M</w:t>
            </w:r>
            <w:r>
              <w:rPr>
                <w:rStyle w:val="144"/>
                <w:rFonts w:hint="default"/>
                <w:lang w:bidi="ar"/>
              </w:rPr>
              <w:t>1</w:t>
            </w:r>
            <w:r>
              <w:rPr>
                <w:rStyle w:val="143"/>
                <w:rFonts w:hint="default"/>
                <w:lang w:bidi="ar"/>
              </w:rPr>
              <w:t>或黄曲霉毒素B</w:t>
            </w:r>
            <w:r>
              <w:rPr>
                <w:rStyle w:val="144"/>
                <w:rFonts w:hint="default"/>
                <w:lang w:bidi="ar"/>
              </w:rPr>
              <w:t>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硝酸盐（以NaNO</w:t>
            </w:r>
            <w:r>
              <w:rPr>
                <w:rStyle w:val="144"/>
                <w:rFonts w:hint="default"/>
                <w:lang w:bidi="ar"/>
              </w:rPr>
              <w:t>3</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亚硝酸盐（以NaNO</w:t>
            </w:r>
            <w:r>
              <w:rPr>
                <w:rStyle w:val="144"/>
                <w:rFonts w:hint="default"/>
                <w:lang w:bidi="ar"/>
              </w:rPr>
              <w:t>2</w:t>
            </w:r>
            <w:r>
              <w:rPr>
                <w:rStyle w:val="143"/>
                <w:rFonts w:hint="default"/>
                <w:lang w:bidi="ar"/>
              </w:rPr>
              <w:t>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三聚氰胺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沙门氏菌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31</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餐饮食品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米面及其制品(自制)</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小麦粉制品(自制)</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发酵面制品(自制)</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甲醛次硫酸氢钠(以甲醛计)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油炸面制品(自制)</w:t>
            </w:r>
          </w:p>
        </w:tc>
        <w:tc>
          <w:tcPr>
            <w:tcW w:w="567"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铝的残留量(干样品,以Al计)</w:t>
            </w:r>
          </w:p>
        </w:tc>
        <w:tc>
          <w:tcPr>
            <w:tcW w:w="850" w:type="dxa"/>
            <w:vAlign w:val="center"/>
          </w:tcPr>
          <w:p>
            <w:pPr>
              <w:spacing w:line="168" w:lineRule="auto"/>
              <w:jc w:val="center"/>
              <w:rPr>
                <w:rFonts w:hint="eastAsia" w:ascii="宋体" w:hAnsi="宋体" w:cs="宋体"/>
                <w:color w:val="000000"/>
                <w:sz w:val="24"/>
              </w:rPr>
            </w:pPr>
          </w:p>
        </w:tc>
        <w:tc>
          <w:tcPr>
            <w:tcW w:w="1056" w:type="dxa"/>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肉制品(自制)</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熟肉制品(自制)</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酱卤肉制品、肉灌肠、其他熟肉(自制)</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铬(以Cr计)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胭脂红</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亚硝酸盐(以亚硝酸钠计)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苯甲酸及其钠盐(以苯甲酸计)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山梨酸及其钾盐(以山梨酸计)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肉冻、皮冻(自制)</w:t>
            </w:r>
          </w:p>
        </w:tc>
        <w:tc>
          <w:tcPr>
            <w:tcW w:w="567"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铬(以Cr计)</w:t>
            </w:r>
          </w:p>
        </w:tc>
        <w:tc>
          <w:tcPr>
            <w:tcW w:w="850" w:type="dxa"/>
            <w:vAlign w:val="center"/>
          </w:tcPr>
          <w:p>
            <w:pPr>
              <w:spacing w:line="168" w:lineRule="auto"/>
              <w:jc w:val="center"/>
              <w:rPr>
                <w:rFonts w:hint="eastAsia" w:ascii="宋体" w:hAnsi="宋体" w:cs="宋体"/>
                <w:color w:val="000000"/>
                <w:sz w:val="24"/>
              </w:rPr>
            </w:pPr>
          </w:p>
        </w:tc>
        <w:tc>
          <w:tcPr>
            <w:tcW w:w="1056" w:type="dxa"/>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复合调味料(自制)</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半固态调味料(自制)</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火锅调味料(底料、蘸料)(自制)</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罂粟碱</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吗啡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可待因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那可丁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蒂巴因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其他餐饮食品</w:t>
            </w:r>
          </w:p>
        </w:tc>
        <w:tc>
          <w:tcPr>
            <w:tcW w:w="709"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其他餐饮食品</w:t>
            </w:r>
          </w:p>
        </w:tc>
        <w:tc>
          <w:tcPr>
            <w:tcW w:w="1276"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其他餐饮食品</w:t>
            </w:r>
          </w:p>
        </w:tc>
        <w:tc>
          <w:tcPr>
            <w:tcW w:w="567"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各省自定项目</w:t>
            </w:r>
          </w:p>
        </w:tc>
        <w:tc>
          <w:tcPr>
            <w:tcW w:w="850" w:type="dxa"/>
            <w:vAlign w:val="center"/>
          </w:tcPr>
          <w:p>
            <w:pPr>
              <w:spacing w:line="168" w:lineRule="auto"/>
              <w:jc w:val="center"/>
              <w:rPr>
                <w:rFonts w:hint="eastAsia" w:ascii="宋体" w:hAnsi="宋体" w:cs="宋体"/>
                <w:color w:val="000000"/>
                <w:sz w:val="24"/>
              </w:rPr>
            </w:pPr>
          </w:p>
        </w:tc>
        <w:tc>
          <w:tcPr>
            <w:tcW w:w="1056" w:type="dxa"/>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32</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食品添加剂</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食品添加剂</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增稠剂</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明胶</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凝冻强度（6.67%）</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铬（Cr）</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铅（Pb）</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总砷（As）</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复配食品添加剂</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复配膨松剂</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重金属（以Pb计）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砷（As）</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溴酸钾</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复配食品添加剂（用于小麦粉）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较高</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铅（Pb）</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溴酸钾</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致病性微生物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复配食品添加剂（其他）</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铅（Pb）</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砷（以As计）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致病性微生物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食品用香精</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食品用香精</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重金属（以Pb计）含量</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砷（以As计）含量/无机砷含量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菌落总数</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防腐剂</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山梨酸钾</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Style w:val="143"/>
                <w:rFonts w:hint="default"/>
                <w:lang w:bidi="ar"/>
              </w:rPr>
              <w:t>山梨酸钾（以C</w:t>
            </w:r>
            <w:r>
              <w:rPr>
                <w:rStyle w:val="144"/>
                <w:rFonts w:hint="default"/>
                <w:lang w:bidi="ar"/>
              </w:rPr>
              <w:t>6</w:t>
            </w:r>
            <w:r>
              <w:rPr>
                <w:rStyle w:val="143"/>
                <w:rFonts w:hint="default"/>
                <w:lang w:bidi="ar"/>
              </w:rPr>
              <w:t>H</w:t>
            </w:r>
            <w:r>
              <w:rPr>
                <w:rStyle w:val="144"/>
                <w:rFonts w:hint="default"/>
                <w:lang w:bidi="ar"/>
              </w:rPr>
              <w:t>7</w:t>
            </w:r>
            <w:r>
              <w:rPr>
                <w:rStyle w:val="143"/>
                <w:rFonts w:hint="default"/>
                <w:lang w:bidi="ar"/>
              </w:rPr>
              <w:t>KO</w:t>
            </w:r>
            <w:r>
              <w:rPr>
                <w:rStyle w:val="144"/>
                <w:rFonts w:hint="default"/>
                <w:lang w:bidi="ar"/>
              </w:rPr>
              <w:t>2</w:t>
            </w:r>
            <w:r>
              <w:rPr>
                <w:rStyle w:val="143"/>
                <w:rFonts w:hint="default"/>
                <w:lang w:bidi="ar"/>
              </w:rPr>
              <w:t>计）（以干基计）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重金属（以Pb计）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铅（Pb）</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砷（As）</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甜味剂</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木糖醇</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一般</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木糖醇含量（以干基计）</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还原糖（以葡萄糖计）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铅（Pb）</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镍（Ni）</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33</w:t>
            </w:r>
          </w:p>
        </w:tc>
        <w:tc>
          <w:tcPr>
            <w:tcW w:w="638"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32</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食用农产品</w:t>
            </w: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畜禽肉及副产品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畜禽肉</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畜肉</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克伦特罗</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沙丁胺醇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莱克多巴胺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西玛特罗</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恩诺沙星</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达氟沙星</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氟甲喹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呋喃唑酮代谢物（限猪肉）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呋喃它酮代谢物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呋喃西林代谢物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呋喃妥因代谢物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强力霉素（限牛肌肉猪肉）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土霉素（限肌肉）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金霉素（限肌肉）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四环素（限肌肉）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林可霉素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红霉素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替米考星</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甲砜霉素（限猪牛羊）</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氟苯尼考</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磺胺类（总量）</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氯丙嗪</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地塞米松</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喹乙醇代谢物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庆大霉素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挥发性盐基氮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五氯酚酸钠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禽肉</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恩诺沙星</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达氟沙星</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氟甲喹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沙拉沙星</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呋喃唑酮代谢物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呋喃它酮代谢物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呋喃西林代谢物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呋喃妥因代谢物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强力霉素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土霉素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四环素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林可霉素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红霉素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替米考星</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甲砜霉素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氟苯尼考</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己烯雌酚</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磺胺类（总量）</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尼卡巴嗪</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挥发性盐基氮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五氯酚酸钠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畜禽副产品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畜内脏</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克伦特罗</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沙丁胺醇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莱克多巴胺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西玛特罗</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恩诺沙星</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达氟沙星</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氟甲喹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呋喃唑酮代谢物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呋喃它酮代谢物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呋喃西林代谢物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呋喃妥因代谢物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强力霉素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土霉素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四环素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林可霉素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甲砜霉素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氟苯尼考</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磺胺类（总量）</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地塞米松</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五氯酚酸钠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禽内脏</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恩诺沙星</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达氟沙星</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氟甲喹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沙拉沙星</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呋喃唑酮代谢物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呋喃它酮代谢物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呋喃西林代谢物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呋喃妥因代谢物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强力霉素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土霉素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四环素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林可霉素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甲砜霉素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氟苯尼考</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磺胺类（总量）</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五氯酚酸钠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蔬菜</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蔬菜</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鳞茎类蔬菜（韭菜）</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吡虫啉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敌敌畏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毒死蜱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多菌灵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二甲戊灵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氟苯脲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氟氯氰菊酯和高效氟氯氰菊酯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腐霉利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甲基异柳磷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甲萘威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久效磷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磷胺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氯氟氰菊酯和高效氯氟氰菊酯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七氯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杀螟硫磷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涕灭威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辛硫磷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氧乐果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乙酰甲胺磷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治螟磷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氯氰菊酯和高效氯氰菊酯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地虫硫磷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氟虫腈</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氯唑磷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甲拌磷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内吸磷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阿维菌素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倍硫磷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敌百虫</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丁硫克百威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芸薹属类蔬菜（结球甘蓝）</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吡虫啉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丙溴磷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除虫脲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敌敌畏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啶虫脒</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毒死蜱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二甲戊灵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氟铃脲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氟氯氰菊酯和高效氟氯氰菊酯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氟氰戊菊酯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甲基毒死蜱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甲基异柳磷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甲萘威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甲霜灵和精甲霜灵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久效磷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联苯菊酯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磷胺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氯氟氰菊酯和高效氯氟氰菊酯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马拉硫磷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灭多威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灭幼脲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内吸磷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七氯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氰戊菊酯和S-氰戊菊酯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三唑磷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三唑酮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杀螟硫磷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五氯硝基苯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涕灭威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辛硫磷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氧乐果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依维菌素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乙酰甲胺磷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治螟磷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地虫硫磷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甲拌磷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氯氰菊酯和高效氯氰菊酯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氯唑磷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甲胺基阿维菌素苯甲酸盐</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戊唑醇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烯酰吗啉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氟虫腈</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氟吡甲禾灵和高效氟吡甲禾灵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甲硫威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苯醚甲环唑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芸薹属类蔬菜（花椰菜）</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苯醚甲环唑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除虫脲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敌敌畏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毒死蜱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氟胺氰菊酯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氟氯氰菊酯和高效氟氯氰菊酯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氟氰戊菊酯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甲基异柳磷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甲萘威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久效磷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联苯菊酯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磷胺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氯氟氰菊酯和高效氯氟氰菊酯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马拉硫磷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灭多威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灭幼脲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七氯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氰戊菊酯和S-氰戊菊酯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杀螟硫磷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涕灭威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五氯硝基苯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辛硫磷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氧乐果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乙酰甲胺磷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治螟磷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氯氰菊酯和高效氯氰菊酯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地虫硫磷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甲拌磷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氯唑磷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内吸磷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阿维菌素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倍硫磷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敌百虫</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甲硫威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甲霜灵和精甲霜灵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精噁唑禾草灵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戊唑醇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叶菜类蔬菜（菠菜）</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百菌清</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除虫脲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敌敌畏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毒死蜱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二甲戊灵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甲基异柳磷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久效磷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磷胺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氧乐果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治螟磷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甲萘威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辛硫磷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乙酰甲胺磷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七氯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氟胺氰菊酯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氟苯脲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氟氯氰菊酯和高效氟氯氰菊酯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氯氟氰菊酯和高效氯氟氰菊酯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马拉硫磷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醚菊酯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氰戊菊酯和S-氰戊菊酯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炔螨特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杀螟硫磷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涕灭威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氯氰菊酯和高效氯氰菊酯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地虫硫磷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氟虫腈</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氯唑磷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内吸磷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甲拌磷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虫酰肼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敌百虫</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丁硫克百威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甲霜灵和精甲霜灵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增效醚</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叶菜类蔬菜（芹菜）</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吡虫啉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虫酰肼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敌百虫</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敌敌畏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地虫硫磷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毒死蜱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二甲戊灵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氟胺氰菊酯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氟苯脲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氟氯氰菊酯和高效氟氯氰菊酯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甲基异柳磷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甲萘威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久效磷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磷胺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氯氟氰菊酯和高效氯氟氰菊酯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氯唑磷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马拉硫磷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内吸磷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七氯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杀螟硫磷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涕灭威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辛硫磷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氧乐果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乙酰甲胺磷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治螟磷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甲拌磷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倍硫磷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氯氰菊酯和高效氯氰菊酯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氟虫腈</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阿维菌素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丁硫克百威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叶菜类蔬菜（普通白菜（青菜油菜小白菜））</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百菌清</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除虫脲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敌敌畏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啶虫脒</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毒死蜱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二甲戊灵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氟胺氰菊酯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氟苯脲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氟氯氰菊酯和高效氟氯氰菊酯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甲基异柳磷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甲萘威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久效磷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磷胺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氯氟氰菊酯和高效氯氟氰菊酯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马拉硫磷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七氯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氰戊菊酯和S-氰戊菊酯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炔螨特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杀螟硫磷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涕灭威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辛硫磷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氧乐果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乙酰甲胺磷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治螟磷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氯氰菊酯和高效氯氰菊酯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地虫硫磷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氟虫腈</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甲拌磷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氯唑磷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内吸磷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阿维菌素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倍硫磷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虫酰肼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敌百虫</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丁硫克百威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茄果类蔬菜（茄子）</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2,4-滴</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百菌清</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吡虫啉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敌敌畏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氟氯氰菊酯和高效氟氯氰菊酯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氟氰戊菊酯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氟酰脲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腐霉利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甲基硫菌灵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甲基异柳磷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甲萘威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久效磷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联苯菊酯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磷胺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氯氟氰菊酯和高效氯氟氰菊酯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马拉硫磷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嘧菌环胺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七氯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氰戊菊酯和S-氰戊菊酯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三唑酮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杀螟硫磷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双甲脒</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霜霉威和霜霉威盐酸盐</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涕灭威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五氯硝基苯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辛硫磷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氧乐果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乙酰甲胺磷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治螟磷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氯氰菊酯和高效氯氰菊酯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地虫硫磷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甲拌磷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氯唑磷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内吸磷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倍硫磷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敌百虫</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丁硫克百威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噻螨酮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三唑酮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戊唑醇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烯酰吗啉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茄果类蔬菜（辣椒）</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2,4-滴</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百菌清</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丙溴磷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敌敌畏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多菌灵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氟氯氰菊酯和高效氟氯氰菊酯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氟氰戊菊酯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氟酰脲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腐霉利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甲基硫菌灵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甲基异柳磷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甲萘威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久效磷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联苯菊酯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磷胺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氯氟氰菊酯和高效氯氟氰菊酯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马拉硫磷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七氯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氰戊菊酯和S-氰戊菊酯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三唑酮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杀螟硫磷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双甲脒</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涕灭威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五氯硝基苯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辛硫磷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氧乐果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乙烯利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乙酰甲胺磷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治螟磷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氯氰菊酯和高效氯氰菊酯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甲拌磷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地虫硫磷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氯唑磷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内吸磷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倍硫磷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虫酰肼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哒螨灵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敌百虫</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丁硫克百威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甲霜灵和精甲霜灵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联苯肼酯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咪鲜胺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三唑醇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烯酰吗啉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增效醚</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茄果类蔬菜（番茄）</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2,4-滴</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百菌清</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倍硫磷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苯丁锡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吡虫啉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丙溴磷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虫酰肼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敌百虫</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敌敌畏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敌菌灵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地虫硫磷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啶虫脒</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毒死蜱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多菌灵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恶唑菌酮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氟喹唑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氟氯氰菊酯和高效氟氯氰菊酯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氟氰戊菊酯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福美双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腐霉利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己唑醇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甲苯服磺胺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甲基硫菌灵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甲基异柳磷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甲萘威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甲霜灵和精甲霜灵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久效磷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联苯菊酯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磷胺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氯氟氰菊酯和高效氯氟氰菊酯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氯唑磷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马拉硫磷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嘧菌环胺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嘧霉胺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灭菌丹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内吸磷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七氯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氰戊菊酯和S-氰戊菊酯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噻螨酮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噻嗪酮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三唑醇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三唑酮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杀螟硫磷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霜霉威和霜霉威盐酸盐</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涕灭威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五氯硝基苯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戊菌唑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烯草酮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烯酰吗啉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辛硫磷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氧乐果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乙烯利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乙酰甲胺磷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异菌脲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增效醚</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治螟磷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甲拌磷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氯氰菊酯和高效氯氰菊酯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阿维菌素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丙森锌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丁硫克百威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甲胺基阿维菌素苯甲酸盐</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乙霉威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蝇毒磷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瓜类蔬菜（黄瓜）</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百菌清</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苯丁锡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虫螨腈</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敌敌畏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敌菌灵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啶虫脒</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啶酰菌胺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毒死蜱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多菌灵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惡霜灵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福美双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腐霉利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甲基异柳磷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甲萘威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久效磷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磷胺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氯吡脲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氯氟氰菊酯和高效氯氟氰菊酯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马拉硫磷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嘧菌环胺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嘧菌酯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七氯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嗪氨灵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氰霜唑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氰戊菊酯和S-氰戊菊酯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三唑酮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杀螟硫磷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双甲脒</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霜霉威和霜霉威盐酸盐</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涕灭威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辛硫磷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氧乐果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乙烯菌核利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乙酰甲胺磷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异丙威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异菌脲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治螟磷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氯唑磷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内吸磷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甲拌磷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倍硫磷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苯酰菌胺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丙森锌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敌百虫</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地虫硫磷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丁硫克百威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噁唑菌酮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氟喹唑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氟菌唑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甲胺基阿维菌素苯甲酸盐</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甲霜灵和精甲霜灵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克菌丹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氯氰菊酯和高效氯氰菊酯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咪鲜胺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嘧霉胺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灭菌丹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噻虫嗪</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噻螨酮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三唑醇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戊菌唑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戊唑醇</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烯酰吗啉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溴螨酯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抑霉唑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增效醚</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豆类蔬菜（豇豆）</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敌敌畏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甲基异柳磷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甲萘威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久效磷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磷胺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氯氟氰菊酯和高效氯氟氰菊酯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马拉硫磷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嘧菌环胺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七氯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杀螟硫磷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涕灭威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辛硫磷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氧乐果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乙酰甲胺磷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治螟磷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氯氰菊酯和高效氯氰菊酯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地虫硫磷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氯唑磷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内吸磷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甲拌磷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阿维菌素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倍硫磷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敌百虫</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豆类蔬菜（菜豆）</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敌敌畏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毒死蜱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多菌灵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氟酰脲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甲基异柳磷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甲萘威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久效磷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磷胺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氯氟氰菊酯和高效氯氟氰菊酯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马拉硫磷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嘧菌环胺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七氯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嗪氨灵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杀螟硫磷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涕灭威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五氯硝基苯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辛硫磷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氧乐果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乙酰甲胺磷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治螟磷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氯氰菊酯和高效氯氰菊酯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地虫硫磷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甲拌磷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内吸磷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阿维菌素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敌百虫</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氯唑磷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嘧霉胺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溴螨酯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根茎类和薯芋类蔬菜（马铃薯）</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2,4-滴</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丙溴磷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敌草快</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敌敌畏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氟苯脲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氟氯氰菊酯和高效氟氯氰菊酯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氟氰戊菊酯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氟酰脲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甲基异柳磷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甲萘威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久效磷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联苯菊酯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磷胺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氯氟氰菊酯和高效氯氟氰菊酯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马拉硫磷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嘧菌酯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七氯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氰戊菊酯和S-氰戊菊酯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噻节因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噻菌灵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杀螟硫磷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杀线威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霜霉威和霜霉威盐酸盐</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涕灭威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五氯硝基苯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辛硫磷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氧乐果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乙酰甲胺磷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治螟磷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氯氰菊酯和高效氯氰菊酯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地虫硫磷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甲拌磷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内吸磷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阿维菌素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倍硫磷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苯霜灵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苯酰菌胺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敌百虫</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甲基立枯磷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甲硫威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甲霜灵和精甲霜灵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精二甲吩草胺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克菌丹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氯苯胺灵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氯唑磷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嘧霉胺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灭菌丹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四氯硝基苯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烯草酮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烯酰吗啉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抑霉唑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增效醚</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根茎类和薯芋类蔬菜（生姜）</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敌敌畏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甲基异柳磷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甲萘威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久效磷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联苯菊酯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磷胺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氯氟氰菊酯和高效氯氟氰菊酯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七氯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杀螟硫磷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涕灭威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辛硫磷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氧乐果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乙酰甲胺磷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治螟磷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地虫硫磷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甲拌磷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氯唑磷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内吸磷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倍硫磷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敌百虫</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增效醚</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氯氰菊酯和高效氯氰菊酯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蔬菜</w:t>
            </w: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鲜食用菌</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荧光增白物质</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米酵菌酸</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2,4-滴</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百菌清</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除虫脲</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代森锰锌</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氟氯氰菊酯和高效氟氯氰菊酯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氟氰戊菊酯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腐霉利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马拉硫磷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氰戊菊酯和S-氰戊菊酯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噻菌灵</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五氯硝基苯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氯氰菊酯和高效氯氰菊酯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氯氟氰菊酯和高效氯氟氰菊酯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甲胺基阿维菌素苯甲酸盐</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咪鲜胺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双甲脒</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豆芽</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总砷</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1"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亚硫酸盐</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6-苄基腺嘌呤（6-BA）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水产品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淡水产品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淡水鱼</w:t>
            </w: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挥发性盐基氮</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无机砷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多氯联苯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孔雀石绿</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甲砜霉素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氟苯尼考</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呋喃唑酮代谢物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呋喃它酮代谢物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呋喃西林代谢物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呋喃妥因代谢物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恩诺沙星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达氟沙星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双氟沙星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沙拉沙星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氟罗沙星</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司帕沙星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噁喹酸</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四环素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土霉素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磺胺类（总量）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雌二醇</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己烯雌酚</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甲基睾丸酮</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丙酸睾酮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群勃龙</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喹乙醇代谢物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苯唑西林</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红霉素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氯丙嗪</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地西泮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甲硝唑</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地美硝唑</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洛硝哒唑</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羟基甲硝唑</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淡水虾</w:t>
            </w: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挥发性盐基氮</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无机砷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多氯联苯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孔雀石绿</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氟苯尼考</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呋喃唑酮代谢物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呋喃它酮代谢物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呋喃西林代谢物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呋喃妥因代谢物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恩诺沙星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达氟沙星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双氟沙星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氟罗沙星</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司帕沙星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四环素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土霉素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磺胺类（总量）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雌二醇</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己烯雌酚</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甲基睾丸酮</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丙酸睾酮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群勃龙</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喹乙醇代谢物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红霉素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氯丙嗪</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地西泮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甲硝唑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地美硝唑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洛硝哒唑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羟基甲硝唑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淡水蟹</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无机砷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多氯联苯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孔雀石绿</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氟苯尼考</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呋喃唑酮代谢物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呋喃它酮代谢物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呋喃西林代谢物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呋喃妥因代谢物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恩诺沙星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达氟沙星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双氟沙星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氟罗沙星</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司帕沙星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四环素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土霉素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磺胺类（总量）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雌二醇</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己烯雌酚</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甲基睾丸酮</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丙酸睾酮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群勃龙</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喹乙醇代谢物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红霉素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氯丙嗪</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地西泮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甲硝唑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地美硝唑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洛硝哒唑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羟基甲硝唑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海水产品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海水鱼</w:t>
            </w: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挥发性盐基氮</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组胺</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无机砷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多氯联苯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孔雀石绿</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甲砜霉素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氟苯尼考</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呋喃唑酮代谢物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呋喃它酮代谢物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呋喃西林代谢物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呋喃妥因代谢物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恩诺沙星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达氟沙星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双氟沙星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沙拉沙星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氟罗沙星</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司帕沙星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噁唑酸</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四环素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土霉素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磺胺类（总量）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雌二醇</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己烯雌酚</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甲基睾丸酮</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丙酸睾酮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群勃龙</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喹乙醇代谢物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苯唑西林</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红霉素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氯丙嗪</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地西泮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甲硝唑</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地美硝唑</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洛硝哒唑</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羟基甲硝唑</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海水虾</w:t>
            </w: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挥发性盐基氮</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无机砷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多氯联苯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孔雀石绿</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氟苯尼考</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呋喃唑酮代谢物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呋喃它酮代谢物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呋喃西林代谢物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呋喃妥因代谢物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恩诺沙星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达氟沙星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双氟沙星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氟罗沙星</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司帕沙星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四环素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土霉素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雌二醇</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总磺胺（总量）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己烯雌酚</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甲基睾丸酮</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丙酸睾酮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群勃龙</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喹乙醇代谢物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红霉素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氯丙嗪</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地西泮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甲硝唑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地美硝唑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洛硝哒唑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羟基甲硝唑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海水蟹</w:t>
            </w: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挥发性盐基氮</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无机砷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多氯联苯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孔雀石绿</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氟苯尼考</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呋喃唑酮代谢物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呋喃它酮代谢物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呋喃西林代谢物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呋喃妥因代谢物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恩诺沙星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达氟沙星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双氟沙星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氟罗沙星</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司帕沙星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四环素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土霉素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磺胺类（总量）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雌二醇</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己烯雌酚</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甲基睾丸酮</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丙酸睾酮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群勃龙</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喹乙醇代谢物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红霉素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氯丙嗪</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地西泮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甲硝唑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地美硝唑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洛硝哒唑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羟基甲硝唑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水产品</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其他水产品</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贝类</w:t>
            </w: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挥发性盐基氮</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无机砷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多氯联苯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腹泻类贝类毒素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麻痹性贝类毒素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孔雀石绿</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氟苯尼考</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呋喃唑酮代谢物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呋喃它酮代谢物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呋喃西林代谢物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呋喃妥因代谢物</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恩诺沙星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达氟沙星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双氟沙星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氟罗沙星</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司帕沙星</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四环素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金霉素</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土霉素</w:t>
            </w:r>
          </w:p>
        </w:tc>
        <w:tc>
          <w:tcPr>
            <w:tcW w:w="850" w:type="dxa"/>
            <w:vMerge w:val="restart"/>
            <w:vAlign w:val="center"/>
          </w:tcPr>
          <w:p>
            <w:pPr>
              <w:spacing w:line="168" w:lineRule="auto"/>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总磺胺（总量）</w:t>
            </w:r>
          </w:p>
        </w:tc>
        <w:tc>
          <w:tcPr>
            <w:tcW w:w="850" w:type="dxa"/>
            <w:vAlign w:val="center"/>
          </w:tcPr>
          <w:p>
            <w:pPr>
              <w:spacing w:line="168" w:lineRule="auto"/>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雌二醇</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己烯雌酚</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甲基睾丸酮</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丙酸睾酮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群勃龙</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喹乙醇代谢物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红霉素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氯丙嗪</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地西泮</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甲硝唑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地美硝唑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洛硝哒唑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羟基甲硝唑</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其他软体动物</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无机砷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多氯联苯</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水果</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水果</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水果</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氧乐果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久效磷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敌敌畏</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甲基对硫磷（苹果除外）</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乙酰甲胺磷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水胺硫磷（柑橘苹果）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三唑磷（柑橘、苹果、荔枝）</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克百威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14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氯氟氰菊酯和高效氯氟氰菊酯（柑橘类水果仁果类水果桃油桃杏李子樱桃浆果及其他小粒水果橄榄荔枝芒果瓜果类水果）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14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多菌灵(柑橘橙柚柠檬仁果类水果葡萄桃油桃李子杏樱桃枣草莓黑莓醋栗西瓜无花果橄榄香蕉菠萝猕猴桃荔枝芒果)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杀扑磷（柑橘）</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灭多威（柑橘苹果）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硫丹（苹果梨荔枝瓜果类水果）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7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咪鲜胺（苹果葡萄柑橘类水果皮不可食热带和亚热带水果西瓜）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苯线磷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地虫硫磷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磷胺</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内吸磷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杀虫脒</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特丁硫磷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蝇毒磷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治螟磷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艾氏剂</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狄氏剂</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对硫磷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甲拌磷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甲基异柳磷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硫环磷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氯唑磷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涕灭威</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55"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苯醚甲环唑(柑橘仁果类李子桃油桃樱桃西番莲橄榄荔枝芒果香蕉木瓜西瓜)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吡虫啉（柑橘苹果梨）</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70"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毒死蜱（柑橘橙柚柠檬苹果梨荔枝龙眼）</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炔螨特（橙柑橘柚柠檬苹果梨）</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啶虫脒</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毒杀芬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烯酰吗啉（葡萄）</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丙溴磷（柑橘苹果芒果山竹）</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鲜蛋</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鲜蛋</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鲜蛋</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总汞</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六六六</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滴滴涕</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硫丹</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五氯硝基苯</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艾氏剂</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8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狄氏剂</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8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林丹</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8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氯丹</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8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8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七氯</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苏丹红（Ⅰ-Ⅳ）</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恩诺沙星</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氟苯尼考</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四环素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土霉素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金霉素</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呋喃它酮代谢物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呋喃唑酮代谢物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呋喃西林代谢物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呋喃妥因代谢物</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豆类</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豆类</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豆类</w:t>
            </w: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w:t>
            </w:r>
          </w:p>
        </w:tc>
        <w:tc>
          <w:tcPr>
            <w:tcW w:w="850" w:type="dxa"/>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铬</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赭曲霉毒素A</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辛硫磷</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对硫磷</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马拉硫磷</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杀螟硫磷</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敌敌畏</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甲基毒死蜱</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甲基异柳磷</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生干坚果与籽类</w:t>
            </w:r>
          </w:p>
        </w:tc>
        <w:tc>
          <w:tcPr>
            <w:tcW w:w="1276"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生干坚果与籽类</w:t>
            </w:r>
          </w:p>
        </w:tc>
        <w:tc>
          <w:tcPr>
            <w:tcW w:w="567"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生干坚果与籽类</w:t>
            </w: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酸价（以脂肪计）（KOH）</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restart"/>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过氧化值（以脂肪计）</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二氧化硫残留量</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黄曲霉毒素B1</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大肠菌群</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铅（以Pb 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镉（以Cd 计）</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2，4-滴（坚果）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联苯肼酯（坚果）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四螨嗪（坚果）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亚胺硫磷（坚果）</w:t>
            </w:r>
          </w:p>
        </w:tc>
        <w:tc>
          <w:tcPr>
            <w:tcW w:w="850" w:type="dxa"/>
            <w:vMerge w:val="restart"/>
            <w:vAlign w:val="center"/>
          </w:tcPr>
          <w:p>
            <w:pPr>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氯丹（坚果）</w:t>
            </w:r>
          </w:p>
        </w:tc>
        <w:tc>
          <w:tcPr>
            <w:tcW w:w="850" w:type="dxa"/>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苯醚甲环唑（花生仁葵花籽坚果）</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多菌灵（花生仁坚果）氯菊酯（花生仁葵花籽）</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氯菊酯</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烯草酮（花生仁葵花籽）</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widowControl/>
              <w:spacing w:line="168" w:lineRule="auto"/>
              <w:jc w:val="center"/>
              <w:textAlignment w:val="center"/>
              <w:rPr>
                <w:rFonts w:hint="eastAsia" w:ascii="宋体" w:hAnsi="宋体" w:cs="宋体"/>
                <w:color w:val="000000"/>
                <w:kern w:val="0"/>
                <w:sz w:val="24"/>
                <w:lang w:bidi="ar"/>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restart"/>
            <w:vAlign w:val="center"/>
          </w:tcPr>
          <w:p>
            <w:pPr>
              <w:widowControl/>
              <w:spacing w:line="168" w:lineRule="auto"/>
              <w:jc w:val="center"/>
              <w:textAlignment w:val="center"/>
              <w:rPr>
                <w:rFonts w:hint="eastAsia" w:ascii="宋体" w:hAnsi="宋体" w:cs="宋体"/>
                <w:color w:val="000000"/>
                <w:sz w:val="24"/>
              </w:rPr>
            </w:pPr>
            <w:r>
              <w:rPr>
                <w:rFonts w:hint="eastAsia" w:ascii="宋体" w:hAnsi="宋体" w:cs="宋体"/>
                <w:color w:val="000000"/>
                <w:kern w:val="0"/>
                <w:sz w:val="24"/>
                <w:lang w:bidi="ar"/>
              </w:rPr>
              <w:t>溴氰菊酯（花生仁葵花籽）</w:t>
            </w:r>
          </w:p>
        </w:tc>
        <w:tc>
          <w:tcPr>
            <w:tcW w:w="850" w:type="dxa"/>
            <w:vMerge w:val="restart"/>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8" w:hRule="atLeast"/>
        </w:trPr>
        <w:tc>
          <w:tcPr>
            <w:tcW w:w="511" w:type="dxa"/>
            <w:vMerge w:val="continue"/>
            <w:vAlign w:val="center"/>
          </w:tcPr>
          <w:p>
            <w:pPr>
              <w:spacing w:line="168" w:lineRule="auto"/>
              <w:jc w:val="center"/>
              <w:rPr>
                <w:rFonts w:hint="eastAsia" w:ascii="宋体" w:hAnsi="宋体" w:cs="宋体"/>
                <w:color w:val="000000"/>
                <w:sz w:val="24"/>
              </w:rPr>
            </w:pPr>
          </w:p>
        </w:tc>
        <w:tc>
          <w:tcPr>
            <w:tcW w:w="638"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709" w:type="dxa"/>
            <w:vMerge w:val="continue"/>
            <w:vAlign w:val="center"/>
          </w:tcPr>
          <w:p>
            <w:pPr>
              <w:spacing w:line="168" w:lineRule="auto"/>
              <w:jc w:val="center"/>
              <w:rPr>
                <w:rFonts w:hint="eastAsia" w:ascii="宋体" w:hAnsi="宋体" w:cs="宋体"/>
                <w:color w:val="000000"/>
                <w:sz w:val="24"/>
              </w:rPr>
            </w:pPr>
          </w:p>
        </w:tc>
        <w:tc>
          <w:tcPr>
            <w:tcW w:w="1276" w:type="dxa"/>
            <w:vMerge w:val="continue"/>
            <w:vAlign w:val="center"/>
          </w:tcPr>
          <w:p>
            <w:pPr>
              <w:spacing w:line="168" w:lineRule="auto"/>
              <w:jc w:val="center"/>
              <w:rPr>
                <w:rFonts w:hint="eastAsia" w:ascii="宋体" w:hAnsi="宋体" w:cs="宋体"/>
                <w:color w:val="000000"/>
                <w:sz w:val="24"/>
              </w:rPr>
            </w:pPr>
          </w:p>
        </w:tc>
        <w:tc>
          <w:tcPr>
            <w:tcW w:w="567" w:type="dxa"/>
            <w:vMerge w:val="continue"/>
            <w:vAlign w:val="center"/>
          </w:tcPr>
          <w:p>
            <w:pPr>
              <w:spacing w:line="168" w:lineRule="auto"/>
              <w:jc w:val="center"/>
              <w:rPr>
                <w:rFonts w:hint="eastAsia" w:ascii="宋体" w:hAnsi="宋体" w:cs="宋体"/>
                <w:color w:val="000000"/>
                <w:sz w:val="24"/>
              </w:rPr>
            </w:pPr>
          </w:p>
        </w:tc>
        <w:tc>
          <w:tcPr>
            <w:tcW w:w="2410" w:type="dxa"/>
            <w:vMerge w:val="continue"/>
            <w:vAlign w:val="center"/>
          </w:tcPr>
          <w:p>
            <w:pPr>
              <w:spacing w:line="168" w:lineRule="auto"/>
              <w:jc w:val="center"/>
              <w:rPr>
                <w:rFonts w:hint="eastAsia" w:ascii="宋体" w:hAnsi="宋体" w:cs="宋体"/>
                <w:color w:val="000000"/>
                <w:sz w:val="24"/>
              </w:rPr>
            </w:pPr>
          </w:p>
        </w:tc>
        <w:tc>
          <w:tcPr>
            <w:tcW w:w="850" w:type="dxa"/>
            <w:vMerge w:val="continue"/>
            <w:vAlign w:val="center"/>
          </w:tcPr>
          <w:p>
            <w:pPr>
              <w:spacing w:line="168" w:lineRule="auto"/>
              <w:jc w:val="center"/>
              <w:rPr>
                <w:rFonts w:hint="eastAsia" w:ascii="宋体" w:hAnsi="宋体" w:cs="宋体"/>
                <w:color w:val="000000"/>
                <w:sz w:val="24"/>
              </w:rPr>
            </w:pPr>
          </w:p>
        </w:tc>
        <w:tc>
          <w:tcPr>
            <w:tcW w:w="1056" w:type="dxa"/>
            <w:vMerge w:val="continue"/>
            <w:vAlign w:val="center"/>
          </w:tcPr>
          <w:p>
            <w:pPr>
              <w:spacing w:line="168" w:lineRule="auto"/>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70" w:hRule="atLeast"/>
        </w:trPr>
        <w:tc>
          <w:tcPr>
            <w:tcW w:w="7528" w:type="dxa"/>
            <w:gridSpan w:val="8"/>
            <w:vAlign w:val="center"/>
          </w:tcPr>
          <w:p>
            <w:pPr>
              <w:spacing w:line="168" w:lineRule="auto"/>
              <w:rPr>
                <w:rFonts w:hint="eastAsia" w:ascii="宋体" w:hAnsi="宋体" w:cs="宋体"/>
                <w:color w:val="000000"/>
                <w:sz w:val="24"/>
              </w:rPr>
            </w:pPr>
            <w:r>
              <w:rPr>
                <w:rFonts w:hint="eastAsia" w:ascii="宋体" w:hAnsi="宋体" w:cs="宋体"/>
                <w:b/>
                <w:bCs/>
                <w:color w:val="000000"/>
                <w:sz w:val="24"/>
              </w:rPr>
              <w:t>投标细类单批次均价</w:t>
            </w:r>
          </w:p>
        </w:tc>
        <w:tc>
          <w:tcPr>
            <w:tcW w:w="1056" w:type="dxa"/>
            <w:vAlign w:val="center"/>
          </w:tcPr>
          <w:p>
            <w:pPr>
              <w:spacing w:line="168" w:lineRule="auto"/>
              <w:rPr>
                <w:rFonts w:hint="eastAsia" w:ascii="宋体" w:hAnsi="宋体" w:cs="宋体"/>
                <w:color w:val="000000"/>
                <w:sz w:val="24"/>
              </w:rPr>
            </w:pPr>
            <w:r>
              <w:rPr>
                <w:rFonts w:hint="eastAsia" w:ascii="宋体" w:hAnsi="宋体" w:cs="宋体"/>
                <w:color w:val="000000"/>
                <w:sz w:val="24"/>
                <w:u w:val="single"/>
              </w:rPr>
              <w:t xml:space="preserve"> </w:t>
            </w:r>
            <w:r>
              <w:rPr>
                <w:rFonts w:hint="eastAsia" w:ascii="宋体" w:hAnsi="宋体" w:cs="宋体"/>
                <w:b/>
                <w:bCs/>
                <w:color w:val="000000"/>
                <w:sz w:val="24"/>
                <w:u w:val="single"/>
              </w:rPr>
              <w:t xml:space="preserve">   </w:t>
            </w:r>
            <w:r>
              <w:rPr>
                <w:rFonts w:hint="eastAsia" w:ascii="宋体" w:hAnsi="宋体" w:cs="宋体"/>
                <w:b/>
                <w:bCs/>
                <w:color w:val="000000"/>
                <w:sz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70" w:hRule="atLeast"/>
        </w:trPr>
        <w:tc>
          <w:tcPr>
            <w:tcW w:w="8584" w:type="dxa"/>
            <w:gridSpan w:val="9"/>
            <w:vAlign w:val="center"/>
          </w:tcPr>
          <w:p>
            <w:pPr>
              <w:spacing w:line="168" w:lineRule="auto"/>
              <w:rPr>
                <w:rFonts w:hint="eastAsia" w:ascii="宋体" w:hAnsi="宋体" w:cs="宋体"/>
                <w:color w:val="000000"/>
                <w:sz w:val="24"/>
              </w:rPr>
            </w:pPr>
            <w:r>
              <w:rPr>
                <w:rFonts w:hint="eastAsia" w:ascii="宋体" w:hAnsi="宋体" w:cs="宋体"/>
                <w:b/>
                <w:bCs/>
                <w:color w:val="000000"/>
                <w:sz w:val="24"/>
              </w:rPr>
              <w:t>合计：共报</w:t>
            </w:r>
            <w:r>
              <w:rPr>
                <w:rFonts w:hint="eastAsia" w:ascii="宋体" w:hAnsi="宋体" w:cs="宋体"/>
                <w:b/>
                <w:bCs/>
                <w:color w:val="000000"/>
                <w:sz w:val="24"/>
                <w:u w:val="single"/>
              </w:rPr>
              <w:t xml:space="preserve">      </w:t>
            </w:r>
            <w:r>
              <w:rPr>
                <w:rFonts w:hint="eastAsia" w:ascii="宋体" w:hAnsi="宋体" w:cs="宋体"/>
                <w:b/>
                <w:bCs/>
                <w:color w:val="000000"/>
                <w:sz w:val="24"/>
              </w:rPr>
              <w:t>个食品细类，占全部176个食品细类的</w:t>
            </w:r>
            <w:r>
              <w:rPr>
                <w:rFonts w:hint="eastAsia" w:ascii="宋体" w:hAnsi="宋体" w:cs="宋体"/>
                <w:b/>
                <w:bCs/>
                <w:color w:val="000000"/>
                <w:sz w:val="24"/>
                <w:u w:val="single"/>
              </w:rPr>
              <w:t xml:space="preserve">     </w:t>
            </w:r>
            <w:r>
              <w:rPr>
                <w:rFonts w:hint="eastAsia" w:ascii="宋体" w:hAnsi="宋体" w:cs="宋体"/>
                <w:b/>
                <w:bCs/>
                <w:color w:val="000000"/>
                <w:sz w:val="24"/>
              </w:rPr>
              <w:t>%。</w:t>
            </w:r>
          </w:p>
        </w:tc>
      </w:tr>
    </w:tbl>
    <w:p>
      <w:pPr>
        <w:snapToGrid w:val="0"/>
        <w:spacing w:line="360" w:lineRule="auto"/>
        <w:ind w:firstLine="480" w:firstLineChars="200"/>
        <w:rPr>
          <w:rFonts w:hint="eastAsia" w:ascii="宋体" w:hAnsi="宋体" w:cs="宋体"/>
          <w:bCs/>
          <w:sz w:val="24"/>
        </w:rPr>
      </w:pPr>
      <w:r>
        <w:rPr>
          <w:rFonts w:hint="eastAsia" w:ascii="宋体" w:hAnsi="宋体" w:cs="宋体"/>
          <w:bCs/>
          <w:sz w:val="24"/>
        </w:rPr>
        <w:t>注：1、若该表中某食品细类中某些检测项目没有检测资质，请在该检测项目的“检测费”栏划“/”，同时在该食品细类的“单批次总报价”栏划“/”。附表中检测项目对应的检测方法均指该产品类别国家标准中规定的检测方法。</w:t>
      </w:r>
      <w:r>
        <w:rPr>
          <w:rFonts w:hint="eastAsia" w:ascii="宋体" w:hAnsi="宋体" w:cs="宋体"/>
          <w:bCs/>
          <w:sz w:val="24"/>
        </w:rPr>
        <w:br w:type="textWrapping"/>
      </w:r>
      <w:r>
        <w:rPr>
          <w:rFonts w:hint="eastAsia" w:ascii="宋体" w:hAnsi="宋体" w:cs="宋体"/>
          <w:bCs/>
          <w:sz w:val="24"/>
        </w:rPr>
        <w:t xml:space="preserve">    2、检测费是指食品在实验室检测期间产生的费用，包括检测、报告、结果分析等项目。采样费是指除了实验室检测费以外产生的费用，包括买样采样、送样产生的费用。单批次总报价为该食品细类单批次检测费与单批次采样费之和。</w:t>
      </w:r>
    </w:p>
    <w:p>
      <w:pPr>
        <w:snapToGrid w:val="0"/>
        <w:spacing w:line="360" w:lineRule="auto"/>
        <w:ind w:firstLine="480" w:firstLineChars="200"/>
        <w:rPr>
          <w:rFonts w:hint="eastAsia" w:ascii="宋体" w:hAnsi="宋体" w:cs="宋体"/>
          <w:bCs/>
          <w:sz w:val="24"/>
        </w:rPr>
      </w:pPr>
      <w:r>
        <w:rPr>
          <w:rFonts w:hint="eastAsia" w:ascii="宋体" w:hAnsi="宋体" w:cs="宋体"/>
          <w:bCs/>
          <w:sz w:val="24"/>
        </w:rPr>
        <w:t>3、投标细类单批次均价=投标细类单批次总报价之和/投标细类总数。</w:t>
      </w:r>
    </w:p>
    <w:p>
      <w:pPr>
        <w:spacing w:line="276" w:lineRule="auto"/>
        <w:ind w:firstLine="1120"/>
        <w:jc w:val="both"/>
        <w:rPr>
          <w:color w:val="000000" w:themeColor="text1"/>
          <w:sz w:val="56"/>
        </w:rPr>
      </w:pPr>
    </w:p>
    <w:p>
      <w:pPr>
        <w:spacing w:line="276" w:lineRule="auto"/>
        <w:ind w:firstLine="1120"/>
        <w:jc w:val="center"/>
        <w:rPr>
          <w:color w:val="000000" w:themeColor="text1"/>
          <w:sz w:val="56"/>
        </w:rPr>
      </w:pPr>
    </w:p>
    <w:p>
      <w:pPr>
        <w:pStyle w:val="134"/>
        <w:ind w:firstLine="0" w:firstLineChars="0"/>
      </w:pPr>
    </w:p>
    <w:p>
      <w:pPr>
        <w:spacing w:line="440" w:lineRule="exact"/>
        <w:rPr>
          <w:rFonts w:hint="eastAsia" w:ascii="仿宋" w:hAnsi="仿宋" w:eastAsia="仿宋" w:cs="仿宋"/>
          <w:b/>
          <w:sz w:val="24"/>
          <w:szCs w:val="24"/>
        </w:rPr>
      </w:pPr>
    </w:p>
    <w:p>
      <w:pPr>
        <w:jc w:val="center"/>
        <w:rPr>
          <w:rFonts w:hint="eastAsia" w:ascii="宋体" w:hAnsi="宋体" w:eastAsia="宋体"/>
          <w:b/>
          <w:kern w:val="44"/>
          <w:sz w:val="32"/>
        </w:rPr>
      </w:pPr>
    </w:p>
    <w:p>
      <w:pPr>
        <w:jc w:val="center"/>
        <w:rPr>
          <w:rFonts w:hint="eastAsia" w:ascii="宋体" w:hAnsi="宋体" w:eastAsia="宋体"/>
          <w:b/>
          <w:kern w:val="44"/>
          <w:sz w:val="32"/>
        </w:rPr>
      </w:pPr>
    </w:p>
    <w:p>
      <w:pPr>
        <w:tabs>
          <w:tab w:val="left" w:pos="5963"/>
        </w:tabs>
        <w:spacing w:line="420" w:lineRule="exact"/>
        <w:rPr>
          <w:rFonts w:ascii="仿宋" w:hAnsi="仿宋" w:eastAsia="仿宋" w:cs="仿宋"/>
          <w:b/>
          <w:sz w:val="24"/>
          <w:szCs w:val="24"/>
        </w:rPr>
      </w:pPr>
      <w:r>
        <w:rPr>
          <w:rFonts w:hint="eastAsia" w:ascii="仿宋" w:hAnsi="仿宋" w:eastAsia="仿宋" w:cs="仿宋"/>
          <w:b/>
          <w:sz w:val="24"/>
          <w:szCs w:val="24"/>
        </w:rPr>
        <w:t>六、其它要求</w:t>
      </w:r>
    </w:p>
    <w:p>
      <w:pPr>
        <w:spacing w:line="52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1、本招标文件所列需求为最低要求，投标产品不得低于最低要求，否则为无效投标。</w:t>
      </w:r>
    </w:p>
    <w:p>
      <w:pPr>
        <w:spacing w:line="52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2、投标人应就该项目完整投标，否则为无效投标。</w:t>
      </w:r>
    </w:p>
    <w:p>
      <w:pPr>
        <w:spacing w:line="52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3、投标人须对照节能产品政府采购清单，如果本次采购的产品属于强制采购范围的（国办发[2007]51号文），投标文件中须提供所投产品属于强制采购产品有效的证明材料且加盖投标单位公章，否则为无效投标。</w:t>
      </w:r>
    </w:p>
    <w:p>
      <w:pPr>
        <w:spacing w:line="52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4、所投产品已列入国家强制性产品认证的产品，投标文件中必须提供国家对实施强制性产品认证的有效证明材料且加盖投标人公章，否则为无效投标。（如3C等）</w:t>
      </w:r>
    </w:p>
    <w:p>
      <w:pPr>
        <w:spacing w:line="52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cos产品时，则所投涉及到上述货物的产品，投标文件中必须提供由中国信息安全认证中心颁发的有效认证证书复印件且加盖投标人公章，否则为无效投标。</w:t>
      </w:r>
    </w:p>
    <w:p>
      <w:pPr>
        <w:spacing w:line="52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6、产品必须符合国家质量检测标准和本招标文件规定标准的全新正品现货，提供随货物《产品合格证》及其它相关质量证明文件。进口产品须提供海关进货单（复印件备查）。</w:t>
      </w:r>
    </w:p>
    <w:p>
      <w:pPr>
        <w:spacing w:line="52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7、专利权：投标人应保证用户在使用该货物或其任何一部分时不受第三方提出侵犯其专利权、商标权和工业设计权等的起诉。</w:t>
      </w:r>
    </w:p>
    <w:p>
      <w:pPr>
        <w:spacing w:line="52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投标人须明确免费包修期，同时应提出故障响应时间，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pPr>
        <w:spacing w:line="52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9、投标人须明确维修点地址、负责人、联系人和联系电话，维修点具备什么样的维修能力等详细资料。</w:t>
      </w:r>
    </w:p>
    <w:p>
      <w:pPr>
        <w:spacing w:line="52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10、本项目为交钥匙工程（包括设备、材料、元件等购置、安装调试、验收、与其它施工单位协作所产生的费用等）。 </w:t>
      </w:r>
    </w:p>
    <w:p>
      <w:pPr>
        <w:spacing w:line="520" w:lineRule="exact"/>
        <w:rPr>
          <w:rFonts w:ascii="仿宋" w:hAnsi="仿宋" w:eastAsia="仿宋" w:cs="仿宋_GB2312"/>
          <w:b/>
          <w:sz w:val="44"/>
        </w:rPr>
      </w:pPr>
      <w:r>
        <w:rPr>
          <w:rFonts w:hint="eastAsia" w:ascii="仿宋" w:hAnsi="仿宋" w:eastAsia="仿宋" w:cs="仿宋"/>
          <w:sz w:val="24"/>
          <w:szCs w:val="24"/>
          <w:lang w:val="en-US" w:eastAsia="zh-CN"/>
        </w:rPr>
        <w:t>11、付款方式：以签订合同为准。</w:t>
      </w:r>
    </w:p>
    <w:p>
      <w:pPr>
        <w:spacing w:line="520" w:lineRule="exact"/>
        <w:ind w:firstLine="2209" w:firstLineChars="500"/>
        <w:rPr>
          <w:rFonts w:ascii="仿宋" w:hAnsi="仿宋" w:eastAsia="仿宋" w:cs="仿宋_GB2312"/>
          <w:b/>
          <w:sz w:val="44"/>
        </w:rPr>
      </w:pPr>
    </w:p>
    <w:p>
      <w:pPr>
        <w:spacing w:line="520" w:lineRule="exact"/>
        <w:ind w:firstLine="2209" w:firstLineChars="500"/>
        <w:rPr>
          <w:rFonts w:ascii="仿宋" w:hAnsi="仿宋" w:eastAsia="仿宋" w:cs="仿宋_GB2312"/>
          <w:b/>
          <w:sz w:val="44"/>
        </w:rPr>
      </w:pPr>
    </w:p>
    <w:p>
      <w:pPr>
        <w:spacing w:line="520" w:lineRule="exact"/>
        <w:ind w:firstLine="2209" w:firstLineChars="500"/>
        <w:rPr>
          <w:rFonts w:ascii="仿宋" w:hAnsi="仿宋" w:eastAsia="仿宋" w:cs="仿宋_GB2312"/>
          <w:b/>
          <w:sz w:val="44"/>
        </w:rPr>
      </w:pPr>
    </w:p>
    <w:p>
      <w:pPr>
        <w:spacing w:line="520" w:lineRule="exact"/>
        <w:rPr>
          <w:rFonts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ascii="仿宋" w:hAnsi="仿宋" w:eastAsia="仿宋" w:cs="仿宋_GB2312"/>
          <w:b/>
          <w:sz w:val="24"/>
          <w:szCs w:val="24"/>
        </w:rPr>
      </w:pPr>
      <w:r>
        <w:rPr>
          <w:rFonts w:hint="eastAsia" w:ascii="仿宋" w:hAnsi="仿宋" w:eastAsia="仿宋" w:cs="仿宋_GB2312"/>
          <w:b/>
          <w:sz w:val="44"/>
        </w:rPr>
        <w:t>第五部分  开标和评标</w:t>
      </w:r>
    </w:p>
    <w:p>
      <w:pPr>
        <w:spacing w:line="520" w:lineRule="exact"/>
        <w:rPr>
          <w:rFonts w:ascii="仿宋" w:hAnsi="仿宋" w:eastAsia="仿宋" w:cs="仿宋"/>
          <w:b/>
          <w:sz w:val="28"/>
          <w:szCs w:val="28"/>
        </w:rPr>
      </w:pP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（2）营业执照、银行开户许可证、无行贿记录告知函、法人代表授权委托书、《检验检测机构资质认定证书》或《食品检验机构资质认定证书》、被委托人提供本单位为其缴纳社保的证明（</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（3）投标保证金缴纳回执；</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组成，成员人数为5人以上单数，其中评审专家不得少于成员总数的三分之二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3.4评标办法</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本项目采用综合评分办法。即在最大限度地满足招标文件实质性要求前提下，按照招标文件中规定的各项因素进行综合评审后，以评标总得分最高的投标人作为中标候选供应商或者中标供应商的评标方法。</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3.5评分标准</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jc w:val="both"/>
        <w:outlineLvl w:val="9"/>
        <w:rPr>
          <w:rFonts w:ascii="仿宋" w:hAnsi="仿宋" w:eastAsia="仿宋" w:cs="仿宋"/>
          <w:sz w:val="24"/>
          <w:szCs w:val="24"/>
        </w:rPr>
      </w:pPr>
      <w:r>
        <w:rPr>
          <w:rFonts w:hint="eastAsia" w:ascii="仿宋" w:hAnsi="仿宋" w:eastAsia="仿宋" w:cs="仿宋"/>
          <w:b/>
          <w:color w:val="FF0000"/>
          <w:sz w:val="24"/>
          <w:szCs w:val="24"/>
        </w:rPr>
        <w:t>本项目采用综合评分法。</w:t>
      </w:r>
      <w:r>
        <w:rPr>
          <w:rFonts w:hint="eastAsia" w:ascii="仿宋" w:hAnsi="仿宋" w:eastAsia="仿宋" w:cs="仿宋"/>
          <w:sz w:val="24"/>
          <w:szCs w:val="24"/>
        </w:rPr>
        <w:t>即在最大限度地满足招标文件实质性要求前提下，按照招标文件中规定的各项因素进行综合评审后，以评标总得分最高的投标人作为中标候选供应商或者中标供应商的评标方法。</w:t>
      </w:r>
    </w:p>
    <w:p>
      <w:pPr>
        <w:spacing w:line="520" w:lineRule="exact"/>
        <w:ind w:firstLine="482" w:firstLineChars="200"/>
        <w:rPr>
          <w:rFonts w:ascii="宋体" w:hAnsi="宋体"/>
          <w:b/>
          <w:color w:val="0D0D0D"/>
          <w:sz w:val="24"/>
        </w:rPr>
      </w:pPr>
      <w:r>
        <w:rPr>
          <w:rFonts w:hint="eastAsia" w:ascii="宋体" w:hAnsi="宋体"/>
          <w:b/>
          <w:color w:val="0D0D0D"/>
          <w:sz w:val="24"/>
        </w:rPr>
        <w:t>一、综合评分的项目、分值与权值：</w:t>
      </w:r>
    </w:p>
    <w:p>
      <w:pPr>
        <w:spacing w:line="520" w:lineRule="exact"/>
        <w:ind w:firstLine="480" w:firstLineChars="200"/>
        <w:rPr>
          <w:rFonts w:ascii="宋体" w:hAnsi="宋体"/>
          <w:color w:val="0D0D0D"/>
          <w:sz w:val="24"/>
        </w:rPr>
      </w:pPr>
      <w:r>
        <w:rPr>
          <w:rFonts w:ascii="宋体" w:hAnsi="宋体"/>
          <w:color w:val="0D0D0D"/>
          <w:sz w:val="24"/>
        </w:rPr>
        <w:t xml:space="preserve">a) </w:t>
      </w:r>
      <w:r>
        <w:rPr>
          <w:rFonts w:hint="eastAsia" w:ascii="宋体" w:hAnsi="宋体"/>
          <w:color w:val="0D0D0D"/>
          <w:sz w:val="24"/>
        </w:rPr>
        <w:t>商务部分：3</w:t>
      </w:r>
      <w:r>
        <w:rPr>
          <w:rFonts w:hint="eastAsia" w:ascii="宋体" w:hAnsi="宋体"/>
          <w:color w:val="0D0D0D"/>
          <w:sz w:val="24"/>
          <w:lang w:val="en-US" w:eastAsia="zh-CN"/>
        </w:rPr>
        <w:t>0</w:t>
      </w:r>
      <w:r>
        <w:rPr>
          <w:rFonts w:hint="eastAsia" w:ascii="宋体" w:hAnsi="宋体"/>
          <w:color w:val="0D0D0D"/>
          <w:sz w:val="24"/>
        </w:rPr>
        <w:t>分；3</w:t>
      </w:r>
      <w:r>
        <w:rPr>
          <w:rFonts w:hint="eastAsia" w:ascii="宋体" w:hAnsi="宋体"/>
          <w:color w:val="0D0D0D"/>
          <w:sz w:val="24"/>
          <w:lang w:val="en-US" w:eastAsia="zh-CN"/>
        </w:rPr>
        <w:t>0</w:t>
      </w:r>
      <w:r>
        <w:rPr>
          <w:rFonts w:hint="eastAsia" w:ascii="宋体" w:hAnsi="宋体"/>
          <w:color w:val="0D0D0D"/>
          <w:sz w:val="24"/>
        </w:rPr>
        <w:t>％。</w:t>
      </w:r>
    </w:p>
    <w:p>
      <w:pPr>
        <w:spacing w:line="520" w:lineRule="exact"/>
        <w:ind w:firstLine="480" w:firstLineChars="200"/>
        <w:rPr>
          <w:rFonts w:ascii="宋体" w:hAnsi="宋体"/>
          <w:color w:val="0D0D0D"/>
          <w:sz w:val="24"/>
        </w:rPr>
      </w:pPr>
      <w:r>
        <w:rPr>
          <w:rFonts w:ascii="宋体" w:hAnsi="宋体"/>
          <w:color w:val="0D0D0D"/>
          <w:sz w:val="24"/>
        </w:rPr>
        <w:t xml:space="preserve">b) </w:t>
      </w:r>
      <w:r>
        <w:rPr>
          <w:rFonts w:hint="eastAsia" w:ascii="宋体" w:hAnsi="宋体"/>
          <w:color w:val="0D0D0D"/>
          <w:sz w:val="24"/>
        </w:rPr>
        <w:t>技术部分：5</w:t>
      </w:r>
      <w:r>
        <w:rPr>
          <w:rFonts w:hint="eastAsia" w:ascii="宋体" w:hAnsi="宋体"/>
          <w:color w:val="0D0D0D"/>
          <w:sz w:val="24"/>
          <w:lang w:val="en-US" w:eastAsia="zh-CN"/>
        </w:rPr>
        <w:t>0</w:t>
      </w:r>
      <w:r>
        <w:rPr>
          <w:rFonts w:hint="eastAsia" w:ascii="宋体" w:hAnsi="宋体"/>
          <w:color w:val="0D0D0D"/>
          <w:sz w:val="24"/>
        </w:rPr>
        <w:t>分；5</w:t>
      </w:r>
      <w:r>
        <w:rPr>
          <w:rFonts w:hint="eastAsia" w:ascii="宋体" w:hAnsi="宋体"/>
          <w:color w:val="0D0D0D"/>
          <w:sz w:val="24"/>
          <w:lang w:val="en-US" w:eastAsia="zh-CN"/>
        </w:rPr>
        <w:t>0</w:t>
      </w:r>
      <w:r>
        <w:rPr>
          <w:rFonts w:hint="eastAsia" w:ascii="宋体" w:hAnsi="宋体"/>
          <w:color w:val="0D0D0D"/>
          <w:sz w:val="24"/>
        </w:rPr>
        <w:t>％。</w:t>
      </w:r>
    </w:p>
    <w:p>
      <w:pPr>
        <w:spacing w:line="520" w:lineRule="exact"/>
        <w:ind w:firstLine="480" w:firstLineChars="200"/>
        <w:rPr>
          <w:rFonts w:hint="eastAsia" w:ascii="宋体" w:hAnsi="宋体"/>
          <w:color w:val="0D0D0D"/>
          <w:sz w:val="24"/>
        </w:rPr>
      </w:pPr>
      <w:r>
        <w:rPr>
          <w:rFonts w:ascii="宋体" w:hAnsi="宋体"/>
          <w:color w:val="0D0D0D"/>
          <w:sz w:val="24"/>
        </w:rPr>
        <w:t>c)</w:t>
      </w:r>
      <w:r>
        <w:rPr>
          <w:rFonts w:ascii="宋体" w:hAnsi="宋体"/>
          <w:color w:val="0000FF"/>
          <w:sz w:val="24"/>
        </w:rPr>
        <w:t xml:space="preserve"> </w:t>
      </w:r>
      <w:r>
        <w:rPr>
          <w:rFonts w:hint="eastAsia" w:ascii="宋体" w:hAnsi="宋体"/>
          <w:color w:val="0D0D0D"/>
          <w:sz w:val="24"/>
        </w:rPr>
        <w:t>投标报价：</w:t>
      </w:r>
      <w:r>
        <w:rPr>
          <w:rFonts w:hint="eastAsia" w:ascii="宋体" w:hAnsi="宋体"/>
          <w:color w:val="0D0D0D"/>
          <w:sz w:val="24"/>
          <w:lang w:val="en-US" w:eastAsia="zh-CN"/>
        </w:rPr>
        <w:t>2</w:t>
      </w:r>
      <w:r>
        <w:rPr>
          <w:rFonts w:hint="eastAsia" w:ascii="宋体" w:hAnsi="宋体"/>
          <w:color w:val="0D0D0D"/>
          <w:sz w:val="24"/>
        </w:rPr>
        <w:t>0分；</w:t>
      </w:r>
      <w:r>
        <w:rPr>
          <w:rFonts w:hint="eastAsia" w:ascii="宋体" w:hAnsi="宋体"/>
          <w:color w:val="0D0D0D"/>
          <w:sz w:val="24"/>
          <w:lang w:val="en-US" w:eastAsia="zh-CN"/>
        </w:rPr>
        <w:t>2</w:t>
      </w:r>
      <w:r>
        <w:rPr>
          <w:rFonts w:hint="eastAsia" w:ascii="宋体" w:hAnsi="宋体"/>
          <w:color w:val="0D0D0D"/>
          <w:sz w:val="24"/>
        </w:rPr>
        <w:t>0％。</w:t>
      </w:r>
    </w:p>
    <w:p>
      <w:pPr>
        <w:spacing w:line="520" w:lineRule="exact"/>
        <w:ind w:firstLine="482" w:firstLineChars="200"/>
        <w:rPr>
          <w:rFonts w:ascii="宋体" w:hAnsi="宋体"/>
          <w:b/>
          <w:snapToGrid w:val="0"/>
          <w:kern w:val="0"/>
          <w:sz w:val="24"/>
          <w:szCs w:val="20"/>
        </w:rPr>
      </w:pPr>
      <w:r>
        <w:rPr>
          <w:rFonts w:hint="eastAsia" w:ascii="宋体" w:hAnsi="宋体"/>
          <w:b/>
          <w:snapToGrid w:val="0"/>
          <w:kern w:val="0"/>
          <w:sz w:val="24"/>
          <w:szCs w:val="20"/>
        </w:rPr>
        <w:t>(一)、商务部分（3</w:t>
      </w:r>
      <w:r>
        <w:rPr>
          <w:rFonts w:hint="eastAsia" w:ascii="宋体" w:hAnsi="宋体"/>
          <w:b/>
          <w:snapToGrid w:val="0"/>
          <w:kern w:val="0"/>
          <w:sz w:val="24"/>
          <w:szCs w:val="20"/>
          <w:lang w:val="en-US" w:eastAsia="zh-CN"/>
        </w:rPr>
        <w:t>0</w:t>
      </w:r>
      <w:r>
        <w:rPr>
          <w:rFonts w:hint="eastAsia" w:ascii="宋体" w:hAnsi="宋体"/>
          <w:b/>
          <w:snapToGrid w:val="0"/>
          <w:kern w:val="0"/>
          <w:sz w:val="24"/>
          <w:szCs w:val="20"/>
        </w:rPr>
        <w:t>分）</w:t>
      </w:r>
    </w:p>
    <w:p>
      <w:pPr>
        <w:spacing w:line="520" w:lineRule="exact"/>
        <w:ind w:firstLine="482" w:firstLineChars="200"/>
        <w:rPr>
          <w:rFonts w:ascii="宋体" w:hAnsi="宋体"/>
          <w:snapToGrid w:val="0"/>
          <w:kern w:val="0"/>
          <w:sz w:val="24"/>
          <w:szCs w:val="20"/>
        </w:rPr>
      </w:pPr>
      <w:r>
        <w:rPr>
          <w:rFonts w:hint="eastAsia" w:ascii="宋体" w:hAnsi="宋体"/>
          <w:b/>
          <w:snapToGrid w:val="0"/>
          <w:kern w:val="0"/>
          <w:sz w:val="24"/>
          <w:szCs w:val="20"/>
        </w:rPr>
        <w:t>1、公司实力及资质（20分）</w:t>
      </w:r>
      <w:r>
        <w:rPr>
          <w:rFonts w:hint="eastAsia" w:ascii="宋体" w:hAnsi="宋体"/>
          <w:snapToGrid w:val="0"/>
          <w:kern w:val="0"/>
          <w:sz w:val="24"/>
          <w:szCs w:val="20"/>
        </w:rPr>
        <w:t>：</w:t>
      </w:r>
    </w:p>
    <w:p>
      <w:pPr>
        <w:spacing w:line="520" w:lineRule="exact"/>
        <w:ind w:firstLine="480" w:firstLineChars="200"/>
        <w:rPr>
          <w:rFonts w:ascii="宋体" w:hAnsi="宋体"/>
          <w:snapToGrid w:val="0"/>
          <w:kern w:val="0"/>
          <w:sz w:val="24"/>
          <w:szCs w:val="20"/>
        </w:rPr>
      </w:pPr>
      <w:r>
        <w:rPr>
          <w:rFonts w:hint="eastAsia" w:ascii="宋体" w:hAnsi="宋体"/>
          <w:snapToGrid w:val="0"/>
          <w:kern w:val="0"/>
          <w:sz w:val="24"/>
          <w:szCs w:val="20"/>
        </w:rPr>
        <w:t>（1）投标人提供2016年以来获得实验室能力验证或比对试验情况：提供国家级及以上能力验证或比对试验并取得合格以上成绩证明材料的，覆盖范围有重金属、添加剂、微生物等，每份至少</w:t>
      </w:r>
      <w:r>
        <w:rPr>
          <w:rFonts w:hint="eastAsia" w:ascii="宋体" w:hAnsi="宋体"/>
          <w:snapToGrid w:val="0"/>
          <w:kern w:val="0"/>
          <w:sz w:val="24"/>
          <w:szCs w:val="20"/>
          <w:lang w:eastAsia="zh-CN"/>
        </w:rPr>
        <w:t>须</w:t>
      </w:r>
      <w:r>
        <w:rPr>
          <w:rFonts w:hint="eastAsia" w:ascii="宋体" w:hAnsi="宋体"/>
          <w:snapToGrid w:val="0"/>
          <w:kern w:val="0"/>
          <w:sz w:val="24"/>
          <w:szCs w:val="20"/>
        </w:rPr>
        <w:t>有1份，一份</w:t>
      </w:r>
      <w:r>
        <w:rPr>
          <w:rFonts w:hint="eastAsia" w:ascii="宋体" w:hAnsi="宋体"/>
          <w:snapToGrid w:val="0"/>
          <w:kern w:val="0"/>
          <w:sz w:val="24"/>
          <w:szCs w:val="20"/>
          <w:lang w:val="en-US" w:eastAsia="zh-CN"/>
        </w:rPr>
        <w:t>1</w:t>
      </w:r>
      <w:r>
        <w:rPr>
          <w:rFonts w:hint="eastAsia" w:ascii="宋体" w:hAnsi="宋体"/>
          <w:snapToGrid w:val="0"/>
          <w:kern w:val="0"/>
          <w:sz w:val="24"/>
          <w:szCs w:val="20"/>
        </w:rPr>
        <w:t>分，</w:t>
      </w:r>
      <w:r>
        <w:rPr>
          <w:rFonts w:hint="eastAsia" w:ascii="宋体" w:hAnsi="宋体"/>
          <w:snapToGrid w:val="0"/>
          <w:kern w:val="0"/>
          <w:sz w:val="24"/>
          <w:szCs w:val="20"/>
          <w:lang w:eastAsia="zh-CN"/>
        </w:rPr>
        <w:t>最高</w:t>
      </w:r>
      <w:r>
        <w:rPr>
          <w:rFonts w:hint="eastAsia" w:ascii="宋体" w:hAnsi="宋体"/>
          <w:snapToGrid w:val="0"/>
          <w:kern w:val="0"/>
          <w:sz w:val="24"/>
          <w:szCs w:val="20"/>
          <w:lang w:val="en-US" w:eastAsia="zh-CN"/>
        </w:rPr>
        <w:t>3</w:t>
      </w:r>
      <w:r>
        <w:rPr>
          <w:rFonts w:hint="eastAsia" w:ascii="宋体" w:hAnsi="宋体"/>
          <w:snapToGrid w:val="0"/>
          <w:kern w:val="0"/>
          <w:sz w:val="24"/>
          <w:szCs w:val="20"/>
        </w:rPr>
        <w:t>分</w:t>
      </w:r>
      <w:r>
        <w:rPr>
          <w:rFonts w:hint="eastAsia" w:ascii="宋体" w:hAnsi="宋体"/>
          <w:b/>
          <w:snapToGrid w:val="0"/>
          <w:kern w:val="0"/>
          <w:sz w:val="24"/>
          <w:szCs w:val="20"/>
        </w:rPr>
        <w:t>（审验原件）</w:t>
      </w:r>
    </w:p>
    <w:p>
      <w:pPr>
        <w:spacing w:line="520" w:lineRule="exact"/>
        <w:ind w:firstLine="480" w:firstLineChars="200"/>
        <w:rPr>
          <w:rFonts w:ascii="宋体" w:hAnsi="宋体"/>
          <w:b/>
          <w:snapToGrid w:val="0"/>
          <w:kern w:val="0"/>
          <w:sz w:val="24"/>
          <w:szCs w:val="20"/>
        </w:rPr>
      </w:pPr>
      <w:r>
        <w:rPr>
          <w:rFonts w:hint="eastAsia" w:ascii="宋体" w:hAnsi="宋体"/>
          <w:snapToGrid w:val="0"/>
          <w:kern w:val="0"/>
          <w:sz w:val="24"/>
          <w:szCs w:val="20"/>
        </w:rPr>
        <w:t>（2）具有食品检测实验室且正常运营时间2年以上（以营业执照证书发证时间和地址为准），得</w:t>
      </w:r>
      <w:r>
        <w:rPr>
          <w:rFonts w:hint="eastAsia" w:ascii="宋体" w:hAnsi="宋体"/>
          <w:snapToGrid w:val="0"/>
          <w:kern w:val="0"/>
          <w:sz w:val="24"/>
          <w:szCs w:val="20"/>
          <w:lang w:val="en-US" w:eastAsia="zh-CN"/>
        </w:rPr>
        <w:t>3</w:t>
      </w:r>
      <w:r>
        <w:rPr>
          <w:rFonts w:hint="eastAsia" w:ascii="宋体" w:hAnsi="宋体"/>
          <w:snapToGrid w:val="0"/>
          <w:kern w:val="0"/>
          <w:sz w:val="24"/>
          <w:szCs w:val="20"/>
        </w:rPr>
        <w:t>分，否则不得分</w:t>
      </w:r>
      <w:r>
        <w:rPr>
          <w:rFonts w:hint="eastAsia" w:ascii="宋体" w:hAnsi="宋体"/>
          <w:b/>
          <w:snapToGrid w:val="0"/>
          <w:kern w:val="0"/>
          <w:sz w:val="24"/>
          <w:szCs w:val="20"/>
        </w:rPr>
        <w:t>（审验原件）</w:t>
      </w:r>
    </w:p>
    <w:p>
      <w:pPr>
        <w:spacing w:line="520" w:lineRule="exact"/>
        <w:ind w:firstLine="480" w:firstLineChars="200"/>
        <w:rPr>
          <w:rFonts w:ascii="宋体" w:hAnsi="宋体"/>
          <w:snapToGrid w:val="0"/>
          <w:kern w:val="0"/>
          <w:sz w:val="24"/>
          <w:szCs w:val="20"/>
        </w:rPr>
      </w:pPr>
      <w:r>
        <w:rPr>
          <w:rFonts w:hint="eastAsia" w:ascii="宋体" w:hAnsi="宋体"/>
          <w:snapToGrid w:val="0"/>
          <w:kern w:val="0"/>
          <w:sz w:val="24"/>
          <w:szCs w:val="20"/>
        </w:rPr>
        <w:t>（3）具有质量管理体系认证证书，并且认证范围包含食品检测的得4分</w:t>
      </w:r>
      <w:r>
        <w:rPr>
          <w:rFonts w:hint="eastAsia" w:ascii="宋体" w:hAnsi="宋体"/>
          <w:b/>
          <w:snapToGrid w:val="0"/>
          <w:kern w:val="0"/>
          <w:sz w:val="24"/>
          <w:szCs w:val="20"/>
        </w:rPr>
        <w:t>（审验原件）</w:t>
      </w:r>
    </w:p>
    <w:p>
      <w:pPr>
        <w:spacing w:line="520" w:lineRule="exact"/>
        <w:ind w:firstLine="480" w:firstLineChars="200"/>
        <w:rPr>
          <w:rFonts w:ascii="宋体" w:hAnsi="宋体"/>
          <w:snapToGrid w:val="0"/>
          <w:kern w:val="0"/>
          <w:sz w:val="24"/>
          <w:szCs w:val="20"/>
        </w:rPr>
      </w:pPr>
      <w:r>
        <w:rPr>
          <w:rFonts w:hint="eastAsia" w:ascii="宋体" w:hAnsi="宋体"/>
          <w:snapToGrid w:val="0"/>
          <w:kern w:val="0"/>
          <w:sz w:val="24"/>
          <w:szCs w:val="20"/>
        </w:rPr>
        <w:t>（4）投标单位具有足够的样品存储，冷库体积在100m³以上得3分，100-80m³得2分，80m³以下得1分。（</w:t>
      </w:r>
      <w:r>
        <w:rPr>
          <w:rFonts w:hint="eastAsia" w:ascii="宋体" w:hAnsi="宋体"/>
          <w:b/>
          <w:snapToGrid w:val="0"/>
          <w:kern w:val="0"/>
          <w:sz w:val="24"/>
          <w:szCs w:val="20"/>
        </w:rPr>
        <w:t>冷库以施工合同，发票为准</w:t>
      </w:r>
      <w:r>
        <w:rPr>
          <w:rFonts w:hint="eastAsia" w:ascii="宋体" w:hAnsi="宋体"/>
          <w:snapToGrid w:val="0"/>
          <w:kern w:val="0"/>
          <w:sz w:val="24"/>
          <w:szCs w:val="20"/>
        </w:rPr>
        <w:t>）</w:t>
      </w:r>
    </w:p>
    <w:p>
      <w:pPr>
        <w:spacing w:line="520" w:lineRule="exact"/>
        <w:ind w:firstLine="480" w:firstLineChars="200"/>
        <w:rPr>
          <w:rFonts w:ascii="宋体" w:hAnsi="宋体" w:cs="宋体"/>
          <w:b/>
          <w:snapToGrid w:val="0"/>
          <w:color w:val="000000"/>
          <w:kern w:val="0"/>
          <w:sz w:val="24"/>
        </w:rPr>
      </w:pPr>
      <w:r>
        <w:rPr>
          <w:rFonts w:hint="eastAsia" w:ascii="宋体" w:hAnsi="宋体"/>
          <w:snapToGrid w:val="0"/>
          <w:kern w:val="0"/>
          <w:sz w:val="24"/>
          <w:szCs w:val="20"/>
        </w:rPr>
        <w:t>（5）</w:t>
      </w:r>
      <w:r>
        <w:rPr>
          <w:rFonts w:hint="eastAsia" w:ascii="宋体" w:hAnsi="宋体" w:cs="宋体"/>
          <w:snapToGrid w:val="0"/>
          <w:color w:val="000000"/>
          <w:kern w:val="0"/>
          <w:sz w:val="24"/>
        </w:rPr>
        <w:t>抽样车辆或冷藏车辆每1辆得1分，满分3分。</w:t>
      </w:r>
      <w:r>
        <w:rPr>
          <w:rFonts w:hint="eastAsia" w:ascii="宋体" w:hAnsi="宋体" w:cs="宋体"/>
          <w:b/>
          <w:snapToGrid w:val="0"/>
          <w:color w:val="000000"/>
          <w:kern w:val="0"/>
          <w:sz w:val="24"/>
        </w:rPr>
        <w:t>（车辆必须为单位所有，须提供购车发票及行驶证原件，否则不得分）</w:t>
      </w:r>
    </w:p>
    <w:p>
      <w:pPr>
        <w:spacing w:line="520" w:lineRule="exact"/>
        <w:ind w:firstLine="480" w:firstLineChars="200"/>
        <w:rPr>
          <w:rFonts w:ascii="宋体" w:hAnsi="宋体"/>
          <w:b/>
          <w:sz w:val="24"/>
        </w:rPr>
      </w:pPr>
      <w:r>
        <w:rPr>
          <w:rFonts w:hint="eastAsia" w:ascii="宋体" w:hAnsi="宋体"/>
          <w:sz w:val="24"/>
        </w:rPr>
        <w:t>(6）取得农产品质量安全检测机构CATL资质证书得4分。（</w:t>
      </w:r>
      <w:r>
        <w:rPr>
          <w:rFonts w:hint="eastAsia" w:ascii="宋体" w:hAnsi="宋体"/>
          <w:b/>
          <w:sz w:val="24"/>
        </w:rPr>
        <w:t>以原件为准）</w:t>
      </w:r>
    </w:p>
    <w:p>
      <w:pPr>
        <w:spacing w:line="520" w:lineRule="exact"/>
        <w:ind w:firstLine="482" w:firstLineChars="200"/>
        <w:rPr>
          <w:rFonts w:ascii="宋体" w:hAnsi="宋体"/>
          <w:b/>
          <w:snapToGrid w:val="0"/>
          <w:kern w:val="0"/>
          <w:sz w:val="24"/>
          <w:szCs w:val="20"/>
        </w:rPr>
      </w:pPr>
      <w:r>
        <w:rPr>
          <w:rFonts w:hint="eastAsia" w:ascii="宋体" w:hAnsi="宋体"/>
          <w:b/>
          <w:snapToGrid w:val="0"/>
          <w:kern w:val="0"/>
          <w:sz w:val="24"/>
          <w:szCs w:val="20"/>
        </w:rPr>
        <w:t>2、业绩情况（</w:t>
      </w:r>
      <w:r>
        <w:rPr>
          <w:rFonts w:hint="eastAsia" w:ascii="宋体" w:hAnsi="宋体"/>
          <w:b/>
          <w:snapToGrid w:val="0"/>
          <w:kern w:val="0"/>
          <w:sz w:val="24"/>
          <w:szCs w:val="20"/>
          <w:lang w:val="en-US" w:eastAsia="zh-CN"/>
        </w:rPr>
        <w:t>5</w:t>
      </w:r>
      <w:r>
        <w:rPr>
          <w:rFonts w:hint="eastAsia" w:ascii="宋体" w:hAnsi="宋体"/>
          <w:b/>
          <w:snapToGrid w:val="0"/>
          <w:kern w:val="0"/>
          <w:sz w:val="24"/>
          <w:szCs w:val="20"/>
        </w:rPr>
        <w:t>分）</w:t>
      </w:r>
    </w:p>
    <w:p>
      <w:pPr>
        <w:spacing w:line="520" w:lineRule="exact"/>
        <w:ind w:firstLine="480" w:firstLineChars="200"/>
        <w:rPr>
          <w:rFonts w:ascii="宋体" w:hAnsi="宋体"/>
          <w:snapToGrid w:val="0"/>
          <w:kern w:val="0"/>
          <w:sz w:val="24"/>
          <w:szCs w:val="20"/>
        </w:rPr>
      </w:pPr>
      <w:r>
        <w:rPr>
          <w:rFonts w:hint="eastAsia" w:ascii="宋体" w:hAnsi="宋体"/>
          <w:snapToGrid w:val="0"/>
          <w:kern w:val="0"/>
          <w:sz w:val="24"/>
          <w:szCs w:val="20"/>
        </w:rPr>
        <w:t>2016年以来承担食品安全抽检项目业绩：承担过地市级以下（不含地市级）政府部门组织的食品安全抽检监测项目，每项 0.5分。承担过地市级以上（含地市级）政府部门组织的食品安全抽检监测项目，每项 1分。满分</w:t>
      </w:r>
      <w:r>
        <w:rPr>
          <w:rFonts w:hint="eastAsia" w:ascii="宋体" w:hAnsi="宋体"/>
          <w:snapToGrid w:val="0"/>
          <w:kern w:val="0"/>
          <w:sz w:val="24"/>
          <w:szCs w:val="20"/>
          <w:lang w:val="en-US" w:eastAsia="zh-CN"/>
        </w:rPr>
        <w:t>5</w:t>
      </w:r>
      <w:r>
        <w:rPr>
          <w:rFonts w:hint="eastAsia" w:ascii="宋体" w:hAnsi="宋体"/>
          <w:snapToGrid w:val="0"/>
          <w:kern w:val="0"/>
          <w:sz w:val="24"/>
          <w:szCs w:val="20"/>
        </w:rPr>
        <w:t>分。（</w:t>
      </w:r>
      <w:r>
        <w:rPr>
          <w:rFonts w:hint="eastAsia" w:ascii="宋体" w:hAnsi="宋体"/>
          <w:b/>
          <w:snapToGrid w:val="0"/>
          <w:kern w:val="0"/>
          <w:sz w:val="24"/>
          <w:szCs w:val="20"/>
        </w:rPr>
        <w:t>提供相关合同（或中标通知书）和发票原件为准</w:t>
      </w:r>
      <w:r>
        <w:rPr>
          <w:rFonts w:hint="eastAsia" w:ascii="宋体" w:hAnsi="宋体"/>
          <w:snapToGrid w:val="0"/>
          <w:kern w:val="0"/>
          <w:sz w:val="24"/>
          <w:szCs w:val="20"/>
        </w:rPr>
        <w:t>）</w:t>
      </w:r>
    </w:p>
    <w:p>
      <w:pPr>
        <w:spacing w:line="520" w:lineRule="exact"/>
        <w:ind w:firstLine="482" w:firstLineChars="200"/>
        <w:rPr>
          <w:rFonts w:ascii="宋体" w:hAnsi="宋体"/>
          <w:b/>
          <w:snapToGrid w:val="0"/>
          <w:kern w:val="0"/>
          <w:sz w:val="24"/>
          <w:szCs w:val="20"/>
        </w:rPr>
      </w:pPr>
      <w:r>
        <w:rPr>
          <w:rFonts w:hint="eastAsia" w:ascii="宋体" w:hAnsi="宋体"/>
          <w:b/>
          <w:snapToGrid w:val="0"/>
          <w:kern w:val="0"/>
          <w:sz w:val="24"/>
          <w:szCs w:val="20"/>
        </w:rPr>
        <w:t>3、单位场地（5分）</w:t>
      </w:r>
    </w:p>
    <w:p>
      <w:pPr>
        <w:spacing w:line="520" w:lineRule="exact"/>
        <w:ind w:firstLine="480" w:firstLineChars="200"/>
        <w:rPr>
          <w:rFonts w:ascii="宋体" w:hAnsi="宋体"/>
          <w:snapToGrid w:val="0"/>
          <w:kern w:val="0"/>
          <w:sz w:val="24"/>
          <w:szCs w:val="20"/>
        </w:rPr>
      </w:pPr>
      <w:r>
        <w:rPr>
          <w:rFonts w:hint="eastAsia" w:ascii="宋体" w:hAnsi="宋体"/>
          <w:snapToGrid w:val="0"/>
          <w:kern w:val="0"/>
          <w:sz w:val="24"/>
          <w:szCs w:val="20"/>
        </w:rPr>
        <w:t>（1）投标单位具有独立实验室，投标单位设立办公及实验室面积2000平方米以上的得2分，每超过面积500平米加1分，最高4分；该项以房屋租赁合同或产权证明为准。（0-4分）</w:t>
      </w:r>
    </w:p>
    <w:p>
      <w:pPr>
        <w:spacing w:line="520" w:lineRule="exact"/>
        <w:ind w:firstLine="480" w:firstLineChars="200"/>
        <w:rPr>
          <w:rFonts w:ascii="宋体" w:hAnsi="宋体"/>
          <w:snapToGrid w:val="0"/>
          <w:kern w:val="0"/>
          <w:sz w:val="24"/>
          <w:szCs w:val="20"/>
        </w:rPr>
      </w:pPr>
      <w:r>
        <w:rPr>
          <w:rFonts w:hint="eastAsia" w:ascii="宋体" w:hAnsi="宋体"/>
          <w:snapToGrid w:val="0"/>
          <w:kern w:val="0"/>
          <w:sz w:val="24"/>
          <w:szCs w:val="20"/>
        </w:rPr>
        <w:t>（2）投标单位具有格局合理的微生物检验区和理化检验区得1分。（0-1分）</w:t>
      </w:r>
    </w:p>
    <w:p>
      <w:pPr>
        <w:spacing w:line="520" w:lineRule="exact"/>
        <w:ind w:firstLine="480" w:firstLineChars="200"/>
        <w:rPr>
          <w:rFonts w:ascii="宋体" w:hAnsi="宋体"/>
          <w:snapToGrid w:val="0"/>
          <w:kern w:val="0"/>
          <w:sz w:val="24"/>
          <w:szCs w:val="20"/>
        </w:rPr>
      </w:pPr>
      <w:r>
        <w:rPr>
          <w:rFonts w:hint="eastAsia" w:ascii="宋体" w:hAnsi="宋体"/>
          <w:snapToGrid w:val="0"/>
          <w:kern w:val="0"/>
          <w:sz w:val="24"/>
          <w:szCs w:val="20"/>
        </w:rPr>
        <w:t>【上述部分须提供详细地址、场地所有权证明或租赁使用合同原件、工作场地照片，场地布局平面图等证明材料】</w:t>
      </w:r>
    </w:p>
    <w:p>
      <w:pPr>
        <w:spacing w:line="520" w:lineRule="exact"/>
        <w:ind w:firstLine="482" w:firstLineChars="200"/>
        <w:rPr>
          <w:rFonts w:ascii="宋体" w:hAnsi="宋体"/>
          <w:b/>
          <w:snapToGrid w:val="0"/>
          <w:kern w:val="0"/>
          <w:sz w:val="24"/>
          <w:szCs w:val="20"/>
        </w:rPr>
      </w:pPr>
      <w:r>
        <w:rPr>
          <w:rFonts w:hint="eastAsia" w:ascii="宋体" w:hAnsi="宋体"/>
          <w:b/>
          <w:snapToGrid w:val="0"/>
          <w:kern w:val="0"/>
          <w:sz w:val="24"/>
          <w:szCs w:val="20"/>
        </w:rPr>
        <w:t>(二)、技术部分（</w:t>
      </w:r>
      <w:r>
        <w:rPr>
          <w:rFonts w:hint="eastAsia" w:ascii="宋体" w:hAnsi="宋体"/>
          <w:b/>
          <w:snapToGrid w:val="0"/>
          <w:kern w:val="0"/>
          <w:sz w:val="24"/>
          <w:szCs w:val="20"/>
          <w:lang w:val="en-US" w:eastAsia="zh-CN"/>
        </w:rPr>
        <w:t>50</w:t>
      </w:r>
      <w:r>
        <w:rPr>
          <w:rFonts w:hint="eastAsia" w:ascii="宋体" w:hAnsi="宋体"/>
          <w:b/>
          <w:snapToGrid w:val="0"/>
          <w:kern w:val="0"/>
          <w:sz w:val="24"/>
          <w:szCs w:val="20"/>
        </w:rPr>
        <w:t>分）</w:t>
      </w:r>
    </w:p>
    <w:p>
      <w:pPr>
        <w:spacing w:line="520" w:lineRule="exact"/>
        <w:ind w:firstLine="482" w:firstLineChars="200"/>
        <w:rPr>
          <w:rFonts w:ascii="宋体" w:hAnsi="宋体"/>
          <w:b/>
          <w:snapToGrid w:val="0"/>
          <w:kern w:val="0"/>
          <w:sz w:val="24"/>
          <w:szCs w:val="20"/>
        </w:rPr>
      </w:pPr>
      <w:r>
        <w:rPr>
          <w:rFonts w:hint="eastAsia" w:ascii="宋体" w:hAnsi="宋体"/>
          <w:b/>
          <w:snapToGrid w:val="0"/>
          <w:kern w:val="0"/>
          <w:sz w:val="24"/>
          <w:szCs w:val="20"/>
        </w:rPr>
        <w:t>1、设备情况（1</w:t>
      </w:r>
      <w:r>
        <w:rPr>
          <w:rFonts w:hint="eastAsia" w:ascii="宋体" w:hAnsi="宋体"/>
          <w:b/>
          <w:snapToGrid w:val="0"/>
          <w:kern w:val="0"/>
          <w:sz w:val="24"/>
          <w:szCs w:val="20"/>
          <w:lang w:val="en-US" w:eastAsia="zh-CN"/>
        </w:rPr>
        <w:t>0</w:t>
      </w:r>
      <w:r>
        <w:rPr>
          <w:rFonts w:hint="eastAsia" w:ascii="宋体" w:hAnsi="宋体"/>
          <w:b/>
          <w:snapToGrid w:val="0"/>
          <w:kern w:val="0"/>
          <w:sz w:val="24"/>
          <w:szCs w:val="20"/>
        </w:rPr>
        <w:t>分）</w:t>
      </w:r>
    </w:p>
    <w:p>
      <w:pPr>
        <w:spacing w:line="520" w:lineRule="exact"/>
        <w:ind w:firstLine="480" w:firstLineChars="200"/>
        <w:rPr>
          <w:rFonts w:ascii="宋体" w:hAnsi="宋体"/>
          <w:b/>
          <w:snapToGrid w:val="0"/>
          <w:kern w:val="0"/>
          <w:sz w:val="24"/>
          <w:szCs w:val="20"/>
        </w:rPr>
      </w:pPr>
      <w:r>
        <w:rPr>
          <w:rFonts w:hint="eastAsia" w:ascii="宋体" w:hAnsi="宋体"/>
          <w:snapToGrid w:val="0"/>
          <w:kern w:val="0"/>
          <w:sz w:val="24"/>
          <w:szCs w:val="20"/>
        </w:rPr>
        <w:t>（1）实验室具备承担多项目多频次检测任务所需的必需设备，包括：GC（气相色谱仪）、GC/MS（气相色谱/质谱联用仪）、HPLC（高效液相色谱仪）2台、HLPC/MS（液相色谱/质谱联用仪）、ICP-MS（电感耦合等离子体质谱）、IC（离子色谱仪）、AAS（原子吸收分光光度计）、AFS（原子荧光光度计）、紫外可见分光光度计等食品检验核心设备以上设备每1台</w:t>
      </w:r>
      <w:r>
        <w:rPr>
          <w:rFonts w:hint="eastAsia" w:ascii="宋体" w:hAnsi="宋体"/>
          <w:snapToGrid w:val="0"/>
          <w:kern w:val="0"/>
          <w:sz w:val="24"/>
          <w:szCs w:val="20"/>
          <w:lang w:eastAsia="zh-CN"/>
        </w:rPr>
        <w:t>设备得</w:t>
      </w:r>
      <w:r>
        <w:rPr>
          <w:rFonts w:hint="eastAsia" w:ascii="宋体" w:hAnsi="宋体"/>
          <w:snapToGrid w:val="0"/>
          <w:kern w:val="0"/>
          <w:sz w:val="24"/>
          <w:szCs w:val="20"/>
          <w:lang w:val="en-US" w:eastAsia="zh-CN"/>
        </w:rPr>
        <w:t>1</w:t>
      </w:r>
      <w:r>
        <w:rPr>
          <w:rFonts w:hint="eastAsia" w:ascii="宋体" w:hAnsi="宋体"/>
          <w:snapToGrid w:val="0"/>
          <w:kern w:val="0"/>
          <w:sz w:val="24"/>
          <w:szCs w:val="20"/>
        </w:rPr>
        <w:t>分，</w:t>
      </w:r>
      <w:r>
        <w:rPr>
          <w:rFonts w:hint="eastAsia" w:ascii="宋体" w:hAnsi="宋体"/>
          <w:snapToGrid w:val="0"/>
          <w:kern w:val="0"/>
          <w:sz w:val="24"/>
          <w:szCs w:val="20"/>
          <w:lang w:eastAsia="zh-CN"/>
        </w:rPr>
        <w:t>最高</w:t>
      </w:r>
      <w:r>
        <w:rPr>
          <w:rFonts w:hint="eastAsia" w:ascii="宋体" w:hAnsi="宋体"/>
          <w:snapToGrid w:val="0"/>
          <w:kern w:val="0"/>
          <w:sz w:val="24"/>
          <w:szCs w:val="20"/>
          <w:lang w:val="en-US" w:eastAsia="zh-CN"/>
        </w:rPr>
        <w:t>10分</w:t>
      </w:r>
      <w:r>
        <w:rPr>
          <w:rFonts w:hint="eastAsia" w:ascii="宋体" w:hAnsi="宋体"/>
          <w:snapToGrid w:val="0"/>
          <w:kern w:val="0"/>
          <w:sz w:val="24"/>
          <w:szCs w:val="20"/>
        </w:rPr>
        <w:t>。</w:t>
      </w:r>
      <w:r>
        <w:rPr>
          <w:rFonts w:hint="eastAsia" w:ascii="宋体" w:hAnsi="宋体"/>
          <w:b/>
          <w:snapToGrid w:val="0"/>
          <w:kern w:val="0"/>
          <w:sz w:val="24"/>
          <w:szCs w:val="20"/>
        </w:rPr>
        <w:t>（审验校准证书原件，无校准证书原件不得分）  （0-10分）</w:t>
      </w:r>
    </w:p>
    <w:p>
      <w:pPr>
        <w:spacing w:line="520" w:lineRule="exact"/>
        <w:ind w:firstLine="477" w:firstLineChars="198"/>
        <w:rPr>
          <w:rFonts w:ascii="宋体" w:hAnsi="宋体"/>
          <w:b/>
          <w:sz w:val="24"/>
        </w:rPr>
      </w:pPr>
      <w:r>
        <w:rPr>
          <w:rFonts w:hint="eastAsia" w:ascii="宋体" w:hAnsi="宋体"/>
          <w:b/>
          <w:sz w:val="24"/>
        </w:rPr>
        <w:t>2.人员配备情况（6分）</w:t>
      </w:r>
    </w:p>
    <w:p>
      <w:pPr>
        <w:spacing w:line="520" w:lineRule="exact"/>
        <w:ind w:firstLine="480" w:firstLineChars="200"/>
        <w:rPr>
          <w:rFonts w:hint="eastAsia" w:ascii="宋体" w:hAnsi="宋体" w:cs="宋体"/>
          <w:b/>
          <w:snapToGrid w:val="0"/>
          <w:color w:val="000000"/>
          <w:kern w:val="0"/>
          <w:sz w:val="24"/>
        </w:rPr>
      </w:pPr>
      <w:r>
        <w:rPr>
          <w:rFonts w:hint="eastAsia" w:ascii="宋体" w:hAnsi="宋体" w:cs="宋体"/>
          <w:snapToGrid w:val="0"/>
          <w:color w:val="000000"/>
          <w:kern w:val="0"/>
          <w:sz w:val="24"/>
        </w:rPr>
        <w:t>投标人具有副高及高级职称者每位得1分；具有中级职称证者每位得0.5分；满分为6分。</w:t>
      </w:r>
      <w:r>
        <w:rPr>
          <w:rFonts w:hint="eastAsia" w:ascii="宋体" w:hAnsi="宋体" w:cs="宋体"/>
          <w:b/>
          <w:snapToGrid w:val="0"/>
          <w:color w:val="000000"/>
          <w:kern w:val="0"/>
          <w:sz w:val="24"/>
        </w:rPr>
        <w:t>（以提供职称证原件为准，退休返聘都提供劳动合同原件）</w:t>
      </w:r>
    </w:p>
    <w:p>
      <w:pPr>
        <w:spacing w:line="520" w:lineRule="exact"/>
        <w:ind w:firstLine="482" w:firstLineChars="200"/>
        <w:rPr>
          <w:rFonts w:hint="eastAsia" w:ascii="宋体" w:hAnsi="宋体" w:cs="宋体"/>
          <w:b/>
          <w:snapToGrid w:val="0"/>
          <w:color w:val="000000"/>
          <w:kern w:val="0"/>
          <w:sz w:val="24"/>
          <w:lang w:val="en-US" w:eastAsia="zh-CN"/>
        </w:rPr>
      </w:pPr>
      <w:r>
        <w:rPr>
          <w:rFonts w:hint="eastAsia" w:ascii="宋体" w:hAnsi="宋体" w:cs="宋体"/>
          <w:b/>
          <w:snapToGrid w:val="0"/>
          <w:color w:val="000000"/>
          <w:kern w:val="0"/>
          <w:sz w:val="24"/>
          <w:lang w:val="en-US" w:eastAsia="zh-CN"/>
        </w:rPr>
        <w:t>3.检验项目覆盖率（3分）</w:t>
      </w:r>
    </w:p>
    <w:p>
      <w:pPr>
        <w:spacing w:line="520" w:lineRule="exact"/>
        <w:ind w:firstLine="482" w:firstLineChars="200"/>
        <w:rPr>
          <w:rFonts w:hint="eastAsia" w:ascii="宋体" w:hAnsi="宋体" w:eastAsia="宋体" w:cs="宋体"/>
          <w:b/>
          <w:snapToGrid w:val="0"/>
          <w:color w:val="000000"/>
          <w:kern w:val="0"/>
          <w:sz w:val="24"/>
          <w:lang w:val="en-US" w:eastAsia="zh-CN"/>
        </w:rPr>
      </w:pPr>
      <w:r>
        <w:rPr>
          <w:rFonts w:hint="eastAsia" w:ascii="宋体" w:hAnsi="宋体" w:cs="宋体"/>
          <w:b/>
          <w:snapToGrid w:val="0"/>
          <w:color w:val="000000"/>
          <w:kern w:val="0"/>
          <w:sz w:val="24"/>
          <w:lang w:val="en-US" w:eastAsia="zh-CN"/>
        </w:rPr>
        <w:t>根据招标文件附表上报的食品细类（填报单批次总报价）覆盖率：90%（含）及以上3分，60%（含）-90%（不含）得1分，低于60％不得分。</w:t>
      </w:r>
    </w:p>
    <w:p>
      <w:pPr>
        <w:spacing w:line="520" w:lineRule="exact"/>
        <w:ind w:firstLine="482" w:firstLineChars="200"/>
        <w:rPr>
          <w:rFonts w:ascii="宋体" w:hAnsi="宋体"/>
          <w:b/>
          <w:sz w:val="24"/>
        </w:rPr>
      </w:pPr>
      <w:r>
        <w:rPr>
          <w:rFonts w:hint="eastAsia" w:ascii="宋体" w:hAnsi="宋体"/>
          <w:b/>
          <w:sz w:val="24"/>
          <w:lang w:val="en-US" w:eastAsia="zh-CN"/>
        </w:rPr>
        <w:t>4</w:t>
      </w:r>
      <w:r>
        <w:rPr>
          <w:rFonts w:hint="eastAsia" w:ascii="宋体" w:hAnsi="宋体"/>
          <w:b/>
          <w:sz w:val="24"/>
        </w:rPr>
        <w:t>、技术</w:t>
      </w:r>
      <w:r>
        <w:rPr>
          <w:rFonts w:ascii="宋体" w:hAnsi="宋体"/>
          <w:b/>
          <w:sz w:val="24"/>
        </w:rPr>
        <w:t>方案（</w:t>
      </w:r>
      <w:r>
        <w:rPr>
          <w:rFonts w:hint="eastAsia" w:ascii="宋体" w:hAnsi="宋体"/>
          <w:b/>
          <w:sz w:val="24"/>
        </w:rPr>
        <w:t>18</w:t>
      </w:r>
      <w:r>
        <w:rPr>
          <w:rFonts w:ascii="宋体" w:hAnsi="宋体"/>
          <w:b/>
          <w:sz w:val="24"/>
        </w:rPr>
        <w:t>分）</w:t>
      </w:r>
    </w:p>
    <w:p>
      <w:pPr>
        <w:spacing w:line="520" w:lineRule="exact"/>
        <w:ind w:firstLine="480" w:firstLineChars="200"/>
        <w:rPr>
          <w:rFonts w:ascii="宋体" w:hAnsi="宋体" w:cs="宋体"/>
          <w:sz w:val="24"/>
        </w:rPr>
      </w:pPr>
      <w:r>
        <w:rPr>
          <w:rFonts w:ascii="宋体" w:hAnsi="宋体" w:cs="宋体"/>
          <w:sz w:val="24"/>
        </w:rPr>
        <w:t>（1）投标人明确技术服务工作方法和管理制度，方法中明确成立专门项目组、实施细则、结果专报机制、客户回访、档案管理机制及应急处置机制等（评标委员会综合对比后在0-</w:t>
      </w:r>
      <w:r>
        <w:rPr>
          <w:rFonts w:hint="eastAsia" w:ascii="宋体" w:hAnsi="宋体" w:cs="宋体"/>
          <w:sz w:val="24"/>
        </w:rPr>
        <w:t>5</w:t>
      </w:r>
      <w:r>
        <w:rPr>
          <w:rFonts w:ascii="宋体" w:hAnsi="宋体" w:cs="宋体"/>
          <w:sz w:val="24"/>
        </w:rPr>
        <w:t>分之间</w:t>
      </w:r>
      <w:r>
        <w:rPr>
          <w:rFonts w:hint="eastAsia" w:ascii="宋体" w:hAnsi="宋体" w:cs="宋体"/>
          <w:sz w:val="24"/>
        </w:rPr>
        <w:t>排序</w:t>
      </w:r>
      <w:r>
        <w:rPr>
          <w:rFonts w:ascii="宋体" w:hAnsi="宋体" w:cs="宋体"/>
          <w:sz w:val="24"/>
        </w:rPr>
        <w:t>打分）；</w:t>
      </w:r>
    </w:p>
    <w:p>
      <w:pPr>
        <w:spacing w:line="520" w:lineRule="exact"/>
        <w:ind w:firstLine="480" w:firstLineChars="200"/>
        <w:rPr>
          <w:rFonts w:ascii="宋体" w:hAnsi="宋体" w:cs="宋体"/>
          <w:sz w:val="24"/>
        </w:rPr>
      </w:pPr>
      <w:r>
        <w:rPr>
          <w:rFonts w:ascii="宋体" w:hAnsi="宋体" w:cs="宋体"/>
          <w:sz w:val="24"/>
        </w:rPr>
        <w:t>（2）投标人明确技术服务工作流程，流程设置合理，分工明确，每个工作流程有细致说明及相关责任人员等（评标委员会综合对比后在0-</w:t>
      </w:r>
      <w:r>
        <w:rPr>
          <w:rFonts w:hint="eastAsia" w:ascii="宋体" w:hAnsi="宋体" w:cs="宋体"/>
          <w:sz w:val="24"/>
        </w:rPr>
        <w:t>5</w:t>
      </w:r>
      <w:r>
        <w:rPr>
          <w:rFonts w:ascii="宋体" w:hAnsi="宋体" w:cs="宋体"/>
          <w:sz w:val="24"/>
        </w:rPr>
        <w:t>分之间</w:t>
      </w:r>
      <w:r>
        <w:rPr>
          <w:rFonts w:hint="eastAsia" w:ascii="宋体" w:hAnsi="宋体" w:cs="宋体"/>
          <w:sz w:val="24"/>
        </w:rPr>
        <w:t>排序</w:t>
      </w:r>
      <w:r>
        <w:rPr>
          <w:rFonts w:ascii="宋体" w:hAnsi="宋体" w:cs="宋体"/>
          <w:sz w:val="24"/>
        </w:rPr>
        <w:t>打分）；</w:t>
      </w:r>
    </w:p>
    <w:p>
      <w:pPr>
        <w:spacing w:line="520" w:lineRule="exact"/>
        <w:ind w:firstLine="480" w:firstLineChars="200"/>
        <w:rPr>
          <w:rFonts w:ascii="宋体" w:hAnsi="宋体" w:cs="宋体"/>
          <w:sz w:val="24"/>
        </w:rPr>
      </w:pPr>
      <w:r>
        <w:rPr>
          <w:rFonts w:ascii="宋体" w:hAnsi="宋体" w:cs="宋体"/>
          <w:sz w:val="24"/>
        </w:rPr>
        <w:t>（3）投标人明确技术服务工作要点，包括抽样工作要点、检测工作要点等内容，明确工作难点，符合实际等（评标委员会综合对比后在0-</w:t>
      </w:r>
      <w:r>
        <w:rPr>
          <w:rFonts w:hint="eastAsia" w:ascii="宋体" w:hAnsi="宋体" w:cs="宋体"/>
          <w:sz w:val="24"/>
        </w:rPr>
        <w:t>5</w:t>
      </w:r>
      <w:r>
        <w:rPr>
          <w:rFonts w:ascii="宋体" w:hAnsi="宋体" w:cs="宋体"/>
          <w:sz w:val="24"/>
        </w:rPr>
        <w:t>分之间</w:t>
      </w:r>
      <w:r>
        <w:rPr>
          <w:rFonts w:hint="eastAsia" w:ascii="宋体" w:hAnsi="宋体" w:cs="宋体"/>
          <w:sz w:val="24"/>
        </w:rPr>
        <w:t>排序</w:t>
      </w:r>
      <w:r>
        <w:rPr>
          <w:rFonts w:ascii="宋体" w:hAnsi="宋体" w:cs="宋体"/>
          <w:sz w:val="24"/>
        </w:rPr>
        <w:t>打分）；</w:t>
      </w:r>
    </w:p>
    <w:p>
      <w:pPr>
        <w:spacing w:line="520" w:lineRule="exact"/>
        <w:ind w:firstLine="480" w:firstLineChars="200"/>
        <w:rPr>
          <w:rFonts w:ascii="宋体" w:hAnsi="宋体" w:cs="宋体"/>
          <w:sz w:val="24"/>
        </w:rPr>
      </w:pPr>
      <w:r>
        <w:rPr>
          <w:rFonts w:ascii="宋体" w:hAnsi="宋体" w:cs="宋体"/>
          <w:sz w:val="24"/>
        </w:rPr>
        <w:t>（</w:t>
      </w:r>
      <w:r>
        <w:rPr>
          <w:rFonts w:hint="eastAsia" w:ascii="宋体" w:hAnsi="宋体" w:cs="宋体"/>
          <w:sz w:val="24"/>
        </w:rPr>
        <w:t>4</w:t>
      </w:r>
      <w:r>
        <w:rPr>
          <w:rFonts w:ascii="宋体" w:hAnsi="宋体" w:cs="宋体"/>
          <w:sz w:val="24"/>
        </w:rPr>
        <w:t>）具有完善的食品抽样检验质量控制方案及措施。（评标委员会综合对比后在0-</w:t>
      </w:r>
      <w:r>
        <w:rPr>
          <w:rFonts w:hint="eastAsia" w:ascii="宋体" w:hAnsi="宋体" w:cs="宋体"/>
          <w:sz w:val="24"/>
        </w:rPr>
        <w:t>3</w:t>
      </w:r>
      <w:r>
        <w:rPr>
          <w:rFonts w:ascii="宋体" w:hAnsi="宋体" w:cs="宋体"/>
          <w:sz w:val="24"/>
        </w:rPr>
        <w:t>分之间排序打分）；</w:t>
      </w:r>
    </w:p>
    <w:p>
      <w:pPr>
        <w:spacing w:line="520" w:lineRule="exact"/>
        <w:ind w:firstLine="593" w:firstLineChars="246"/>
        <w:rPr>
          <w:rFonts w:ascii="宋体" w:hAnsi="宋体"/>
          <w:b/>
          <w:sz w:val="24"/>
        </w:rPr>
      </w:pPr>
      <w:r>
        <w:rPr>
          <w:rFonts w:hint="eastAsia" w:ascii="宋体" w:hAnsi="宋体"/>
          <w:b/>
          <w:sz w:val="24"/>
          <w:lang w:val="en-US" w:eastAsia="zh-CN"/>
        </w:rPr>
        <w:t>5</w:t>
      </w:r>
      <w:r>
        <w:rPr>
          <w:rFonts w:hint="eastAsia" w:ascii="宋体" w:hAnsi="宋体"/>
          <w:b/>
          <w:sz w:val="24"/>
        </w:rPr>
        <w:t>、管理制度（</w:t>
      </w:r>
      <w:r>
        <w:rPr>
          <w:rFonts w:hint="eastAsia" w:ascii="宋体" w:hAnsi="宋体"/>
          <w:b/>
          <w:sz w:val="24"/>
          <w:lang w:val="en-US" w:eastAsia="zh-CN"/>
        </w:rPr>
        <w:t>8</w:t>
      </w:r>
      <w:r>
        <w:rPr>
          <w:rFonts w:hint="eastAsia" w:ascii="宋体" w:hAnsi="宋体"/>
          <w:b/>
          <w:sz w:val="24"/>
        </w:rPr>
        <w:t>分）</w:t>
      </w:r>
    </w:p>
    <w:p>
      <w:pPr>
        <w:spacing w:line="520" w:lineRule="exact"/>
        <w:ind w:firstLine="480" w:firstLineChars="200"/>
        <w:rPr>
          <w:rFonts w:ascii="宋体" w:hAnsi="宋体" w:cs="宋体"/>
          <w:sz w:val="24"/>
        </w:rPr>
      </w:pPr>
      <w:r>
        <w:rPr>
          <w:rFonts w:ascii="宋体" w:hAnsi="宋体" w:cs="宋体"/>
          <w:sz w:val="24"/>
        </w:rPr>
        <w:t>（1）有完善的食品安全检测制度、责任追究制度、检验档案管理制度等管理制度。（评标委员会综合对比后在0-</w:t>
      </w:r>
      <w:r>
        <w:rPr>
          <w:rFonts w:hint="eastAsia" w:ascii="宋体" w:hAnsi="宋体" w:cs="宋体"/>
          <w:sz w:val="24"/>
          <w:lang w:val="en-US" w:eastAsia="zh-CN"/>
        </w:rPr>
        <w:t>3</w:t>
      </w:r>
      <w:r>
        <w:rPr>
          <w:rFonts w:ascii="宋体" w:hAnsi="宋体" w:cs="宋体"/>
          <w:sz w:val="24"/>
        </w:rPr>
        <w:t>分之间排序打分）</w:t>
      </w:r>
    </w:p>
    <w:p>
      <w:pPr>
        <w:spacing w:line="520" w:lineRule="exact"/>
        <w:ind w:firstLine="480" w:firstLineChars="200"/>
        <w:rPr>
          <w:rFonts w:ascii="宋体" w:hAnsi="宋体" w:cs="宋体"/>
          <w:sz w:val="24"/>
        </w:rPr>
      </w:pPr>
      <w:r>
        <w:rPr>
          <w:rFonts w:ascii="宋体" w:hAnsi="宋体" w:cs="宋体"/>
          <w:sz w:val="24"/>
        </w:rPr>
        <w:t>（2）具有切实可行的应急预案措施及方案。（评标委员会综合对比后在0-</w:t>
      </w:r>
      <w:r>
        <w:rPr>
          <w:rFonts w:hint="eastAsia" w:ascii="宋体" w:hAnsi="宋体" w:cs="宋体"/>
          <w:sz w:val="24"/>
          <w:lang w:val="en-US" w:eastAsia="zh-CN"/>
        </w:rPr>
        <w:t>3</w:t>
      </w:r>
      <w:r>
        <w:rPr>
          <w:rFonts w:ascii="宋体" w:hAnsi="宋体" w:cs="宋体"/>
          <w:sz w:val="24"/>
        </w:rPr>
        <w:t>分之间排序打分）</w:t>
      </w:r>
    </w:p>
    <w:p>
      <w:pPr>
        <w:spacing w:line="520" w:lineRule="exact"/>
        <w:ind w:firstLine="480" w:firstLineChars="200"/>
        <w:rPr>
          <w:rFonts w:ascii="宋体" w:hAnsi="宋体" w:cs="宋体"/>
          <w:sz w:val="24"/>
        </w:rPr>
      </w:pPr>
      <w:r>
        <w:rPr>
          <w:rFonts w:ascii="宋体" w:hAnsi="宋体" w:cs="宋体"/>
          <w:sz w:val="24"/>
        </w:rPr>
        <w:t>（3）</w:t>
      </w:r>
      <w:r>
        <w:rPr>
          <w:rFonts w:hint="eastAsia" w:ascii="宋体" w:hAnsi="宋体" w:cs="宋体"/>
          <w:sz w:val="24"/>
        </w:rPr>
        <w:t>根据投标人</w:t>
      </w:r>
      <w:r>
        <w:rPr>
          <w:rFonts w:ascii="宋体" w:hAnsi="宋体" w:cs="宋体"/>
          <w:sz w:val="24"/>
        </w:rPr>
        <w:t>整体实力、检测质量、职业道德、创新能力</w:t>
      </w:r>
      <w:r>
        <w:rPr>
          <w:rFonts w:hint="eastAsia" w:ascii="宋体" w:hAnsi="宋体" w:cs="宋体"/>
          <w:sz w:val="24"/>
        </w:rPr>
        <w:t>等方面</w:t>
      </w:r>
      <w:r>
        <w:rPr>
          <w:rFonts w:ascii="宋体" w:hAnsi="宋体" w:cs="宋体"/>
          <w:sz w:val="24"/>
        </w:rPr>
        <w:t>评标委员会综合对比后在0-</w:t>
      </w:r>
      <w:r>
        <w:rPr>
          <w:rFonts w:hint="eastAsia" w:ascii="宋体" w:hAnsi="宋体" w:cs="宋体"/>
          <w:sz w:val="24"/>
        </w:rPr>
        <w:t>2</w:t>
      </w:r>
      <w:r>
        <w:rPr>
          <w:rFonts w:ascii="宋体" w:hAnsi="宋体" w:cs="宋体"/>
          <w:sz w:val="24"/>
        </w:rPr>
        <w:t>分之间排序打分）</w:t>
      </w:r>
    </w:p>
    <w:p>
      <w:pPr>
        <w:spacing w:line="520" w:lineRule="exact"/>
        <w:rPr>
          <w:rFonts w:ascii="宋体" w:hAnsi="宋体"/>
          <w:sz w:val="24"/>
        </w:rPr>
      </w:pPr>
      <w:r>
        <w:rPr>
          <w:rFonts w:ascii="宋体" w:hAnsi="宋体" w:cs="宋体"/>
          <w:sz w:val="24"/>
        </w:rPr>
        <w:t xml:space="preserve"> </w:t>
      </w:r>
      <w:r>
        <w:rPr>
          <w:rFonts w:hint="eastAsia" w:ascii="宋体" w:hAnsi="宋体" w:cs="宋体"/>
          <w:sz w:val="24"/>
        </w:rPr>
        <w:t xml:space="preserve"> </w:t>
      </w:r>
      <w:r>
        <w:rPr>
          <w:rFonts w:ascii="宋体" w:hAnsi="宋体" w:cs="宋体"/>
          <w:sz w:val="24"/>
        </w:rPr>
        <w:t xml:space="preserve">  以上各小项如有缺项，则所缺小项不得分。</w:t>
      </w:r>
    </w:p>
    <w:p>
      <w:pPr>
        <w:spacing w:line="520" w:lineRule="exact"/>
        <w:ind w:firstLine="472" w:firstLineChars="196"/>
        <w:rPr>
          <w:rFonts w:ascii="宋体" w:hAnsi="宋体"/>
          <w:b/>
          <w:sz w:val="24"/>
        </w:rPr>
      </w:pPr>
      <w:r>
        <w:rPr>
          <w:rFonts w:hint="eastAsia" w:ascii="宋体" w:hAnsi="宋体"/>
          <w:b/>
          <w:sz w:val="24"/>
          <w:lang w:val="en-US" w:eastAsia="zh-CN"/>
        </w:rPr>
        <w:t>6</w:t>
      </w:r>
      <w:r>
        <w:rPr>
          <w:rFonts w:hint="eastAsia" w:ascii="宋体" w:hAnsi="宋体"/>
          <w:b/>
          <w:sz w:val="24"/>
        </w:rPr>
        <w:t>、服务承诺（5分）</w:t>
      </w:r>
    </w:p>
    <w:p>
      <w:pPr>
        <w:spacing w:line="520" w:lineRule="exact"/>
        <w:ind w:firstLine="480" w:firstLineChars="200"/>
        <w:rPr>
          <w:rFonts w:ascii="宋体" w:hAnsi="宋体" w:cs="宋体"/>
          <w:sz w:val="24"/>
        </w:rPr>
      </w:pPr>
      <w:r>
        <w:rPr>
          <w:rFonts w:hint="eastAsia" w:ascii="宋体" w:hAnsi="宋体" w:cs="宋体"/>
          <w:sz w:val="24"/>
        </w:rPr>
        <w:t>（1）</w:t>
      </w:r>
      <w:r>
        <w:rPr>
          <w:rFonts w:ascii="宋体" w:hAnsi="宋体" w:cs="宋体"/>
          <w:sz w:val="24"/>
        </w:rPr>
        <w:t>与采购单位提供咨询、食品安全风险评估、合理化建议及对本次项目重视程度等全方位服务，评标委员会根据各投标单位承诺的服务项目内容，综合评定打分。（评标委员会综合对比后在0-</w:t>
      </w:r>
      <w:r>
        <w:rPr>
          <w:rFonts w:hint="eastAsia" w:ascii="宋体" w:hAnsi="宋体" w:cs="宋体"/>
          <w:sz w:val="24"/>
        </w:rPr>
        <w:t>4</w:t>
      </w:r>
      <w:r>
        <w:rPr>
          <w:rFonts w:ascii="宋体" w:hAnsi="宋体" w:cs="宋体"/>
          <w:sz w:val="24"/>
        </w:rPr>
        <w:t>分之间排序打分）</w:t>
      </w:r>
    </w:p>
    <w:p>
      <w:pPr>
        <w:spacing w:line="520" w:lineRule="exact"/>
        <w:ind w:firstLine="480" w:firstLineChars="200"/>
        <w:rPr>
          <w:rFonts w:ascii="宋体" w:hAnsi="宋体" w:cs="宋体"/>
          <w:sz w:val="24"/>
        </w:rPr>
      </w:pPr>
      <w:r>
        <w:rPr>
          <w:rFonts w:hint="eastAsia" w:ascii="宋体" w:hAnsi="宋体" w:cs="宋体"/>
          <w:sz w:val="24"/>
        </w:rPr>
        <w:t>（2）</w:t>
      </w:r>
      <w:r>
        <w:rPr>
          <w:rFonts w:ascii="宋体" w:hAnsi="宋体" w:cs="宋体"/>
          <w:sz w:val="24"/>
        </w:rPr>
        <w:t>投标人承诺与采购人及相关单位建立定期或不定期的沟通服务及方案的得1分，没有不得分。</w:t>
      </w:r>
    </w:p>
    <w:p>
      <w:pPr>
        <w:spacing w:line="520" w:lineRule="exact"/>
        <w:ind w:firstLine="482" w:firstLineChars="200"/>
        <w:rPr>
          <w:rFonts w:hint="eastAsia" w:ascii="宋体" w:hAnsi="宋体"/>
          <w:b/>
          <w:snapToGrid w:val="0"/>
          <w:color w:val="0000FF"/>
          <w:kern w:val="0"/>
          <w:sz w:val="24"/>
          <w:szCs w:val="20"/>
        </w:rPr>
      </w:pPr>
      <w:r>
        <w:rPr>
          <w:rFonts w:hint="eastAsia" w:ascii="宋体" w:hAnsi="宋体"/>
          <w:b/>
          <w:snapToGrid w:val="0"/>
          <w:kern w:val="0"/>
          <w:sz w:val="24"/>
          <w:szCs w:val="20"/>
        </w:rPr>
        <w:t>(三</w:t>
      </w:r>
      <w:r>
        <w:rPr>
          <w:rFonts w:ascii="宋体" w:hAnsi="宋体"/>
          <w:b/>
          <w:snapToGrid w:val="0"/>
          <w:kern w:val="0"/>
          <w:sz w:val="24"/>
          <w:szCs w:val="20"/>
        </w:rPr>
        <w:t>）</w:t>
      </w:r>
      <w:r>
        <w:rPr>
          <w:rFonts w:hint="eastAsia" w:ascii="宋体" w:hAnsi="宋体"/>
          <w:b/>
          <w:snapToGrid w:val="0"/>
          <w:kern w:val="0"/>
          <w:sz w:val="24"/>
          <w:szCs w:val="20"/>
        </w:rPr>
        <w:t>报价评分（</w:t>
      </w:r>
      <w:r>
        <w:rPr>
          <w:rFonts w:hint="eastAsia" w:ascii="宋体" w:hAnsi="宋体"/>
          <w:b/>
          <w:snapToGrid w:val="0"/>
          <w:kern w:val="0"/>
          <w:sz w:val="24"/>
          <w:szCs w:val="20"/>
          <w:lang w:val="en-US" w:eastAsia="zh-CN"/>
        </w:rPr>
        <w:t>20</w:t>
      </w:r>
      <w:r>
        <w:rPr>
          <w:rFonts w:hint="eastAsia" w:ascii="宋体" w:hAnsi="宋体"/>
          <w:b/>
          <w:snapToGrid w:val="0"/>
          <w:kern w:val="0"/>
          <w:sz w:val="24"/>
          <w:szCs w:val="20"/>
        </w:rPr>
        <w:t>分）</w:t>
      </w:r>
    </w:p>
    <w:p>
      <w:pPr>
        <w:snapToGrid w:val="0"/>
        <w:spacing w:line="520" w:lineRule="exact"/>
        <w:ind w:firstLine="480" w:firstLineChars="200"/>
        <w:rPr>
          <w:rFonts w:hint="eastAsia" w:ascii="宋体" w:hAnsi="宋体" w:cs="宋体"/>
          <w:snapToGrid w:val="0"/>
          <w:color w:val="000000"/>
          <w:kern w:val="0"/>
          <w:sz w:val="24"/>
          <w:lang w:val="en-US" w:eastAsia="zh-CN"/>
        </w:rPr>
      </w:pPr>
      <w:r>
        <w:rPr>
          <w:rFonts w:hint="eastAsia" w:ascii="宋体" w:hAnsi="宋体" w:cs="宋体"/>
          <w:snapToGrid w:val="0"/>
          <w:color w:val="000000"/>
          <w:kern w:val="0"/>
          <w:sz w:val="24"/>
        </w:rPr>
        <w:t>报价得分=最低有效投标报价/有效投标报价×</w:t>
      </w:r>
      <w:r>
        <w:rPr>
          <w:rFonts w:hint="eastAsia" w:ascii="宋体" w:hAnsi="宋体" w:cs="宋体"/>
          <w:snapToGrid w:val="0"/>
          <w:color w:val="000000"/>
          <w:kern w:val="0"/>
          <w:sz w:val="24"/>
          <w:lang w:val="en-US" w:eastAsia="zh-CN"/>
        </w:rPr>
        <w:t>20</w:t>
      </w:r>
    </w:p>
    <w:p>
      <w:pPr>
        <w:spacing w:line="520" w:lineRule="exact"/>
        <w:ind w:firstLine="480" w:firstLineChars="200"/>
        <w:outlineLvl w:val="1"/>
        <w:rPr>
          <w:color w:val="FF0000"/>
          <w:sz w:val="24"/>
        </w:rPr>
      </w:pPr>
      <w:r>
        <w:rPr>
          <w:rFonts w:hint="eastAsia"/>
          <w:color w:val="FF0000"/>
          <w:sz w:val="24"/>
        </w:rPr>
        <w:t>注：分值计算保留小数点后两位，小数点后第三位“四舍五入”。</w:t>
      </w:r>
    </w:p>
    <w:p>
      <w:pPr>
        <w:spacing w:line="520" w:lineRule="exact"/>
        <w:ind w:firstLine="480" w:firstLineChars="200"/>
        <w:rPr>
          <w:rFonts w:hint="eastAsia" w:ascii="宋体" w:hAnsi="宋体" w:cs="宋体"/>
          <w:snapToGrid w:val="0"/>
          <w:color w:val="000000"/>
          <w:kern w:val="0"/>
          <w:sz w:val="24"/>
          <w:lang w:val="en-US" w:eastAsia="zh-CN"/>
        </w:rPr>
      </w:pPr>
      <w:r>
        <w:rPr>
          <w:rFonts w:hint="eastAsia"/>
          <w:color w:val="FF0000"/>
          <w:sz w:val="24"/>
        </w:rPr>
        <w:t>评标委员会认为投标人的报价明显低于其他通过符合性审查投标人的报价，有可能影响产品质量或者不能诚信履约的，应当要求其在评标现场合理的时间内提供书面说明，必要时提交相关证明材料</w:t>
      </w:r>
      <w:r>
        <w:rPr>
          <w:color w:val="FF0000"/>
          <w:sz w:val="24"/>
        </w:rPr>
        <w:t>;</w:t>
      </w:r>
      <w:r>
        <w:rPr>
          <w:rFonts w:hint="eastAsia"/>
          <w:color w:val="FF0000"/>
          <w:sz w:val="24"/>
        </w:rPr>
        <w:t>投标人不能证明其报价合理性的，评标委员会应当将其作为无效投标处理。</w:t>
      </w:r>
    </w:p>
    <w:p>
      <w:pPr>
        <w:spacing w:line="520" w:lineRule="exact"/>
        <w:ind w:firstLine="482" w:firstLineChars="200"/>
        <w:rPr>
          <w:rFonts w:hint="eastAsia" w:ascii="宋体" w:hAnsi="宋体"/>
          <w:b/>
          <w:bCs/>
          <w:sz w:val="24"/>
        </w:rPr>
      </w:pPr>
      <w:r>
        <w:rPr>
          <w:rFonts w:hint="eastAsia" w:ascii="宋体" w:hAnsi="宋体"/>
          <w:b/>
          <w:bCs/>
          <w:sz w:val="24"/>
        </w:rPr>
        <w:t>二、定标原则</w:t>
      </w:r>
    </w:p>
    <w:p>
      <w:pPr>
        <w:spacing w:line="520" w:lineRule="exact"/>
        <w:ind w:firstLine="482" w:firstLineChars="200"/>
        <w:rPr>
          <w:rFonts w:ascii="宋体" w:hAnsi="宋体"/>
          <w:b/>
          <w:sz w:val="24"/>
        </w:rPr>
      </w:pPr>
      <w:r>
        <w:rPr>
          <w:rFonts w:hint="eastAsia" w:ascii="宋体" w:hAnsi="宋体"/>
          <w:b/>
          <w:sz w:val="24"/>
        </w:rPr>
        <w:t>1评标委员会按照招标文件中的评标原则、评标程序及评分标准评定投标人名次，投标人的排名按得分顺序从高到低排列</w:t>
      </w:r>
      <w:r>
        <w:rPr>
          <w:rFonts w:hint="eastAsia" w:ascii="宋体" w:hAnsi="宋体"/>
          <w:b/>
          <w:sz w:val="24"/>
          <w:lang w:val="en-US" w:eastAsia="zh-CN"/>
        </w:rPr>
        <w:t xml:space="preserve"> 5家</w:t>
      </w:r>
      <w:r>
        <w:rPr>
          <w:rFonts w:hint="eastAsia" w:ascii="宋体" w:hAnsi="宋体"/>
          <w:b/>
          <w:sz w:val="24"/>
        </w:rPr>
        <w:t>。</w:t>
      </w:r>
    </w:p>
    <w:p>
      <w:pPr>
        <w:snapToGrid w:val="0"/>
        <w:spacing w:line="520" w:lineRule="exact"/>
        <w:ind w:firstLine="482" w:firstLineChars="200"/>
        <w:rPr>
          <w:rFonts w:hint="eastAsia" w:ascii="宋体" w:hAnsi="宋体"/>
          <w:b/>
          <w:sz w:val="24"/>
        </w:rPr>
      </w:pPr>
      <w:r>
        <w:rPr>
          <w:rFonts w:hint="eastAsia" w:ascii="宋体" w:hAnsi="宋体"/>
          <w:b/>
          <w:sz w:val="24"/>
        </w:rPr>
        <w:t>2、</w:t>
      </w:r>
      <w:r>
        <w:rPr>
          <w:rFonts w:hint="eastAsia" w:ascii="宋体" w:hAnsi="宋体" w:cs="宋体"/>
          <w:b/>
          <w:sz w:val="24"/>
          <w:lang w:val="zh-CN"/>
        </w:rPr>
        <w:t>各投标人的最终得分：评标委员会成员对上述各项分别打分、汇总后的算术平均值，采用四舍五入法，保留小数点后二位</w:t>
      </w:r>
      <w:r>
        <w:rPr>
          <w:rFonts w:hint="eastAsia" w:ascii="宋体" w:hAnsi="宋体"/>
          <w:b/>
          <w:sz w:val="24"/>
        </w:rPr>
        <w:t>。</w:t>
      </w:r>
    </w:p>
    <w:p>
      <w:pPr>
        <w:autoSpaceDE w:val="0"/>
        <w:autoSpaceDN w:val="0"/>
        <w:adjustRightInd w:val="0"/>
        <w:snapToGrid w:val="0"/>
        <w:spacing w:line="520" w:lineRule="exact"/>
        <w:ind w:firstLine="480"/>
        <w:rPr>
          <w:rFonts w:hint="eastAsia" w:ascii="宋体" w:hAnsi="宋体" w:cs="宋体"/>
          <w:b/>
          <w:sz w:val="24"/>
          <w:lang w:val="zh-CN"/>
        </w:rPr>
      </w:pPr>
      <w:r>
        <w:rPr>
          <w:rFonts w:hint="eastAsia" w:ascii="宋体" w:hAnsi="宋体"/>
          <w:b/>
          <w:sz w:val="24"/>
        </w:rPr>
        <w:t>3、</w:t>
      </w:r>
      <w:r>
        <w:rPr>
          <w:rFonts w:hint="eastAsia" w:ascii="宋体" w:hAnsi="宋体" w:cs="宋体"/>
          <w:b/>
          <w:sz w:val="24"/>
          <w:lang w:val="zh-CN"/>
        </w:rPr>
        <w:t>本评分办法中的各种有效证明材料，投标人必须在投标文件中提供完整的复印件，且在评标时须同时提供与复印件一致的原件，否则不得分</w:t>
      </w:r>
      <w:r>
        <w:rPr>
          <w:rFonts w:hint="eastAsia" w:ascii="宋体" w:hAnsi="宋体"/>
          <w:b/>
          <w:sz w:val="24"/>
        </w:rPr>
        <w:t>（标书中存在虚报、错报检测资质行为的，经查实后直接取消中标资格）</w:t>
      </w:r>
      <w:r>
        <w:rPr>
          <w:rFonts w:hint="eastAsia" w:ascii="宋体" w:hAnsi="宋体" w:cs="宋体"/>
          <w:b/>
          <w:sz w:val="24"/>
          <w:lang w:val="zh-CN"/>
        </w:rPr>
        <w:t>。</w:t>
      </w:r>
    </w:p>
    <w:p>
      <w:pPr>
        <w:spacing w:line="360" w:lineRule="auto"/>
        <w:ind w:firstLine="480"/>
        <w:textAlignment w:val="baseline"/>
        <w:rPr>
          <w:rFonts w:hint="eastAsia" w:ascii="仿宋" w:hAnsi="仿宋" w:eastAsia="仿宋" w:cs="仿宋"/>
          <w:b/>
          <w:bCs/>
          <w:sz w:val="24"/>
          <w:szCs w:val="24"/>
          <w:lang w:eastAsia="zh-CN"/>
        </w:rPr>
      </w:pPr>
      <w:r>
        <w:rPr>
          <w:rFonts w:hint="eastAsia" w:ascii="宋体" w:hAnsi="宋体" w:cs="宋体"/>
          <w:b/>
          <w:sz w:val="24"/>
          <w:lang w:val="zh-CN"/>
        </w:rPr>
        <w:t>4、本评分办法中涉及提供人员相关情况的，均须同时提供投标截止时间前三个月内任何一个月本单位为其缴纳社会保险的证明材料，否则不</w:t>
      </w:r>
      <w:r>
        <w:rPr>
          <w:rFonts w:hint="eastAsia" w:ascii="宋体" w:hAnsi="宋体" w:cs="宋体"/>
          <w:b/>
          <w:sz w:val="24"/>
          <w:lang w:val="en-US" w:eastAsia="zh-CN"/>
        </w:rPr>
        <w:t>得分</w:t>
      </w:r>
    </w:p>
    <w:p>
      <w:pPr>
        <w:spacing w:line="50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中提供小型和微型企业及产品的证明材料）。</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中提供所投产品属于节能清单和环境标志清单的证明材料）。</w:t>
      </w:r>
    </w:p>
    <w:p>
      <w:pPr>
        <w:spacing w:line="360" w:lineRule="auto"/>
        <w:ind w:firstLine="360" w:firstLineChars="150"/>
        <w:rPr>
          <w:rFonts w:ascii="仿宋" w:hAnsi="仿宋" w:eastAsia="仿宋" w:cs="仿宋_GB2312"/>
          <w:sz w:val="24"/>
        </w:rPr>
      </w:pPr>
      <w:r>
        <w:rPr>
          <w:rFonts w:hint="eastAsia" w:ascii="仿宋" w:hAnsi="仿宋" w:eastAsia="仿宋" w:cs="仿宋_GB2312"/>
          <w:sz w:val="24"/>
        </w:rPr>
        <w:t>3.6计分办法</w:t>
      </w:r>
    </w:p>
    <w:p>
      <w:pPr>
        <w:spacing w:line="360" w:lineRule="auto"/>
        <w:rPr>
          <w:rFonts w:ascii="仿宋" w:hAnsi="仿宋" w:eastAsia="仿宋" w:cs="仿宋"/>
          <w:b/>
          <w:bCs/>
          <w:sz w:val="24"/>
          <w:szCs w:val="24"/>
        </w:rPr>
      </w:pPr>
      <w:r>
        <w:rPr>
          <w:rFonts w:hint="eastAsia" w:ascii="仿宋" w:hAnsi="仿宋" w:eastAsia="仿宋" w:cs="仿宋_GB2312"/>
          <w:sz w:val="24"/>
        </w:rPr>
        <w:t xml:space="preserve">   根据招标文件、投标文件，按照评分办法，得出每个评委对投标人的评标分数。投标人的最终得分为所有评委对其打分的算术平均值。计分过程按四舍五入取至小数点后两位，最终得分取至小数点后两位。</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3.7评标程序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3.7.1评标委员会对投标文件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3.7.2评标委员会完成评标后，提出书面评标报告，</w:t>
      </w:r>
      <w:r>
        <w:rPr>
          <w:rFonts w:hint="eastAsia" w:ascii="仿宋" w:hAnsi="仿宋" w:eastAsia="仿宋" w:cs="仿宋"/>
          <w:b/>
          <w:bCs/>
          <w:sz w:val="24"/>
          <w:szCs w:val="24"/>
        </w:rPr>
        <w:t>推荐</w:t>
      </w:r>
      <w:r>
        <w:rPr>
          <w:rFonts w:hint="eastAsia" w:ascii="仿宋" w:hAnsi="仿宋" w:eastAsia="仿宋" w:cs="仿宋"/>
          <w:b/>
          <w:bCs/>
          <w:sz w:val="24"/>
          <w:szCs w:val="24"/>
          <w:lang w:eastAsia="zh-CN"/>
        </w:rPr>
        <w:t>五</w:t>
      </w:r>
      <w:r>
        <w:rPr>
          <w:rFonts w:hint="eastAsia" w:ascii="仿宋" w:hAnsi="仿宋" w:eastAsia="仿宋" w:cs="仿宋"/>
          <w:b/>
          <w:bCs/>
          <w:sz w:val="24"/>
          <w:szCs w:val="24"/>
        </w:rPr>
        <w:t>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在签订合同前须向采购人交纳合同额10%以下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widowControl/>
        <w:spacing w:line="520" w:lineRule="exact"/>
        <w:ind w:firstLine="600" w:firstLineChars="250"/>
        <w:textAlignment w:val="baseline"/>
        <w:rPr>
          <w:rFonts w:ascii="仿宋" w:hAnsi="仿宋" w:eastAsia="仿宋" w:cs="黑体"/>
          <w:b/>
          <w:bCs/>
          <w:sz w:val="24"/>
          <w:szCs w:val="24"/>
          <w:lang w:val="zh-CN"/>
        </w:rPr>
      </w:pPr>
      <w:r>
        <w:rPr>
          <w:rFonts w:hint="eastAsia" w:ascii="仿宋" w:hAnsi="仿宋" w:eastAsia="仿宋" w:cs="仿宋"/>
          <w:sz w:val="24"/>
          <w:szCs w:val="24"/>
          <w:shd w:val="clear" w:color="auto" w:fill="FFFFFF"/>
        </w:rPr>
        <w:t>7、付款方式:以签订合同准。</w:t>
      </w:r>
    </w:p>
    <w:p>
      <w:pPr>
        <w:wordWrap w:val="0"/>
        <w:topLinePunct/>
        <w:autoSpaceDE w:val="0"/>
        <w:autoSpaceDN w:val="0"/>
        <w:adjustRightInd w:val="0"/>
        <w:snapToGrid w:val="0"/>
        <w:spacing w:line="360" w:lineRule="auto"/>
        <w:outlineLvl w:val="0"/>
        <w:rPr>
          <w:rFonts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第六部分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第七部分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第八部分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合同书</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（参考样本）</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ascii="仿宋" w:hAnsi="仿宋" w:eastAsia="仿宋" w:cs="仿宋_GB2312"/>
          <w:sz w:val="24"/>
          <w:szCs w:val="24"/>
          <w:lang w:val="zh-CN"/>
        </w:rPr>
        <w:t xml:space="preserve">                               </w:t>
      </w:r>
      <w:r>
        <w:rPr>
          <w:rFonts w:hint="eastAsia" w:ascii="仿宋" w:hAnsi="仿宋" w:eastAsia="仿宋"/>
          <w:sz w:val="24"/>
          <w:szCs w:val="24"/>
        </w:rPr>
        <w:t>本合同双方当事人：</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甲方： </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地址：</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 </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乙方：</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地址：</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cs="仿宋_GB2312"/>
          <w:sz w:val="24"/>
          <w:szCs w:val="24"/>
        </w:rPr>
        <w:t>根据《中华人民共和国合同法》及其他有关法律、法规之规定，在平等、自愿、协商一致的基础上，甲、乙双方现就         （以下简称“本项目”）咨询服务事宜，达成如下合同条款：</w:t>
      </w:r>
    </w:p>
    <w:p>
      <w:pPr>
        <w:pStyle w:val="128"/>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第一章  总则</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第一条  编制目的</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根据               项目要求提供咨询服务，完成本项目。</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第二条  乙方的资格</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（简要叙述乙方资质及经验业绩。）</w:t>
      </w:r>
    </w:p>
    <w:p>
      <w:pPr>
        <w:pStyle w:val="128"/>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第二章  咨询服务内容和时间安排</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第三条  咨询服务内容</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乙方应结合禹州市实际发展情况，开展前期相关专题研究，并根据《县（市）以上方案内容可根据省财政厅要求及相关部门意见进行修改调整。</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第四条  工作周期</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乙方在接受委托后，应与甲方进行充分沟通，并根据甲方需求详细合理安排本项目的整体工作进度。双方同意，预定的工作周期为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日，从</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年</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月</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日至</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年</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月</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第五条  工作方式</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乙方工作采用现场工作与非现场工作结合的方式。访谈及成果汇报采用现场工作方式，咨询报告编撰采用非现场工作方式。</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第六条  提交咨询工作成果</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在规划编制过程中，乙方应以书面报告和电子文档的方式向甲方提交各工作阶段的工作成果，并以工作日志、会议发言记录和会议纪要等方式对非成果性工作或以正式报告形式难以记载的工作过程予以记载，根据甲方修改意见进行调整和优化。</w:t>
      </w:r>
    </w:p>
    <w:p>
      <w:pPr>
        <w:pStyle w:val="128"/>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第三章</w:t>
      </w:r>
      <w:r>
        <w:rPr>
          <w:rFonts w:hint="eastAsia" w:ascii="仿宋" w:hAnsi="仿宋" w:eastAsia="仿宋"/>
          <w:b/>
          <w:bCs/>
          <w:sz w:val="28"/>
          <w:szCs w:val="28"/>
        </w:rPr>
        <w:tab/>
      </w:r>
      <w:r>
        <w:rPr>
          <w:rFonts w:hint="eastAsia" w:ascii="仿宋" w:hAnsi="仿宋" w:eastAsia="仿宋"/>
          <w:b/>
          <w:bCs/>
          <w:sz w:val="28"/>
          <w:szCs w:val="28"/>
        </w:rPr>
        <w:t>双方的职责和义务</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第七条  甲方的职责和义务</w:t>
      </w:r>
    </w:p>
    <w:p>
      <w:pPr>
        <w:numPr>
          <w:ilvl w:val="0"/>
          <w:numId w:val="9"/>
        </w:numPr>
        <w:spacing w:line="360" w:lineRule="auto"/>
        <w:ind w:left="0" w:firstLine="482"/>
        <w:rPr>
          <w:rFonts w:ascii="仿宋" w:hAnsi="仿宋" w:eastAsia="仿宋" w:cs="仿宋_GB2312"/>
          <w:sz w:val="24"/>
          <w:szCs w:val="24"/>
        </w:rPr>
      </w:pPr>
      <w:r>
        <w:rPr>
          <w:rFonts w:hint="eastAsia" w:ascii="仿宋" w:hAnsi="仿宋" w:eastAsia="仿宋" w:cs="仿宋_GB2312"/>
          <w:sz w:val="24"/>
          <w:szCs w:val="24"/>
        </w:rPr>
        <w:t>为了保证实现规划目标，甲方有权对乙方咨询人员提出具体和明确的合理要求。</w:t>
      </w:r>
    </w:p>
    <w:p>
      <w:pPr>
        <w:numPr>
          <w:ilvl w:val="0"/>
          <w:numId w:val="9"/>
        </w:numPr>
        <w:spacing w:line="360" w:lineRule="auto"/>
        <w:ind w:left="0" w:firstLine="482"/>
        <w:rPr>
          <w:rFonts w:ascii="仿宋" w:hAnsi="仿宋" w:eastAsia="仿宋" w:cs="仿宋_GB2312"/>
          <w:sz w:val="24"/>
          <w:szCs w:val="24"/>
        </w:rPr>
      </w:pPr>
      <w:r>
        <w:rPr>
          <w:rFonts w:hint="eastAsia" w:ascii="仿宋" w:hAnsi="仿宋" w:eastAsia="仿宋" w:cs="仿宋_GB2312"/>
          <w:sz w:val="24"/>
          <w:szCs w:val="24"/>
        </w:rPr>
        <w:t>甲方应积极协调相关单位，协助乙方开展调研访谈工作，并根据乙方的合理要求，负责向乙方及时提供有关基础资料。</w:t>
      </w:r>
    </w:p>
    <w:p>
      <w:pPr>
        <w:numPr>
          <w:ilvl w:val="0"/>
          <w:numId w:val="9"/>
        </w:numPr>
        <w:spacing w:line="360" w:lineRule="auto"/>
        <w:ind w:left="0" w:firstLine="482"/>
        <w:rPr>
          <w:rFonts w:ascii="仿宋" w:hAnsi="仿宋" w:eastAsia="仿宋" w:cs="仿宋_GB2312"/>
          <w:sz w:val="24"/>
          <w:szCs w:val="24"/>
        </w:rPr>
      </w:pPr>
      <w:r>
        <w:rPr>
          <w:rFonts w:hint="eastAsia" w:ascii="仿宋" w:hAnsi="仿宋" w:eastAsia="仿宋" w:cs="仿宋_GB2312"/>
          <w:sz w:val="24"/>
          <w:szCs w:val="24"/>
        </w:rPr>
        <w:t>甲方应当全面、真实地叙述与本项目事务有关的各种情况，并保证所提供的一切相关文件真实、合法和有效。</w:t>
      </w:r>
    </w:p>
    <w:p>
      <w:pPr>
        <w:numPr>
          <w:ilvl w:val="0"/>
          <w:numId w:val="9"/>
        </w:numPr>
        <w:spacing w:line="360" w:lineRule="auto"/>
        <w:ind w:left="0" w:firstLine="482"/>
        <w:rPr>
          <w:rFonts w:ascii="仿宋" w:hAnsi="仿宋" w:eastAsia="仿宋" w:cs="仿宋_GB2312"/>
          <w:sz w:val="24"/>
          <w:szCs w:val="24"/>
        </w:rPr>
      </w:pPr>
      <w:r>
        <w:rPr>
          <w:rFonts w:hint="eastAsia" w:ascii="仿宋" w:hAnsi="仿宋" w:eastAsia="仿宋" w:cs="仿宋_GB2312"/>
          <w:sz w:val="24"/>
          <w:szCs w:val="24"/>
        </w:rPr>
        <w:t>甲方应为乙方开展本项工作提供必要的办公地点和办公条件。规划编制过程中，协助有关政府部门和单位的协调，负责规划组织工作，提供会议室、集中资料室及其他便利条件，并承担相应费用。</w:t>
      </w:r>
    </w:p>
    <w:p>
      <w:pPr>
        <w:numPr>
          <w:ilvl w:val="0"/>
          <w:numId w:val="9"/>
        </w:numPr>
        <w:spacing w:line="360" w:lineRule="auto"/>
        <w:ind w:left="0" w:firstLine="482"/>
        <w:rPr>
          <w:rFonts w:ascii="仿宋" w:hAnsi="仿宋" w:eastAsia="仿宋" w:cs="仿宋_GB2312"/>
          <w:sz w:val="24"/>
          <w:szCs w:val="24"/>
        </w:rPr>
      </w:pPr>
      <w:r>
        <w:rPr>
          <w:rFonts w:hint="eastAsia" w:ascii="仿宋" w:hAnsi="仿宋" w:eastAsia="仿宋" w:cs="仿宋_GB2312"/>
          <w:sz w:val="24"/>
          <w:szCs w:val="24"/>
        </w:rPr>
        <w:t>甲方应为本项目安排相应的联系人，并安排相关负责人员与乙方就规划情况及重大问题深入沟通，在技术问题上为乙方提供必要的人员支持。</w:t>
      </w:r>
    </w:p>
    <w:p>
      <w:pPr>
        <w:numPr>
          <w:ilvl w:val="0"/>
          <w:numId w:val="9"/>
        </w:numPr>
        <w:spacing w:line="360" w:lineRule="auto"/>
        <w:ind w:left="0" w:firstLine="482"/>
        <w:rPr>
          <w:rFonts w:ascii="仿宋" w:hAnsi="仿宋" w:eastAsia="仿宋" w:cs="仿宋_GB2312"/>
          <w:sz w:val="24"/>
          <w:szCs w:val="24"/>
        </w:rPr>
      </w:pPr>
      <w:r>
        <w:rPr>
          <w:rFonts w:hint="eastAsia" w:ascii="仿宋" w:hAnsi="仿宋" w:eastAsia="仿宋" w:cs="仿宋_GB2312"/>
          <w:sz w:val="24"/>
          <w:szCs w:val="24"/>
        </w:rPr>
        <w:t>甲方应按本合同规定及时足额支付相应的费用。</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第八条  乙方的职责和义务</w:t>
      </w:r>
    </w:p>
    <w:p>
      <w:pPr>
        <w:numPr>
          <w:ilvl w:val="0"/>
          <w:numId w:val="10"/>
        </w:numPr>
        <w:spacing w:line="360" w:lineRule="auto"/>
        <w:rPr>
          <w:rFonts w:ascii="仿宋" w:hAnsi="仿宋" w:eastAsia="仿宋" w:cs="仿宋_GB2312"/>
          <w:sz w:val="24"/>
          <w:szCs w:val="24"/>
        </w:rPr>
      </w:pPr>
      <w:r>
        <w:rPr>
          <w:rFonts w:hint="eastAsia" w:ascii="仿宋" w:hAnsi="仿宋" w:eastAsia="仿宋" w:cs="仿宋_GB2312"/>
          <w:sz w:val="24"/>
          <w:szCs w:val="24"/>
        </w:rPr>
        <w:t>乙方应充分理解甲方的意图，其工作思路、想法须贯穿规划编制的过程。</w:t>
      </w:r>
    </w:p>
    <w:p>
      <w:pPr>
        <w:numPr>
          <w:ilvl w:val="0"/>
          <w:numId w:val="10"/>
        </w:numPr>
        <w:spacing w:line="360" w:lineRule="auto"/>
        <w:rPr>
          <w:rFonts w:ascii="仿宋" w:hAnsi="仿宋" w:eastAsia="仿宋" w:cs="仿宋_GB2312"/>
          <w:sz w:val="24"/>
          <w:szCs w:val="24"/>
        </w:rPr>
      </w:pPr>
      <w:r>
        <w:rPr>
          <w:rFonts w:hint="eastAsia" w:ascii="仿宋" w:hAnsi="仿宋" w:eastAsia="仿宋" w:cs="仿宋_GB2312"/>
          <w:sz w:val="24"/>
          <w:szCs w:val="24"/>
        </w:rPr>
        <w:t>提供第三条所述咨询服务，并对咨询服务质量负责，确保甲方权益。</w:t>
      </w:r>
    </w:p>
    <w:p>
      <w:pPr>
        <w:numPr>
          <w:ilvl w:val="0"/>
          <w:numId w:val="10"/>
        </w:numPr>
        <w:spacing w:line="360" w:lineRule="auto"/>
        <w:ind w:left="0" w:firstLine="420"/>
        <w:rPr>
          <w:rFonts w:ascii="仿宋" w:hAnsi="仿宋" w:eastAsia="仿宋" w:cs="仿宋_GB2312"/>
          <w:sz w:val="24"/>
          <w:szCs w:val="24"/>
        </w:rPr>
      </w:pPr>
      <w:r>
        <w:rPr>
          <w:rFonts w:hint="eastAsia" w:ascii="仿宋" w:hAnsi="仿宋" w:eastAsia="仿宋" w:cs="仿宋_GB2312"/>
          <w:sz w:val="24"/>
          <w:szCs w:val="24"/>
        </w:rPr>
        <w:t>选派合格和足够的咨询人员，保证咨询人员足够的工作时间以及时迅捷地提供咨询服务。若甲方对任何咨询人员不满意且提出正当理由，则乙方应及时更换。</w:t>
      </w:r>
    </w:p>
    <w:p>
      <w:pPr>
        <w:numPr>
          <w:ilvl w:val="0"/>
          <w:numId w:val="10"/>
        </w:numPr>
        <w:spacing w:line="360" w:lineRule="auto"/>
        <w:ind w:left="0" w:firstLine="420"/>
        <w:rPr>
          <w:rFonts w:ascii="仿宋" w:hAnsi="仿宋" w:eastAsia="仿宋" w:cs="仿宋_GB2312"/>
          <w:sz w:val="24"/>
          <w:szCs w:val="24"/>
        </w:rPr>
      </w:pPr>
      <w:r>
        <w:rPr>
          <w:rFonts w:hint="eastAsia" w:ascii="仿宋" w:hAnsi="仿宋" w:eastAsia="仿宋" w:cs="仿宋_GB2312"/>
          <w:sz w:val="24"/>
          <w:szCs w:val="24"/>
        </w:rPr>
        <w:t>同甲方共同商定咨询服务工作计划，对工作进度进行控制，并按照工作计划安排及时向甲方汇报工作。</w:t>
      </w:r>
    </w:p>
    <w:p>
      <w:pPr>
        <w:numPr>
          <w:ilvl w:val="0"/>
          <w:numId w:val="10"/>
        </w:numPr>
        <w:spacing w:line="360" w:lineRule="auto"/>
        <w:rPr>
          <w:rFonts w:ascii="仿宋" w:hAnsi="仿宋" w:eastAsia="仿宋" w:cs="仿宋_GB2312"/>
          <w:sz w:val="24"/>
          <w:szCs w:val="24"/>
        </w:rPr>
      </w:pPr>
      <w:r>
        <w:rPr>
          <w:rFonts w:hint="eastAsia" w:ascii="仿宋" w:hAnsi="仿宋" w:eastAsia="仿宋" w:cs="仿宋_GB2312"/>
          <w:sz w:val="24"/>
          <w:szCs w:val="24"/>
        </w:rPr>
        <w:t>根据合同约定的支付方式及时通知甲方支付咨询服务费。</w:t>
      </w:r>
    </w:p>
    <w:p>
      <w:pPr>
        <w:pStyle w:val="128"/>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第四章  咨询服务费用和支付方式</w:t>
      </w:r>
    </w:p>
    <w:p>
      <w:pPr>
        <w:pStyle w:val="128"/>
        <w:spacing w:before="0" w:beforeAutospacing="0" w:after="0" w:afterAutospacing="0" w:line="48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第九条  咨询服务费用</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甲方将就乙方为履行本协议第三条规定的服务向乙方支付咨询服务费：</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人民币。该费用包含乙方及其现场工作人员因本项目而发生的全部费用。</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第十条  咨询服务费的支付</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经双方协商确定，本项目咨询服务费按照以下方式支付：</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本合同签订后三天内，甲方向乙方支付咨询服务费总额的50％，即人民币</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元。在本项目终稿提交后三天内，甲方支付乙方咨询服务费总额的50％，即人民币             元。</w:t>
      </w:r>
    </w:p>
    <w:p>
      <w:pPr>
        <w:pStyle w:val="128"/>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第五章  违约责任与赔偿</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第十一条  善意履行</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甲乙双方应认真履行本合同的规定，任何一方无正当理由不得单方面终止本合同。</w:t>
      </w:r>
    </w:p>
    <w:p>
      <w:pPr>
        <w:pStyle w:val="128"/>
        <w:spacing w:before="0" w:beforeAutospacing="0" w:after="0" w:afterAutospacing="0" w:line="48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第十二条  违约</w:t>
      </w:r>
    </w:p>
    <w:p>
      <w:pPr>
        <w:spacing w:line="360" w:lineRule="auto"/>
        <w:ind w:firstLine="480" w:firstLineChars="200"/>
        <w:rPr>
          <w:rFonts w:ascii="仿宋" w:hAnsi="仿宋" w:eastAsia="仿宋" w:cs="仿宋_GB2312"/>
          <w:sz w:val="24"/>
          <w:szCs w:val="24"/>
        </w:rPr>
      </w:pPr>
      <w:r>
        <w:rPr>
          <w:rFonts w:hint="eastAsia" w:ascii="仿宋" w:hAnsi="仿宋" w:eastAsia="仿宋"/>
          <w:sz w:val="24"/>
          <w:szCs w:val="24"/>
        </w:rPr>
        <w:t>如果由于任何一方违约，导致另一方无法履行本合同项下权利和义务或给对方造</w:t>
      </w:r>
      <w:r>
        <w:rPr>
          <w:rFonts w:hint="eastAsia" w:ascii="仿宋" w:hAnsi="仿宋" w:eastAsia="仿宋" w:cs="仿宋_GB2312"/>
          <w:sz w:val="24"/>
          <w:szCs w:val="24"/>
        </w:rPr>
        <w:t>成重大经济损失，违约方应承担违约责任，守约方有权终止本合同。</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甲方赔偿额以未支付的咨询服务费用为限，乙方赔偿额以已收到咨询服务费用为限。</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如甲方未按照本协议第十条规定及时支付咨询服务费，乙方有权中止咨询服务工作，直至款到后继续履约，且每延期一天，甲方应向乙方额外支付千分之一的迟延履行违约金。</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如由于乙方故意或重大过失未按照工作计划完成阶段任务，每延误一天，乙方向甲方支付该阶段咨询费千分之一违约金，直至提供服务为止。误期赔偿费的最高限额为合同价格的10%。一旦达到误期赔偿费的最高限额，甲方有权终止合同。</w:t>
      </w:r>
    </w:p>
    <w:p>
      <w:pPr>
        <w:pStyle w:val="128"/>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第六章  不可抗力</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第十三条  通知义务</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任何一方由于不可抗力而影响其履行合同所规定的义务的，受事件影响的一方应尽快将发生的不可抗力事件的情况以传真或特快专递等形式通知另一方，说明发生不可抗力以及不可抗力可能持续的时间。</w:t>
      </w:r>
    </w:p>
    <w:p>
      <w:pPr>
        <w:pStyle w:val="128"/>
        <w:spacing w:before="0" w:beforeAutospacing="0" w:after="0" w:afterAutospacing="0" w:line="48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第十四条  继续履行</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双方在不可抗力事件停止后或影响消除后应立即继续履行合同义务，合同有效期和/或有关履行合同的预定的期限应相应延长。</w:t>
      </w:r>
    </w:p>
    <w:p>
      <w:pPr>
        <w:pStyle w:val="128"/>
        <w:spacing w:before="0" w:beforeAutospacing="0" w:after="0" w:afterAutospacing="0" w:line="48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第十五条  损失承担</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双方应承担各自因不可抗力造成的损失。</w:t>
      </w:r>
    </w:p>
    <w:p>
      <w:pPr>
        <w:pStyle w:val="128"/>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第七章  争议解决</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第十六条  友好协商解决</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双方应本着平等互利、友好合作的精神保证本合同的顺利履行。如在履行过程中发生争议，应首先通过友好协商解决。</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第十七条  诉讼解决</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如根据第十六条不能解决争议时，任何一方有权向甲方所在地法院提起诉讼。</w:t>
      </w:r>
    </w:p>
    <w:p>
      <w:pPr>
        <w:pStyle w:val="128"/>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第八章</w:t>
      </w:r>
      <w:r>
        <w:rPr>
          <w:rFonts w:hint="eastAsia" w:ascii="仿宋" w:hAnsi="仿宋" w:eastAsia="仿宋"/>
          <w:b/>
          <w:bCs/>
          <w:sz w:val="28"/>
          <w:szCs w:val="28"/>
        </w:rPr>
        <w:tab/>
      </w:r>
      <w:r>
        <w:rPr>
          <w:rFonts w:hint="eastAsia" w:ascii="仿宋" w:hAnsi="仿宋" w:eastAsia="仿宋"/>
          <w:b/>
          <w:bCs/>
          <w:sz w:val="28"/>
          <w:szCs w:val="28"/>
        </w:rPr>
        <w:t>保密及其它</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第十八条  保密</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未经对方允许，任何一方不得将对方收集、整理、复制、研究和准备的与本合同项下工作有关的任何资料提供给任何第三方。</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任何一方不得将本合同内容，包括合同内容、咨询费用、支付信息及乙方为甲方提供的咨询服务成果等提供给任何第三方（甲方为了规划审批、接受审计等在征得乙方书面同意后方可向其他方提供的情况除外）。</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关于保密的规定在本合同终止后五年内仍然有效。</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第十九条  合同生效</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本合同自双方代表签字并加盖公章之日起生效，至本项目终稿提交且甲方向乙方付清全部咨询服务费用之日终止。</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第二十条  其他</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咨询成果的知识产权归甲乙双方共同拥有。</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本合同由正文、附件以及相关会议备忘录（如有）等组成，以上各部分均是合同不可分割的组成部分，具有同等的法律效应。</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本合同未尽事宜可由双方协商签订补充协议。本合同的修改和补充必须以书面形式方为有效。合同的修改和补充与本合同具有同等效力。</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本合同正本一式份，甲方执</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份，乙方执</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份。</w:t>
      </w:r>
    </w:p>
    <w:p>
      <w:pPr>
        <w:pStyle w:val="128"/>
        <w:spacing w:before="0" w:beforeAutospacing="0" w:after="0" w:afterAutospacing="0" w:line="480" w:lineRule="auto"/>
        <w:ind w:left="0" w:leftChars="0"/>
        <w:jc w:val="center"/>
        <w:rPr>
          <w:rFonts w:ascii="仿宋" w:hAnsi="仿宋" w:eastAsia="仿宋"/>
          <w:sz w:val="24"/>
          <w:szCs w:val="24"/>
        </w:rPr>
      </w:pPr>
      <w:r>
        <w:rPr>
          <w:rFonts w:hint="eastAsia" w:ascii="仿宋" w:hAnsi="仿宋" w:eastAsia="仿宋"/>
          <w:sz w:val="24"/>
          <w:szCs w:val="24"/>
        </w:rPr>
        <w:br w:type="page"/>
      </w:r>
      <w:r>
        <w:rPr>
          <w:rFonts w:hint="eastAsia" w:ascii="仿宋" w:hAnsi="仿宋" w:eastAsia="仿宋"/>
          <w:sz w:val="24"/>
          <w:szCs w:val="24"/>
        </w:rPr>
        <w:t>（本页为签字页，无正文）</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 </w:t>
      </w:r>
    </w:p>
    <w:p>
      <w:pPr>
        <w:pStyle w:val="128"/>
        <w:spacing w:before="0" w:beforeAutospacing="0" w:after="0" w:afterAutospacing="0" w:line="48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 xml:space="preserve">甲方（盖章）： </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法定代表人：                        </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或授权代表：                        </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签字时间：             年       月       日</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 </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 </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 </w:t>
      </w:r>
    </w:p>
    <w:p>
      <w:pPr>
        <w:pStyle w:val="128"/>
        <w:spacing w:before="0" w:beforeAutospacing="0" w:after="0" w:afterAutospacing="0" w:line="48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 xml:space="preserve">乙方（盖章）： </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法定代表人：</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或授权代表：</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签字时间：             年       月       日</w:t>
      </w:r>
    </w:p>
    <w:p>
      <w:pPr>
        <w:spacing w:line="360" w:lineRule="auto"/>
        <w:ind w:firstLine="7302" w:firstLineChars="1653"/>
        <w:rPr>
          <w:rFonts w:ascii="仿宋_GB2312" w:hAnsi="仿宋_GB2312" w:eastAsia="仿宋_GB2312" w:cs="仿宋_GB2312"/>
          <w:b/>
          <w:sz w:val="44"/>
        </w:rPr>
      </w:pPr>
    </w:p>
    <w:p>
      <w:pPr>
        <w:spacing w:line="500" w:lineRule="exact"/>
        <w:ind w:firstLine="883" w:firstLineChars="200"/>
        <w:rPr>
          <w:rFonts w:ascii="仿宋_GB2312" w:hAnsi="仿宋_GB2312" w:eastAsia="仿宋_GB2312" w:cs="仿宋_GB2312"/>
          <w:b/>
          <w:sz w:val="44"/>
        </w:rPr>
      </w:pPr>
    </w:p>
    <w:p>
      <w:pPr>
        <w:spacing w:line="500" w:lineRule="exact"/>
        <w:ind w:firstLine="883" w:firstLineChars="2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numPr>
          <w:ilvl w:val="0"/>
          <w:numId w:val="11"/>
        </w:numPr>
        <w:autoSpaceDE w:val="0"/>
        <w:autoSpaceDN w:val="0"/>
        <w:adjustRightInd w:val="0"/>
        <w:spacing w:line="360" w:lineRule="auto"/>
        <w:rPr>
          <w:rFonts w:ascii="仿宋" w:hAnsi="仿宋" w:eastAsia="仿宋" w:cs="黑体"/>
          <w:b/>
          <w:bCs/>
          <w:sz w:val="36"/>
          <w:szCs w:val="36"/>
        </w:rPr>
      </w:pPr>
      <w:r>
        <w:rPr>
          <w:rFonts w:hint="eastAsia" w:ascii="仿宋" w:hAnsi="仿宋" w:eastAsia="仿宋" w:cs="黑体"/>
          <w:b/>
          <w:bCs/>
          <w:sz w:val="36"/>
          <w:szCs w:val="36"/>
          <w:lang w:val="zh-CN"/>
        </w:rPr>
        <w:t>投标文件内容及组成</w:t>
      </w:r>
      <w:r>
        <w:rPr>
          <w:rFonts w:hint="eastAsia" w:ascii="仿宋" w:hAnsi="仿宋" w:eastAsia="仿宋" w:cs="黑体"/>
          <w:b/>
          <w:bCs/>
          <w:sz w:val="36"/>
          <w:szCs w:val="36"/>
        </w:rPr>
        <w:t xml:space="preserve"> </w:t>
      </w: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bCs/>
          <w:sz w:val="28"/>
          <w:szCs w:val="28"/>
        </w:rPr>
        <w:t xml:space="preserve">     正本/副本</w:t>
      </w:r>
    </w:p>
    <w:p>
      <w:pPr>
        <w:spacing w:line="360" w:lineRule="auto"/>
        <w:rPr>
          <w:rFonts w:ascii="仿宋_GB2312" w:hAnsi="仿宋_GB2312" w:eastAsia="仿宋_GB2312" w:cs="仿宋_GB2312"/>
          <w:b/>
          <w:sz w:val="24"/>
          <w:szCs w:val="32"/>
        </w:rPr>
      </w:pPr>
    </w:p>
    <w:p>
      <w:pPr>
        <w:spacing w:line="360" w:lineRule="auto"/>
        <w:jc w:val="center"/>
        <w:rPr>
          <w:rFonts w:ascii="仿宋_GB2312" w:hAnsi="仿宋_GB2312" w:eastAsia="仿宋_GB2312" w:cs="仿宋_GB2312"/>
          <w:sz w:val="16"/>
          <w:szCs w:val="44"/>
        </w:rPr>
      </w:pPr>
    </w:p>
    <w:p>
      <w:pPr>
        <w:spacing w:line="360" w:lineRule="auto"/>
        <w:ind w:firstLine="1084" w:firstLineChars="300"/>
        <w:rPr>
          <w:rFonts w:ascii="仿宋_GB2312" w:hAnsi="仿宋_GB2312" w:eastAsia="仿宋_GB2312" w:cs="仿宋_GB2312"/>
          <w:sz w:val="16"/>
          <w:szCs w:val="44"/>
        </w:rPr>
      </w:pPr>
      <w:r>
        <w:rPr>
          <w:rFonts w:hint="eastAsia"/>
          <w:b/>
          <w:bCs/>
          <w:sz w:val="36"/>
          <w:szCs w:val="36"/>
        </w:rPr>
        <w:t>-----------------------------------------（项目名称）</w:t>
      </w:r>
    </w:p>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投标文件（一）</w:t>
      </w:r>
    </w:p>
    <w:p>
      <w:pPr>
        <w:spacing w:line="360" w:lineRule="auto"/>
        <w:ind w:firstLine="3120" w:firstLineChars="1300"/>
        <w:rPr>
          <w:rFonts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b/>
          <w:sz w:val="72"/>
          <w:szCs w:val="72"/>
        </w:rPr>
      </w:pPr>
      <w:r>
        <w:rPr>
          <w:rFonts w:hint="eastAsia" w:ascii="仿宋_GB2312" w:hAnsi="仿宋_GB2312" w:eastAsia="仿宋_GB2312" w:cs="仿宋_GB2312"/>
          <w:b/>
          <w:sz w:val="72"/>
          <w:szCs w:val="72"/>
        </w:rPr>
        <w:t xml:space="preserve">投 </w:t>
      </w:r>
      <w:bookmarkStart w:id="6" w:name="_GoBack"/>
      <w:bookmarkEnd w:id="6"/>
      <w:r>
        <w:rPr>
          <w:rFonts w:hint="eastAsia" w:ascii="仿宋_GB2312" w:hAnsi="仿宋_GB2312" w:eastAsia="仿宋_GB2312" w:cs="仿宋_GB2312"/>
          <w:b/>
          <w:sz w:val="72"/>
          <w:szCs w:val="72"/>
        </w:rPr>
        <w:t>标 文 件</w:t>
      </w:r>
    </w:p>
    <w:p>
      <w:pPr>
        <w:ind w:firstLine="2249" w:firstLineChars="800"/>
        <w:rPr>
          <w:rFonts w:ascii="仿宋_GB2312" w:hAnsi="仿宋_GB2312" w:eastAsia="仿宋_GB2312" w:cs="仿宋_GB2312"/>
          <w:b/>
          <w:sz w:val="28"/>
          <w:szCs w:val="28"/>
        </w:rPr>
      </w:pPr>
    </w:p>
    <w:p>
      <w:pPr>
        <w:spacing w:line="360" w:lineRule="auto"/>
        <w:jc w:val="center"/>
        <w:rPr>
          <w:rFonts w:ascii="仿宋_GB2312" w:hAnsi="仿宋_GB2312" w:eastAsia="仿宋_GB2312" w:cs="仿宋_GB2312"/>
          <w:b/>
          <w:sz w:val="32"/>
          <w:szCs w:val="32"/>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28"/>
          <w:szCs w:val="28"/>
        </w:rPr>
        <w:t>项目名称：</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采购编号：</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投  标  人： -----------------（盖章）</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法定代表人或授权代表：      （签字）</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bCs/>
          <w:sz w:val="28"/>
          <w:szCs w:val="28"/>
        </w:rPr>
        <w:t xml:space="preserve">  正本/副本</w:t>
      </w:r>
    </w:p>
    <w:p>
      <w:pPr>
        <w:spacing w:line="360" w:lineRule="auto"/>
        <w:rPr>
          <w:rFonts w:ascii="仿宋_GB2312" w:hAnsi="仿宋_GB2312" w:eastAsia="仿宋_GB2312" w:cs="仿宋_GB2312"/>
          <w:b/>
          <w:sz w:val="24"/>
          <w:szCs w:val="32"/>
        </w:rPr>
      </w:pPr>
    </w:p>
    <w:p>
      <w:pPr>
        <w:spacing w:line="360" w:lineRule="auto"/>
        <w:jc w:val="center"/>
        <w:rPr>
          <w:rFonts w:ascii="仿宋_GB2312" w:hAnsi="仿宋_GB2312" w:eastAsia="仿宋_GB2312" w:cs="仿宋_GB2312"/>
          <w:sz w:val="16"/>
          <w:szCs w:val="44"/>
        </w:rPr>
      </w:pPr>
    </w:p>
    <w:p>
      <w:pPr>
        <w:spacing w:line="360" w:lineRule="auto"/>
        <w:ind w:firstLine="1084" w:firstLineChars="300"/>
        <w:rPr>
          <w:rFonts w:ascii="仿宋_GB2312" w:hAnsi="仿宋_GB2312" w:eastAsia="仿宋_GB2312" w:cs="仿宋_GB2312"/>
          <w:sz w:val="16"/>
          <w:szCs w:val="44"/>
        </w:rPr>
      </w:pPr>
      <w:r>
        <w:rPr>
          <w:rFonts w:hint="eastAsia"/>
          <w:b/>
          <w:bCs/>
          <w:sz w:val="36"/>
          <w:szCs w:val="36"/>
        </w:rPr>
        <w:t>-----------------------------------------（项目名称）</w:t>
      </w:r>
    </w:p>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投标文件（二）</w:t>
      </w:r>
    </w:p>
    <w:p>
      <w:pPr>
        <w:spacing w:line="360" w:lineRule="auto"/>
        <w:ind w:firstLine="3360" w:firstLineChars="1400"/>
        <w:rPr>
          <w:rFonts w:ascii="仿宋_GB2312" w:hAnsi="仿宋_GB2312" w:eastAsia="仿宋_GB2312" w:cs="仿宋_GB2312"/>
          <w:sz w:val="24"/>
          <w:szCs w:val="24"/>
        </w:rPr>
      </w:pPr>
      <w:r>
        <w:rPr>
          <w:rFonts w:hint="eastAsia" w:ascii="仿宋_GB2312" w:hAnsi="仿宋_GB2312" w:eastAsia="仿宋_GB2312" w:cs="仿宋_GB2312"/>
          <w:sz w:val="24"/>
          <w:szCs w:val="24"/>
        </w:rPr>
        <w:t>（符合性证明文件）</w:t>
      </w: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b/>
          <w:sz w:val="72"/>
          <w:szCs w:val="72"/>
        </w:rPr>
      </w:pPr>
      <w:r>
        <w:rPr>
          <w:rFonts w:hint="eastAsia" w:ascii="仿宋_GB2312" w:hAnsi="仿宋_GB2312" w:eastAsia="仿宋_GB2312" w:cs="仿宋_GB2312"/>
          <w:b/>
          <w:sz w:val="72"/>
          <w:szCs w:val="72"/>
        </w:rPr>
        <w:t>投  标 文 件</w:t>
      </w:r>
    </w:p>
    <w:p>
      <w:pPr>
        <w:ind w:firstLine="2249" w:firstLineChars="800"/>
        <w:rPr>
          <w:rFonts w:ascii="仿宋_GB2312" w:hAnsi="仿宋_GB2312" w:eastAsia="仿宋_GB2312" w:cs="仿宋_GB2312"/>
          <w:b/>
          <w:sz w:val="28"/>
          <w:szCs w:val="28"/>
        </w:rPr>
      </w:pPr>
    </w:p>
    <w:p>
      <w:pPr>
        <w:spacing w:line="360" w:lineRule="auto"/>
        <w:jc w:val="center"/>
        <w:rPr>
          <w:rFonts w:ascii="仿宋_GB2312" w:hAnsi="仿宋_GB2312" w:eastAsia="仿宋_GB2312" w:cs="仿宋_GB2312"/>
          <w:b/>
          <w:sz w:val="32"/>
          <w:szCs w:val="32"/>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28"/>
          <w:szCs w:val="28"/>
        </w:rPr>
        <w:t>项目名称：</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采购编号：</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投  标  人： -----------------（盖章）</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法定代表人或授权代表：      （签字）</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000000" w:themeColor="text1"/>
          <w:sz w:val="24"/>
          <w:szCs w:val="24"/>
          <w:lang w:val="zh-CN"/>
        </w:rPr>
      </w:pPr>
      <w:r>
        <w:rPr>
          <w:rFonts w:hint="eastAsia" w:ascii="仿宋" w:hAnsi="仿宋" w:eastAsia="仿宋" w:cs="宋体"/>
          <w:b/>
          <w:bCs/>
          <w:color w:val="000000" w:themeColor="text1"/>
          <w:sz w:val="24"/>
          <w:szCs w:val="24"/>
          <w:lang w:val="zh-CN"/>
        </w:rPr>
        <w:t>相关证明文件</w:t>
      </w:r>
      <w:r>
        <w:rPr>
          <w:rFonts w:hint="eastAsia" w:ascii="仿宋" w:hAnsi="仿宋" w:eastAsia="仿宋" w:cs="宋体"/>
          <w:b/>
          <w:bCs/>
          <w:color w:val="000000" w:themeColor="text1"/>
          <w:sz w:val="24"/>
          <w:szCs w:val="24"/>
        </w:rPr>
        <w:t xml:space="preserve">              </w:t>
      </w:r>
    </w:p>
    <w:p>
      <w:pPr>
        <w:autoSpaceDE w:val="0"/>
        <w:autoSpaceDN w:val="0"/>
        <w:adjustRightInd w:val="0"/>
        <w:spacing w:line="360" w:lineRule="auto"/>
        <w:jc w:val="center"/>
        <w:outlineLvl w:val="0"/>
        <w:rPr>
          <w:rFonts w:ascii="仿宋" w:hAnsi="仿宋" w:eastAsia="仿宋" w:cs="宋体"/>
          <w:b/>
          <w:bCs/>
          <w:color w:val="000000" w:themeColor="text1"/>
          <w:sz w:val="24"/>
          <w:szCs w:val="24"/>
          <w:lang w:val="zh-CN"/>
        </w:rPr>
      </w:pPr>
    </w:p>
    <w:p>
      <w:pPr>
        <w:autoSpaceDE w:val="0"/>
        <w:autoSpaceDN w:val="0"/>
        <w:adjustRightInd w:val="0"/>
        <w:spacing w:line="360" w:lineRule="auto"/>
        <w:ind w:right="-11" w:firstLine="630"/>
        <w:rPr>
          <w:rFonts w:ascii="仿宋" w:hAnsi="仿宋" w:eastAsia="仿宋" w:cs="宋体"/>
          <w:b/>
          <w:bCs/>
          <w:color w:val="000000" w:themeColor="text1"/>
          <w:sz w:val="24"/>
          <w:szCs w:val="24"/>
          <w:lang w:val="zh-CN"/>
        </w:rPr>
      </w:pPr>
      <w:r>
        <w:rPr>
          <w:rFonts w:hint="eastAsia" w:ascii="仿宋" w:hAnsi="仿宋" w:eastAsia="仿宋" w:cs="宋体"/>
          <w:b/>
          <w:bCs/>
          <w:color w:val="000000" w:themeColor="text1"/>
          <w:sz w:val="24"/>
          <w:szCs w:val="24"/>
          <w:lang w:val="zh-CN"/>
        </w:rPr>
        <w:t>一、</w:t>
      </w:r>
      <w:r>
        <w:rPr>
          <w:rFonts w:ascii="仿宋" w:hAnsi="仿宋" w:eastAsia="仿宋" w:cs="宋体"/>
          <w:b/>
          <w:bCs/>
          <w:color w:val="000000" w:themeColor="text1"/>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000000" w:themeColor="text1"/>
          <w:sz w:val="24"/>
          <w:szCs w:val="24"/>
          <w:lang w:val="zh-CN"/>
        </w:rPr>
      </w:pPr>
      <w:r>
        <w:rPr>
          <w:rFonts w:hint="eastAsia" w:ascii="仿宋" w:hAnsi="仿宋" w:eastAsia="仿宋" w:cs="宋体"/>
          <w:bCs/>
          <w:color w:val="000000" w:themeColor="text1"/>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000000" w:themeColor="text1"/>
          <w:sz w:val="24"/>
          <w:szCs w:val="24"/>
          <w:lang w:val="zh-CN"/>
        </w:rPr>
      </w:pPr>
      <w:r>
        <w:rPr>
          <w:rFonts w:hint="eastAsia" w:ascii="仿宋" w:hAnsi="仿宋" w:eastAsia="仿宋" w:cs="宋体"/>
          <w:bCs/>
          <w:color w:val="000000" w:themeColor="text1"/>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000000" w:themeColor="text1"/>
          <w:sz w:val="24"/>
          <w:szCs w:val="24"/>
          <w:lang w:val="zh-CN"/>
        </w:rPr>
      </w:pPr>
      <w:r>
        <w:rPr>
          <w:rFonts w:hint="eastAsia" w:ascii="仿宋" w:hAnsi="仿宋" w:eastAsia="仿宋" w:cs="宋体"/>
          <w:bCs/>
          <w:color w:val="000000" w:themeColor="text1"/>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000000" w:themeColor="text1"/>
          <w:sz w:val="24"/>
          <w:szCs w:val="24"/>
          <w:lang w:val="zh-CN"/>
        </w:rPr>
      </w:pPr>
      <w:r>
        <w:rPr>
          <w:rFonts w:hint="eastAsia" w:ascii="仿宋" w:hAnsi="仿宋" w:eastAsia="仿宋" w:cs="宋体"/>
          <w:bCs/>
          <w:color w:val="000000" w:themeColor="text1"/>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000000" w:themeColor="text1"/>
          <w:sz w:val="24"/>
          <w:szCs w:val="24"/>
          <w:lang w:val="zh-CN"/>
        </w:rPr>
      </w:pPr>
      <w:r>
        <w:rPr>
          <w:rFonts w:hint="eastAsia" w:ascii="仿宋" w:hAnsi="仿宋" w:eastAsia="仿宋" w:cs="宋体"/>
          <w:bCs/>
          <w:color w:val="000000" w:themeColor="text1"/>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000000" w:themeColor="text1"/>
          <w:sz w:val="24"/>
          <w:szCs w:val="24"/>
          <w:lang w:val="zh-CN"/>
        </w:rPr>
      </w:pPr>
      <w:r>
        <w:rPr>
          <w:rFonts w:hint="eastAsia" w:ascii="仿宋" w:hAnsi="仿宋" w:eastAsia="仿宋" w:cs="宋体"/>
          <w:b/>
          <w:bCs/>
          <w:color w:val="000000" w:themeColor="text1"/>
          <w:sz w:val="24"/>
          <w:szCs w:val="24"/>
          <w:lang w:val="zh-CN"/>
        </w:rPr>
        <w:t>二、</w:t>
      </w:r>
      <w:r>
        <w:rPr>
          <w:rFonts w:ascii="仿宋" w:hAnsi="仿宋" w:eastAsia="仿宋" w:cs="宋体"/>
          <w:b/>
          <w:bCs/>
          <w:color w:val="000000" w:themeColor="text1"/>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000000" w:themeColor="text1"/>
          <w:sz w:val="24"/>
          <w:szCs w:val="24"/>
          <w:lang w:val="zh-CN"/>
        </w:rPr>
      </w:pPr>
      <w:r>
        <w:rPr>
          <w:rFonts w:hint="eastAsia" w:ascii="仿宋" w:hAnsi="仿宋" w:eastAsia="仿宋" w:cs="宋体"/>
          <w:b/>
          <w:bCs/>
          <w:color w:val="000000" w:themeColor="text1"/>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000000" w:themeColor="text1"/>
          <w:sz w:val="24"/>
          <w:szCs w:val="24"/>
          <w:lang w:val="zh-CN"/>
        </w:rPr>
      </w:pPr>
      <w:r>
        <w:rPr>
          <w:rFonts w:hint="eastAsia" w:ascii="仿宋" w:hAnsi="仿宋" w:eastAsia="仿宋" w:cs="宋体"/>
          <w:bCs/>
          <w:color w:val="000000" w:themeColor="text1"/>
          <w:sz w:val="24"/>
          <w:szCs w:val="24"/>
          <w:lang w:val="zh-CN"/>
        </w:rPr>
        <w:t>（1）201</w:t>
      </w:r>
      <w:r>
        <w:rPr>
          <w:rFonts w:hint="eastAsia" w:ascii="仿宋" w:hAnsi="仿宋" w:eastAsia="仿宋" w:cs="宋体"/>
          <w:bCs/>
          <w:color w:val="000000" w:themeColor="text1"/>
          <w:sz w:val="24"/>
          <w:szCs w:val="24"/>
          <w:lang w:val="en-US" w:eastAsia="zh-CN"/>
        </w:rPr>
        <w:t>7</w:t>
      </w:r>
      <w:r>
        <w:rPr>
          <w:rFonts w:hint="eastAsia" w:ascii="仿宋" w:hAnsi="仿宋" w:eastAsia="仿宋" w:cs="宋体"/>
          <w:bCs/>
          <w:color w:val="000000" w:themeColor="text1"/>
          <w:sz w:val="24"/>
          <w:szCs w:val="24"/>
          <w:lang w:val="zh-CN"/>
        </w:rPr>
        <w:t>年度经审计的财务报告，包括资产负债表、利润表、现金流量表及其附注，或基本开户银行出具的资信证明。（法人投标提供）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000000" w:themeColor="text1"/>
          <w:sz w:val="24"/>
          <w:szCs w:val="24"/>
          <w:lang w:val="zh-CN"/>
        </w:rPr>
      </w:pPr>
      <w:r>
        <w:rPr>
          <w:rFonts w:hint="eastAsia" w:ascii="仿宋" w:hAnsi="仿宋" w:eastAsia="仿宋" w:cs="宋体"/>
          <w:bCs/>
          <w:color w:val="000000" w:themeColor="text1"/>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000000" w:themeColor="text1"/>
          <w:sz w:val="24"/>
          <w:szCs w:val="24"/>
          <w:lang w:val="zh-CN"/>
        </w:rPr>
      </w:pPr>
      <w:r>
        <w:rPr>
          <w:rFonts w:hint="eastAsia" w:ascii="仿宋" w:hAnsi="仿宋" w:eastAsia="仿宋" w:cs="宋体"/>
          <w:bCs/>
          <w:color w:val="000000" w:themeColor="text1"/>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000000" w:themeColor="text1"/>
          <w:sz w:val="24"/>
          <w:szCs w:val="24"/>
          <w:lang w:val="zh-CN"/>
        </w:rPr>
      </w:pPr>
      <w:r>
        <w:rPr>
          <w:rFonts w:hint="eastAsia" w:ascii="仿宋" w:hAnsi="仿宋" w:eastAsia="仿宋" w:cs="宋体"/>
          <w:b/>
          <w:bCs/>
          <w:color w:val="000000" w:themeColor="text1"/>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000000" w:themeColor="text1"/>
          <w:sz w:val="24"/>
          <w:szCs w:val="24"/>
          <w:lang w:val="zh-CN"/>
        </w:rPr>
      </w:pPr>
      <w:r>
        <w:rPr>
          <w:rFonts w:hint="eastAsia" w:ascii="仿宋" w:hAnsi="仿宋" w:eastAsia="仿宋" w:cs="宋体"/>
          <w:bCs/>
          <w:color w:val="000000" w:themeColor="text1"/>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000000" w:themeColor="text1"/>
          <w:sz w:val="24"/>
          <w:szCs w:val="24"/>
          <w:lang w:val="zh-CN"/>
        </w:rPr>
      </w:pPr>
      <w:r>
        <w:rPr>
          <w:rFonts w:hint="eastAsia" w:ascii="仿宋" w:hAnsi="仿宋" w:eastAsia="仿宋" w:cs="宋体"/>
          <w:bCs/>
          <w:color w:val="000000" w:themeColor="text1"/>
          <w:sz w:val="24"/>
          <w:szCs w:val="24"/>
          <w:lang w:val="zh-CN"/>
        </w:rPr>
        <w:t>（2投标截止时间前三个月内任何一个月投标人及法定代表授权代表缴纳社会保险的凭据复印件。</w:t>
      </w:r>
    </w:p>
    <w:p>
      <w:pPr>
        <w:autoSpaceDE w:val="0"/>
        <w:autoSpaceDN w:val="0"/>
        <w:adjustRightInd w:val="0"/>
        <w:spacing w:line="360" w:lineRule="auto"/>
        <w:ind w:right="-11" w:firstLine="630"/>
        <w:rPr>
          <w:rFonts w:ascii="仿宋" w:hAnsi="仿宋" w:eastAsia="仿宋" w:cs="宋体"/>
          <w:bCs/>
          <w:color w:val="000000" w:themeColor="text1"/>
          <w:sz w:val="24"/>
          <w:szCs w:val="24"/>
          <w:lang w:val="zh-CN"/>
        </w:rPr>
      </w:pPr>
      <w:r>
        <w:rPr>
          <w:rFonts w:hint="eastAsia" w:ascii="仿宋" w:hAnsi="仿宋" w:eastAsia="仿宋" w:cs="宋体"/>
          <w:bCs/>
          <w:color w:val="000000" w:themeColor="text1"/>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000000" w:themeColor="text1"/>
          <w:sz w:val="24"/>
          <w:szCs w:val="24"/>
          <w:lang w:val="zh-CN"/>
        </w:rPr>
      </w:pPr>
      <w:r>
        <w:rPr>
          <w:rFonts w:hint="eastAsia" w:ascii="仿宋" w:hAnsi="仿宋" w:eastAsia="仿宋" w:cs="宋体"/>
          <w:b/>
          <w:bCs/>
          <w:color w:val="000000" w:themeColor="text1"/>
          <w:sz w:val="24"/>
          <w:szCs w:val="24"/>
          <w:lang w:val="zh-CN"/>
        </w:rPr>
        <w:t>三、</w:t>
      </w:r>
      <w:r>
        <w:rPr>
          <w:rFonts w:ascii="仿宋" w:hAnsi="仿宋" w:eastAsia="仿宋" w:cs="宋体"/>
          <w:b/>
          <w:bCs/>
          <w:color w:val="000000" w:themeColor="text1"/>
          <w:sz w:val="24"/>
          <w:szCs w:val="24"/>
          <w:lang w:val="zh-CN"/>
        </w:rPr>
        <w:t>履行合同所必需的设备和专业技术能力的证明材料</w:t>
      </w:r>
    </w:p>
    <w:p>
      <w:pPr>
        <w:autoSpaceDE w:val="0"/>
        <w:autoSpaceDN w:val="0"/>
        <w:adjustRightInd w:val="0"/>
        <w:spacing w:line="360" w:lineRule="auto"/>
        <w:ind w:right="-11" w:firstLine="630"/>
        <w:rPr>
          <w:rFonts w:ascii="仿宋" w:hAnsi="仿宋" w:eastAsia="仿宋" w:cs="宋体"/>
          <w:bCs/>
          <w:color w:val="000000" w:themeColor="text1"/>
          <w:sz w:val="24"/>
          <w:szCs w:val="24"/>
          <w:lang w:val="zh-CN"/>
        </w:rPr>
      </w:pPr>
      <w:r>
        <w:rPr>
          <w:rFonts w:hint="eastAsia" w:ascii="仿宋" w:hAnsi="仿宋" w:eastAsia="仿宋" w:cs="宋体"/>
          <w:bCs/>
          <w:color w:val="000000" w:themeColor="text1"/>
          <w:sz w:val="24"/>
          <w:szCs w:val="24"/>
          <w:lang w:val="zh-CN"/>
        </w:rPr>
        <w:t>供应商须对此项做出承诺（格式自拟）并提供类似项目业绩合同。</w:t>
      </w:r>
    </w:p>
    <w:p>
      <w:pPr>
        <w:autoSpaceDE w:val="0"/>
        <w:autoSpaceDN w:val="0"/>
        <w:adjustRightInd w:val="0"/>
        <w:spacing w:line="360" w:lineRule="auto"/>
        <w:ind w:right="-11" w:firstLine="630"/>
        <w:rPr>
          <w:rFonts w:ascii="仿宋" w:hAnsi="仿宋" w:eastAsia="仿宋" w:cs="宋体"/>
          <w:b/>
          <w:bCs/>
          <w:color w:val="000000" w:themeColor="text1"/>
          <w:sz w:val="24"/>
          <w:szCs w:val="24"/>
          <w:lang w:val="zh-CN"/>
        </w:rPr>
      </w:pPr>
      <w:r>
        <w:rPr>
          <w:rFonts w:hint="eastAsia" w:ascii="仿宋" w:hAnsi="仿宋" w:eastAsia="仿宋" w:cs="宋体"/>
          <w:b/>
          <w:bCs/>
          <w:color w:val="000000" w:themeColor="text1"/>
          <w:sz w:val="24"/>
          <w:szCs w:val="24"/>
          <w:lang w:val="zh-CN"/>
        </w:rPr>
        <w:t>四、</w:t>
      </w:r>
      <w:r>
        <w:rPr>
          <w:rFonts w:ascii="仿宋" w:hAnsi="仿宋" w:eastAsia="仿宋" w:cs="宋体"/>
          <w:b/>
          <w:bCs/>
          <w:color w:val="000000" w:themeColor="text1"/>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000000" w:themeColor="text1"/>
          <w:sz w:val="24"/>
          <w:szCs w:val="24"/>
          <w:lang w:val="zh-CN"/>
        </w:rPr>
      </w:pPr>
      <w:r>
        <w:rPr>
          <w:rFonts w:ascii="仿宋" w:hAnsi="仿宋" w:eastAsia="仿宋" w:cs="宋体"/>
          <w:bCs/>
          <w:color w:val="000000" w:themeColor="text1"/>
          <w:sz w:val="24"/>
          <w:szCs w:val="24"/>
          <w:lang w:val="zh-CN"/>
        </w:rPr>
        <w:t>参加政府采购活动前3年内在经营活动中没有重大违法记录的书面声明</w:t>
      </w:r>
      <w:r>
        <w:rPr>
          <w:rFonts w:hint="eastAsia" w:ascii="仿宋" w:hAnsi="仿宋" w:eastAsia="仿宋" w:cs="宋体"/>
          <w:bCs/>
          <w:color w:val="000000" w:themeColor="text1"/>
          <w:sz w:val="24"/>
          <w:szCs w:val="24"/>
          <w:lang w:val="zh-CN"/>
        </w:rPr>
        <w:t>函。</w:t>
      </w:r>
    </w:p>
    <w:p>
      <w:pPr>
        <w:autoSpaceDE w:val="0"/>
        <w:autoSpaceDN w:val="0"/>
        <w:adjustRightInd w:val="0"/>
        <w:spacing w:line="360" w:lineRule="auto"/>
        <w:ind w:right="-11" w:firstLine="630"/>
        <w:rPr>
          <w:rFonts w:ascii="仿宋" w:hAnsi="仿宋" w:eastAsia="仿宋" w:cs="宋体"/>
          <w:bCs/>
          <w:color w:val="000000" w:themeColor="text1"/>
          <w:sz w:val="24"/>
          <w:szCs w:val="24"/>
          <w:lang w:val="zh-CN"/>
        </w:rPr>
      </w:pPr>
      <w:r>
        <w:rPr>
          <w:rFonts w:hint="eastAsia" w:ascii="仿宋" w:hAnsi="仿宋" w:eastAsia="仿宋" w:cs="宋体"/>
          <w:bCs/>
          <w:color w:val="000000" w:themeColor="text1"/>
          <w:sz w:val="24"/>
          <w:szCs w:val="24"/>
          <w:lang w:val="zh-CN"/>
        </w:rPr>
        <w:t>注：</w:t>
      </w:r>
      <w:r>
        <w:rPr>
          <w:rFonts w:ascii="仿宋" w:hAnsi="仿宋" w:eastAsia="仿宋" w:cs="宋体"/>
          <w:bCs/>
          <w:color w:val="000000" w:themeColor="text1"/>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000000" w:themeColor="text1"/>
          <w:sz w:val="24"/>
          <w:szCs w:val="24"/>
          <w:lang w:val="zh-CN"/>
        </w:rPr>
      </w:pPr>
      <w:r>
        <w:rPr>
          <w:rFonts w:hint="eastAsia" w:ascii="仿宋" w:hAnsi="仿宋" w:eastAsia="仿宋" w:cs="宋体"/>
          <w:b/>
          <w:bCs/>
          <w:color w:val="000000" w:themeColor="text1"/>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000000" w:themeColor="text1"/>
          <w:sz w:val="24"/>
          <w:szCs w:val="24"/>
          <w:lang w:val="zh-CN"/>
        </w:rPr>
      </w:pPr>
      <w:r>
        <w:rPr>
          <w:rFonts w:hint="eastAsia" w:ascii="仿宋" w:hAnsi="仿宋" w:eastAsia="仿宋" w:cs="宋体"/>
          <w:b/>
          <w:bCs/>
          <w:color w:val="000000" w:themeColor="text1"/>
          <w:sz w:val="24"/>
          <w:szCs w:val="24"/>
          <w:lang w:val="zh-CN"/>
        </w:rPr>
        <w:t>六、法定代表人身份证复印件</w:t>
      </w:r>
    </w:p>
    <w:p>
      <w:pPr>
        <w:autoSpaceDE w:val="0"/>
        <w:autoSpaceDN w:val="0"/>
        <w:adjustRightInd w:val="0"/>
        <w:spacing w:line="360" w:lineRule="auto"/>
        <w:ind w:right="-11" w:firstLine="630"/>
        <w:rPr>
          <w:rFonts w:ascii="仿宋" w:hAnsi="仿宋" w:eastAsia="仿宋" w:cs="宋体"/>
          <w:b/>
          <w:bCs/>
          <w:color w:val="000000" w:themeColor="text1"/>
          <w:sz w:val="24"/>
          <w:szCs w:val="24"/>
          <w:lang w:val="zh-CN"/>
        </w:rPr>
      </w:pPr>
      <w:r>
        <w:rPr>
          <w:rFonts w:hint="eastAsia" w:ascii="仿宋" w:hAnsi="仿宋" w:eastAsia="仿宋" w:cs="宋体"/>
          <w:b/>
          <w:bCs/>
          <w:color w:val="000000" w:themeColor="text1"/>
          <w:sz w:val="24"/>
          <w:szCs w:val="24"/>
          <w:lang w:val="zh-CN"/>
        </w:rPr>
        <w:t>七、法人授权代表身份证复印件</w:t>
      </w:r>
    </w:p>
    <w:p>
      <w:pPr>
        <w:autoSpaceDE w:val="0"/>
        <w:autoSpaceDN w:val="0"/>
        <w:adjustRightInd w:val="0"/>
        <w:spacing w:line="360" w:lineRule="auto"/>
        <w:ind w:right="-11" w:firstLine="630"/>
        <w:rPr>
          <w:rFonts w:ascii="仿宋" w:hAnsi="仿宋" w:eastAsia="仿宋" w:cs="宋体"/>
          <w:b/>
          <w:bCs/>
          <w:color w:val="000000" w:themeColor="text1"/>
          <w:sz w:val="24"/>
          <w:szCs w:val="24"/>
          <w:lang w:val="zh-CN"/>
        </w:rPr>
      </w:pPr>
      <w:r>
        <w:rPr>
          <w:rFonts w:hint="eastAsia" w:ascii="仿宋" w:hAnsi="仿宋" w:eastAsia="仿宋" w:cs="宋体"/>
          <w:b/>
          <w:bCs/>
          <w:color w:val="000000" w:themeColor="text1"/>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000000" w:themeColor="text1"/>
          <w:sz w:val="24"/>
          <w:szCs w:val="24"/>
          <w:lang w:val="zh-CN"/>
        </w:rPr>
      </w:pPr>
      <w:r>
        <w:rPr>
          <w:rFonts w:hint="eastAsia" w:ascii="仿宋" w:hAnsi="仿宋" w:eastAsia="仿宋" w:cs="宋体"/>
          <w:b/>
          <w:bCs/>
          <w:color w:val="000000" w:themeColor="text1"/>
          <w:sz w:val="24"/>
          <w:szCs w:val="24"/>
          <w:lang w:val="zh-CN"/>
        </w:rPr>
        <w:t>九、</w:t>
      </w:r>
      <w:r>
        <w:rPr>
          <w:rFonts w:hint="eastAsia" w:ascii="仿宋" w:hAnsi="仿宋" w:eastAsia="仿宋" w:cs="仿宋"/>
          <w:color w:val="000000" w:themeColor="text1"/>
          <w:sz w:val="24"/>
          <w:szCs w:val="24"/>
        </w:rPr>
        <w:t>投标人工商企业信用信息公示报告【国家企业信用信息公示系统</w:t>
      </w:r>
      <w:r>
        <w:rPr>
          <w:color w:val="000000" w:themeColor="text1"/>
        </w:rPr>
        <w:fldChar w:fldCharType="begin"/>
      </w:r>
      <w:r>
        <w:rPr>
          <w:color w:val="000000" w:themeColor="text1"/>
        </w:rPr>
        <w:instrText xml:space="preserve"> HYPERLINK "http://www.gsxt.gov.cn/" </w:instrText>
      </w:r>
      <w:r>
        <w:rPr>
          <w:color w:val="000000" w:themeColor="text1"/>
        </w:rPr>
        <w:fldChar w:fldCharType="separate"/>
      </w:r>
      <w:r>
        <w:rPr>
          <w:rFonts w:hint="eastAsia" w:ascii="仿宋" w:hAnsi="仿宋" w:eastAsia="仿宋" w:cs="仿宋"/>
          <w:color w:val="000000" w:themeColor="text1"/>
          <w:sz w:val="24"/>
          <w:szCs w:val="24"/>
        </w:rPr>
        <w:t>http://www.gsxt.gov.cn</w:t>
      </w:r>
      <w:r>
        <w:rPr>
          <w:rFonts w:hint="eastAsia" w:ascii="仿宋" w:hAnsi="仿宋" w:eastAsia="仿宋" w:cs="仿宋"/>
          <w:color w:val="000000" w:themeColor="text1"/>
          <w:sz w:val="24"/>
          <w:szCs w:val="24"/>
        </w:rPr>
        <w:fldChar w:fldCharType="end"/>
      </w:r>
      <w:r>
        <w:rPr>
          <w:rFonts w:hint="eastAsia" w:ascii="仿宋" w:hAnsi="仿宋" w:eastAsia="仿宋" w:cs="仿宋"/>
          <w:color w:val="000000" w:themeColor="text1"/>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000000" w:themeColor="text1"/>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color w:val="000000" w:themeColor="text1"/>
          <w:sz w:val="24"/>
          <w:szCs w:val="24"/>
          <w:lang w:val="zh-CN"/>
        </w:rPr>
      </w:pPr>
    </w:p>
    <w:p>
      <w:pPr>
        <w:autoSpaceDE w:val="0"/>
        <w:autoSpaceDN w:val="0"/>
        <w:adjustRightInd w:val="0"/>
        <w:spacing w:line="360" w:lineRule="auto"/>
        <w:outlineLvl w:val="0"/>
        <w:rPr>
          <w:rFonts w:ascii="仿宋" w:hAnsi="仿宋" w:eastAsia="仿宋" w:cs="宋体"/>
          <w:color w:val="000000" w:themeColor="text1"/>
          <w:sz w:val="24"/>
          <w:szCs w:val="24"/>
          <w:lang w:val="zh-CN"/>
        </w:rPr>
      </w:pPr>
      <w:r>
        <w:rPr>
          <w:rFonts w:hint="eastAsia" w:ascii="仿宋" w:hAnsi="仿宋" w:eastAsia="仿宋" w:cs="宋体"/>
          <w:color w:val="000000" w:themeColor="text1"/>
          <w:sz w:val="24"/>
          <w:szCs w:val="24"/>
          <w:lang w:val="zh-CN"/>
        </w:rPr>
        <w:t>附件2</w:t>
      </w:r>
    </w:p>
    <w:p>
      <w:pPr>
        <w:autoSpaceDE w:val="0"/>
        <w:autoSpaceDN w:val="0"/>
        <w:adjustRightInd w:val="0"/>
        <w:spacing w:line="360" w:lineRule="auto"/>
        <w:jc w:val="center"/>
        <w:outlineLvl w:val="0"/>
        <w:rPr>
          <w:rFonts w:ascii="仿宋" w:hAnsi="仿宋" w:eastAsia="仿宋" w:cs="宋体"/>
          <w:b/>
          <w:bCs/>
          <w:color w:val="000000" w:themeColor="text1"/>
          <w:sz w:val="24"/>
          <w:szCs w:val="24"/>
          <w:lang w:val="zh-CN"/>
        </w:rPr>
      </w:pPr>
      <w:r>
        <w:rPr>
          <w:rFonts w:hint="eastAsia" w:ascii="仿宋" w:hAnsi="仿宋" w:eastAsia="仿宋" w:cs="宋体"/>
          <w:b/>
          <w:bCs/>
          <w:color w:val="000000" w:themeColor="text1"/>
          <w:sz w:val="24"/>
          <w:szCs w:val="24"/>
          <w:lang w:val="zh-CN"/>
        </w:rPr>
        <w:t>投标保证金</w:t>
      </w:r>
    </w:p>
    <w:p>
      <w:pPr>
        <w:autoSpaceDE w:val="0"/>
        <w:autoSpaceDN w:val="0"/>
        <w:adjustRightInd w:val="0"/>
        <w:spacing w:line="360" w:lineRule="auto"/>
        <w:jc w:val="center"/>
        <w:outlineLvl w:val="0"/>
        <w:rPr>
          <w:rFonts w:ascii="仿宋" w:hAnsi="仿宋" w:eastAsia="仿宋" w:cs="宋体"/>
          <w:b/>
          <w:bCs/>
          <w:color w:val="000000" w:themeColor="text1"/>
          <w:sz w:val="24"/>
          <w:szCs w:val="24"/>
          <w:lang w:val="zh-CN"/>
        </w:rPr>
      </w:pPr>
      <w:r>
        <w:rPr>
          <w:rFonts w:hint="eastAsia" w:ascii="仿宋" w:hAnsi="仿宋" w:eastAsia="仿宋" w:cs="宋体"/>
          <w:b/>
          <w:bCs/>
          <w:color w:val="000000" w:themeColor="text1"/>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color w:val="000000" w:themeColor="text1"/>
          <w:sz w:val="24"/>
          <w:szCs w:val="24"/>
          <w:lang w:val="zh-CN"/>
        </w:rPr>
      </w:pPr>
    </w:p>
    <w:p>
      <w:pPr>
        <w:autoSpaceDE w:val="0"/>
        <w:autoSpaceDN w:val="0"/>
        <w:adjustRightInd w:val="0"/>
        <w:spacing w:line="360" w:lineRule="auto"/>
        <w:ind w:right="-11"/>
        <w:rPr>
          <w:rFonts w:ascii="仿宋" w:hAnsi="仿宋" w:eastAsia="仿宋" w:cs="宋体"/>
          <w:color w:val="000000" w:themeColor="text1"/>
          <w:sz w:val="24"/>
          <w:szCs w:val="24"/>
          <w:lang w:val="zh-CN"/>
        </w:rPr>
      </w:pPr>
    </w:p>
    <w:p>
      <w:pPr>
        <w:autoSpaceDE w:val="0"/>
        <w:autoSpaceDN w:val="0"/>
        <w:adjustRightInd w:val="0"/>
        <w:spacing w:line="360" w:lineRule="auto"/>
        <w:ind w:right="-11"/>
        <w:rPr>
          <w:rFonts w:ascii="仿宋" w:hAnsi="仿宋" w:eastAsia="仿宋" w:cs="宋体"/>
          <w:color w:val="000000" w:themeColor="text1"/>
          <w:sz w:val="24"/>
          <w:szCs w:val="24"/>
          <w:lang w:val="zh-CN"/>
        </w:rPr>
      </w:pPr>
    </w:p>
    <w:p>
      <w:pPr>
        <w:autoSpaceDE w:val="0"/>
        <w:autoSpaceDN w:val="0"/>
        <w:adjustRightInd w:val="0"/>
        <w:spacing w:line="360" w:lineRule="auto"/>
        <w:ind w:right="-11"/>
        <w:rPr>
          <w:rFonts w:ascii="仿宋" w:hAnsi="仿宋" w:eastAsia="仿宋" w:cs="宋体"/>
          <w:color w:val="000000" w:themeColor="text1"/>
          <w:sz w:val="24"/>
          <w:szCs w:val="24"/>
          <w:lang w:val="zh-CN"/>
        </w:rPr>
      </w:pPr>
    </w:p>
    <w:p>
      <w:pPr>
        <w:autoSpaceDE w:val="0"/>
        <w:autoSpaceDN w:val="0"/>
        <w:adjustRightInd w:val="0"/>
        <w:spacing w:line="360" w:lineRule="auto"/>
        <w:outlineLvl w:val="0"/>
        <w:rPr>
          <w:rFonts w:ascii="仿宋" w:hAnsi="仿宋" w:eastAsia="仿宋" w:cs="宋体"/>
          <w:color w:val="000000" w:themeColor="text1"/>
          <w:sz w:val="24"/>
          <w:szCs w:val="24"/>
          <w:lang w:val="zh-CN"/>
        </w:rPr>
      </w:pPr>
    </w:p>
    <w:p>
      <w:pPr>
        <w:autoSpaceDE w:val="0"/>
        <w:autoSpaceDN w:val="0"/>
        <w:adjustRightInd w:val="0"/>
        <w:spacing w:line="360" w:lineRule="auto"/>
        <w:outlineLvl w:val="0"/>
        <w:rPr>
          <w:rFonts w:ascii="仿宋" w:hAnsi="仿宋" w:eastAsia="仿宋" w:cs="宋体"/>
          <w:color w:val="000000" w:themeColor="text1"/>
          <w:sz w:val="24"/>
          <w:szCs w:val="24"/>
          <w:lang w:val="zh-CN"/>
        </w:rPr>
      </w:pPr>
    </w:p>
    <w:p>
      <w:pPr>
        <w:autoSpaceDE w:val="0"/>
        <w:autoSpaceDN w:val="0"/>
        <w:adjustRightInd w:val="0"/>
        <w:spacing w:line="360" w:lineRule="auto"/>
        <w:outlineLvl w:val="0"/>
        <w:rPr>
          <w:rFonts w:ascii="仿宋" w:hAnsi="仿宋" w:eastAsia="仿宋" w:cs="宋体"/>
          <w:color w:val="000000" w:themeColor="text1"/>
          <w:sz w:val="24"/>
          <w:szCs w:val="24"/>
          <w:lang w:val="zh-CN"/>
        </w:rPr>
      </w:pPr>
    </w:p>
    <w:p>
      <w:pPr>
        <w:autoSpaceDE w:val="0"/>
        <w:autoSpaceDN w:val="0"/>
        <w:adjustRightInd w:val="0"/>
        <w:spacing w:line="360" w:lineRule="auto"/>
        <w:outlineLvl w:val="0"/>
        <w:rPr>
          <w:rFonts w:ascii="仿宋" w:hAnsi="仿宋" w:eastAsia="仿宋" w:cs="宋体"/>
          <w:color w:val="000000" w:themeColor="text1"/>
          <w:sz w:val="24"/>
          <w:szCs w:val="24"/>
          <w:lang w:val="zh-CN"/>
        </w:rPr>
      </w:pPr>
    </w:p>
    <w:p>
      <w:pPr>
        <w:autoSpaceDE w:val="0"/>
        <w:autoSpaceDN w:val="0"/>
        <w:adjustRightInd w:val="0"/>
        <w:spacing w:line="360" w:lineRule="auto"/>
        <w:outlineLvl w:val="0"/>
        <w:rPr>
          <w:rFonts w:ascii="仿宋" w:hAnsi="仿宋" w:eastAsia="仿宋" w:cs="宋体"/>
          <w:color w:val="000000" w:themeColor="text1"/>
          <w:sz w:val="24"/>
          <w:szCs w:val="24"/>
          <w:lang w:val="zh-CN"/>
        </w:rPr>
      </w:pPr>
    </w:p>
    <w:p>
      <w:pPr>
        <w:autoSpaceDE w:val="0"/>
        <w:autoSpaceDN w:val="0"/>
        <w:adjustRightInd w:val="0"/>
        <w:spacing w:line="360" w:lineRule="auto"/>
        <w:outlineLvl w:val="0"/>
        <w:rPr>
          <w:rFonts w:ascii="仿宋" w:hAnsi="仿宋" w:eastAsia="仿宋" w:cs="宋体"/>
          <w:color w:val="000000" w:themeColor="text1"/>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4</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项目的投标邀请，本签字人愿意参加投标，提供采购项目一览表中规定的货物及服务，并声明提交的下列文件是准确和真实的。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签字人姓名、职务：</w:t>
      </w:r>
      <w:r>
        <w:rPr>
          <w:rFonts w:ascii="仿宋" w:hAnsi="仿宋" w:eastAsia="仿宋" w:cs="宋体"/>
          <w:sz w:val="24"/>
          <w:szCs w:val="24"/>
          <w:lang w:val="zh-CN"/>
        </w:rPr>
        <w:t xml:space="preserve">      </w:t>
      </w:r>
      <w:r>
        <w:rPr>
          <w:rFonts w:hint="eastAsia" w:ascii="仿宋" w:hAnsi="仿宋" w:eastAsia="仿宋" w:cs="宋体"/>
          <w:sz w:val="24"/>
          <w:szCs w:val="24"/>
        </w:rPr>
        <w:t xml:space="preserve">        </w:t>
      </w:r>
      <w:r>
        <w:rPr>
          <w:rFonts w:ascii="仿宋" w:hAnsi="仿宋" w:eastAsia="仿宋" w:cs="宋体"/>
          <w:sz w:val="24"/>
          <w:szCs w:val="24"/>
          <w:lang w:val="zh-CN"/>
        </w:rPr>
        <w:t xml:space="preserve">  </w:t>
      </w:r>
      <w:r>
        <w:rPr>
          <w:rFonts w:hint="eastAsia" w:ascii="仿宋" w:hAnsi="仿宋" w:eastAsia="仿宋" w:cs="宋体"/>
          <w:sz w:val="24"/>
          <w:szCs w:val="24"/>
          <w:lang w:val="zh-CN"/>
        </w:rPr>
        <w:t>签字：</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ind w:right="-11"/>
        <w:jc w:val="center"/>
        <w:outlineLvl w:val="0"/>
        <w:rPr>
          <w:rFonts w:ascii="仿宋" w:hAnsi="仿宋" w:eastAsia="仿宋" w:cs="宋体"/>
          <w:b/>
          <w:sz w:val="24"/>
          <w:szCs w:val="24"/>
          <w:lang w:val="zh-CN"/>
        </w:rPr>
      </w:pPr>
    </w:p>
    <w:p>
      <w:pPr>
        <w:autoSpaceDE w:val="0"/>
        <w:autoSpaceDN w:val="0"/>
        <w:adjustRightInd w:val="0"/>
        <w:spacing w:line="360" w:lineRule="auto"/>
        <w:ind w:firstLine="482"/>
        <w:rPr>
          <w:rFonts w:ascii="仿宋" w:hAnsi="仿宋" w:eastAsia="仿宋" w:cs="宋体"/>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（投标人名称、地址）提交下述文件正本一份和副本四份，并对之负法律责任。</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1、</w:t>
      </w:r>
      <w:r>
        <w:rPr>
          <w:rFonts w:hint="eastAsia" w:ascii="仿宋" w:hAnsi="仿宋" w:eastAsia="仿宋" w:cs="仿宋"/>
          <w:sz w:val="24"/>
          <w:szCs w:val="24"/>
        </w:rPr>
        <w:t>所附报价表中规定的应提供和交付的货物总价为人民币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，即（大写）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rPr>
        <w:t>2</w:t>
      </w:r>
      <w:r>
        <w:rPr>
          <w:rFonts w:hint="eastAsia" w:ascii="仿宋" w:hAnsi="仿宋" w:eastAsia="仿宋" w:cs="宋体"/>
          <w:sz w:val="24"/>
          <w:szCs w:val="24"/>
          <w:lang w:val="zh-CN"/>
        </w:rPr>
        <w:t>、如果我们的投标文件被接受，我们将履行招标文件中规定的每一项要求，按期、按质、按量履行合同。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rPr>
        <w:t>3</w:t>
      </w:r>
      <w:r>
        <w:rPr>
          <w:rFonts w:hint="eastAsia" w:ascii="仿宋" w:hAnsi="仿宋" w:eastAsia="仿宋" w:cs="宋体"/>
          <w:sz w:val="24"/>
          <w:szCs w:val="24"/>
          <w:lang w:val="zh-CN"/>
        </w:rPr>
        <w:t>、我方愿按《中华人民共和国合同法》履行我方的全部责任。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4</w:t>
      </w:r>
      <w:r>
        <w:rPr>
          <w:rFonts w:hint="eastAsia" w:ascii="仿宋" w:hAnsi="仿宋" w:eastAsia="仿宋" w:cs="宋体"/>
          <w:sz w:val="24"/>
          <w:szCs w:val="24"/>
          <w:lang w:val="zh-CN"/>
        </w:rPr>
        <w:t>、投标人已详细审查全部招标文件，包括修改文件以及全部参考资料和有关附件。我们完全理解并同意放弃对这方面有不明及误解的权力。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5</w:t>
      </w:r>
      <w:r>
        <w:rPr>
          <w:rFonts w:hint="eastAsia" w:ascii="仿宋" w:hAnsi="仿宋" w:eastAsia="仿宋" w:cs="宋体"/>
          <w:sz w:val="24"/>
          <w:szCs w:val="24"/>
          <w:lang w:val="zh-CN"/>
        </w:rPr>
        <w:t>、本投标自开标日起有效期为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6</w:t>
      </w:r>
      <w:r>
        <w:rPr>
          <w:rFonts w:hint="eastAsia" w:ascii="仿宋" w:hAnsi="仿宋" w:eastAsia="仿宋" w:cs="宋体"/>
          <w:sz w:val="24"/>
          <w:szCs w:val="24"/>
          <w:lang w:val="zh-CN"/>
        </w:rPr>
        <w:t>、投标人同意提供按照贵方可能要求的与其投标有关的一切数据或资料，理解贵方不一定要接受最低价的投标或收到的任何投标。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7</w:t>
      </w:r>
      <w:r>
        <w:rPr>
          <w:rFonts w:hint="eastAsia" w:ascii="仿宋" w:hAnsi="仿宋" w:eastAsia="仿宋" w:cs="宋体"/>
          <w:sz w:val="24"/>
          <w:szCs w:val="24"/>
          <w:lang w:val="zh-CN"/>
        </w:rPr>
        <w:t>、我方保证投标文件中的所有资料均为真实、有效的，如有虚假，我方承诺投标文件无效并愿承担一切责任。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8</w:t>
      </w:r>
      <w:r>
        <w:rPr>
          <w:rFonts w:hint="eastAsia" w:ascii="仿宋" w:hAnsi="仿宋" w:eastAsia="仿宋" w:cs="宋体"/>
          <w:sz w:val="24"/>
          <w:szCs w:val="24"/>
          <w:lang w:val="zh-CN"/>
        </w:rPr>
        <w:t>、与本投标有关的一切正式往来请寄：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投标人名称：（签章）：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140" w:lineRule="exact"/>
        <w:rPr>
          <w:rFonts w:ascii="仿宋" w:hAnsi="仿宋" w:eastAsia="仿宋" w:cs="宋体"/>
          <w:b/>
          <w:bCs/>
          <w:sz w:val="24"/>
          <w:szCs w:val="24"/>
          <w:lang w:val="zh-CN"/>
        </w:rPr>
      </w:pPr>
    </w:p>
    <w:p>
      <w:pPr>
        <w:jc w:val="center"/>
        <w:outlineLvl w:val="2"/>
        <w:rPr>
          <w:rFonts w:hint="eastAsia" w:ascii="宋体" w:hAnsi="宋体"/>
          <w:b/>
          <w:bCs/>
          <w:sz w:val="32"/>
          <w:szCs w:val="32"/>
        </w:rPr>
      </w:pPr>
      <w:r>
        <w:rPr>
          <w:rFonts w:hint="eastAsia" w:ascii="宋体" w:hAnsi="宋体"/>
          <w:b/>
          <w:bCs/>
          <w:sz w:val="32"/>
          <w:szCs w:val="32"/>
        </w:rPr>
        <w:t>开标一览表</w:t>
      </w:r>
    </w:p>
    <w:p>
      <w:pPr>
        <w:pStyle w:val="20"/>
        <w:spacing w:line="360" w:lineRule="auto"/>
        <w:ind w:firstLine="240" w:firstLineChars="100"/>
        <w:rPr>
          <w:rFonts w:hint="eastAsia" w:hAnsi="宋体"/>
          <w:sz w:val="24"/>
          <w:szCs w:val="24"/>
        </w:rPr>
      </w:pPr>
      <w:r>
        <w:rPr>
          <w:rFonts w:hint="eastAsia" w:hAnsi="宋体"/>
          <w:sz w:val="24"/>
          <w:szCs w:val="24"/>
        </w:rPr>
        <w:t>项目名称：</w:t>
      </w:r>
    </w:p>
    <w:p>
      <w:pPr>
        <w:pStyle w:val="20"/>
        <w:spacing w:line="360" w:lineRule="auto"/>
        <w:ind w:firstLine="240" w:firstLineChars="100"/>
        <w:rPr>
          <w:rFonts w:hint="eastAsia" w:hAnsi="宋体"/>
          <w:sz w:val="24"/>
          <w:szCs w:val="24"/>
        </w:rPr>
      </w:pPr>
      <w:r>
        <w:rPr>
          <w:rFonts w:hint="eastAsia" w:hAnsi="宋体"/>
          <w:sz w:val="24"/>
          <w:szCs w:val="24"/>
        </w:rPr>
        <w:t>项目编号：</w:t>
      </w:r>
    </w:p>
    <w:tbl>
      <w:tblPr>
        <w:tblStyle w:val="38"/>
        <w:tblW w:w="96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6697"/>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54" w:hRule="atLeast"/>
          <w:jc w:val="center"/>
        </w:trPr>
        <w:tc>
          <w:tcPr>
            <w:tcW w:w="1710" w:type="dxa"/>
            <w:vAlign w:val="center"/>
          </w:tcPr>
          <w:p>
            <w:pPr>
              <w:pStyle w:val="20"/>
              <w:spacing w:line="360" w:lineRule="auto"/>
              <w:jc w:val="center"/>
              <w:rPr>
                <w:rFonts w:hint="eastAsia" w:hAnsi="宋体"/>
                <w:sz w:val="24"/>
                <w:szCs w:val="24"/>
              </w:rPr>
            </w:pPr>
            <w:r>
              <w:rPr>
                <w:rFonts w:hint="eastAsia" w:hAnsi="宋体"/>
                <w:sz w:val="24"/>
                <w:szCs w:val="24"/>
              </w:rPr>
              <w:t>投标人名称</w:t>
            </w:r>
          </w:p>
        </w:tc>
        <w:tc>
          <w:tcPr>
            <w:tcW w:w="6697" w:type="dxa"/>
            <w:vAlign w:val="center"/>
          </w:tcPr>
          <w:p>
            <w:pPr>
              <w:pStyle w:val="20"/>
              <w:spacing w:line="360" w:lineRule="auto"/>
              <w:jc w:val="center"/>
              <w:rPr>
                <w:rFonts w:hint="eastAsia" w:hAnsi="宋体"/>
                <w:sz w:val="24"/>
                <w:szCs w:val="24"/>
              </w:rPr>
            </w:pPr>
            <w:r>
              <w:rPr>
                <w:rFonts w:hint="eastAsia" w:hAnsi="宋体"/>
                <w:sz w:val="24"/>
                <w:szCs w:val="24"/>
              </w:rPr>
              <w:t>投标报价</w:t>
            </w:r>
          </w:p>
        </w:tc>
        <w:tc>
          <w:tcPr>
            <w:tcW w:w="1215" w:type="dxa"/>
            <w:vAlign w:val="center"/>
          </w:tcPr>
          <w:p>
            <w:pPr>
              <w:pStyle w:val="20"/>
              <w:spacing w:line="360" w:lineRule="auto"/>
              <w:rPr>
                <w:rFonts w:hint="eastAsia" w:hAnsi="宋体"/>
                <w:sz w:val="24"/>
                <w:szCs w:val="24"/>
              </w:rPr>
            </w:pPr>
            <w:r>
              <w:rPr>
                <w:rFonts w:hint="eastAsia" w:hAnsi="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6" w:hRule="atLeast"/>
          <w:jc w:val="center"/>
        </w:trPr>
        <w:tc>
          <w:tcPr>
            <w:tcW w:w="1710" w:type="dxa"/>
            <w:vAlign w:val="center"/>
          </w:tcPr>
          <w:p>
            <w:pPr>
              <w:pStyle w:val="20"/>
              <w:spacing w:line="360" w:lineRule="auto"/>
              <w:ind w:firstLine="360" w:firstLineChars="150"/>
              <w:rPr>
                <w:rFonts w:hint="eastAsia" w:hAnsi="宋体"/>
                <w:sz w:val="24"/>
                <w:szCs w:val="24"/>
              </w:rPr>
            </w:pPr>
          </w:p>
        </w:tc>
        <w:tc>
          <w:tcPr>
            <w:tcW w:w="6697" w:type="dxa"/>
            <w:vAlign w:val="center"/>
          </w:tcPr>
          <w:p>
            <w:pPr>
              <w:pStyle w:val="20"/>
              <w:spacing w:line="360" w:lineRule="auto"/>
              <w:jc w:val="left"/>
              <w:rPr>
                <w:rStyle w:val="145"/>
                <w:rFonts w:hint="default"/>
                <w:lang w:bidi="ar"/>
              </w:rPr>
            </w:pPr>
            <w:r>
              <w:rPr>
                <w:rStyle w:val="145"/>
                <w:rFonts w:hint="default"/>
                <w:lang w:bidi="ar"/>
              </w:rPr>
              <w:t>共报</w:t>
            </w:r>
            <w:r>
              <w:rPr>
                <w:rStyle w:val="146"/>
                <w:rFonts w:hint="default"/>
                <w:lang w:bidi="ar"/>
              </w:rPr>
              <w:t xml:space="preserve">       </w:t>
            </w:r>
            <w:r>
              <w:rPr>
                <w:rStyle w:val="145"/>
                <w:rFonts w:hint="default"/>
                <w:lang w:bidi="ar"/>
              </w:rPr>
              <w:t>个食品细类，占全部1</w:t>
            </w:r>
            <w:r>
              <w:rPr>
                <w:rStyle w:val="145"/>
                <w:rFonts w:hint="eastAsia"/>
                <w:lang w:val="en-US" w:eastAsia="zh-CN" w:bidi="ar"/>
              </w:rPr>
              <w:t>76</w:t>
            </w:r>
            <w:r>
              <w:rPr>
                <w:rStyle w:val="145"/>
                <w:rFonts w:hint="default"/>
                <w:lang w:bidi="ar"/>
              </w:rPr>
              <w:t>个食品细类的</w:t>
            </w:r>
            <w:r>
              <w:rPr>
                <w:rStyle w:val="146"/>
                <w:rFonts w:hint="default"/>
                <w:lang w:bidi="ar"/>
              </w:rPr>
              <w:t xml:space="preserve">         </w:t>
            </w:r>
            <w:r>
              <w:rPr>
                <w:rStyle w:val="145"/>
                <w:rFonts w:hint="default"/>
                <w:lang w:bidi="ar"/>
              </w:rPr>
              <w:t xml:space="preserve">%。 </w:t>
            </w:r>
          </w:p>
          <w:p>
            <w:pPr>
              <w:pStyle w:val="20"/>
              <w:spacing w:line="360" w:lineRule="auto"/>
              <w:jc w:val="left"/>
              <w:rPr>
                <w:rStyle w:val="145"/>
                <w:rFonts w:hint="default"/>
                <w:lang w:bidi="ar"/>
              </w:rPr>
            </w:pPr>
            <w:r>
              <w:rPr>
                <w:rStyle w:val="145"/>
                <w:rFonts w:hint="default"/>
                <w:lang w:bidi="ar"/>
              </w:rPr>
              <w:t>投标</w:t>
            </w:r>
            <w:r>
              <w:rPr>
                <w:rFonts w:hint="eastAsia" w:hAnsi="宋体" w:cs="宋体"/>
                <w:b/>
                <w:color w:val="000000"/>
                <w:kern w:val="0"/>
                <w:sz w:val="22"/>
                <w:szCs w:val="22"/>
                <w:lang w:bidi="ar"/>
              </w:rPr>
              <w:t>细类</w:t>
            </w:r>
            <w:r>
              <w:rPr>
                <w:rStyle w:val="145"/>
                <w:rFonts w:hint="default"/>
                <w:lang w:bidi="ar"/>
              </w:rPr>
              <w:t>单批次均价</w:t>
            </w:r>
            <w:r>
              <w:rPr>
                <w:rStyle w:val="145"/>
                <w:rFonts w:hint="default"/>
                <w:u w:val="single"/>
                <w:lang w:bidi="ar"/>
              </w:rPr>
              <w:t xml:space="preserve">          </w:t>
            </w:r>
            <w:r>
              <w:rPr>
                <w:rStyle w:val="145"/>
                <w:rFonts w:hint="default"/>
                <w:lang w:bidi="ar"/>
              </w:rPr>
              <w:t>元。</w:t>
            </w:r>
          </w:p>
        </w:tc>
        <w:tc>
          <w:tcPr>
            <w:tcW w:w="1215" w:type="dxa"/>
            <w:vAlign w:val="center"/>
          </w:tcPr>
          <w:p>
            <w:pPr>
              <w:pStyle w:val="20"/>
              <w:spacing w:line="360" w:lineRule="auto"/>
              <w:ind w:firstLine="360" w:firstLineChars="150"/>
              <w:rPr>
                <w:rFonts w:hint="eastAsia" w:hAnsi="宋体"/>
                <w:sz w:val="24"/>
                <w:szCs w:val="24"/>
              </w:rPr>
            </w:pPr>
          </w:p>
        </w:tc>
      </w:tr>
    </w:tbl>
    <w:p>
      <w:pPr>
        <w:spacing w:line="400" w:lineRule="exact"/>
        <w:rPr>
          <w:rFonts w:hint="eastAsia" w:ascii="宋体" w:hAnsi="宋体"/>
          <w:sz w:val="22"/>
          <w:szCs w:val="22"/>
        </w:rPr>
      </w:pPr>
    </w:p>
    <w:p>
      <w:pPr>
        <w:spacing w:line="400" w:lineRule="exact"/>
        <w:ind w:firstLine="429" w:firstLineChars="195"/>
        <w:rPr>
          <w:rFonts w:hint="eastAsia" w:ascii="宋体" w:hAnsi="宋体"/>
          <w:sz w:val="22"/>
          <w:szCs w:val="22"/>
        </w:rPr>
      </w:pPr>
      <w:r>
        <w:rPr>
          <w:rFonts w:hint="eastAsia" w:ascii="宋体" w:hAnsi="宋体"/>
          <w:sz w:val="22"/>
          <w:szCs w:val="22"/>
        </w:rPr>
        <w:t>投标人：（盖章）</w:t>
      </w:r>
    </w:p>
    <w:p>
      <w:pPr>
        <w:spacing w:line="400" w:lineRule="exact"/>
        <w:ind w:firstLine="429" w:firstLineChars="195"/>
        <w:rPr>
          <w:rFonts w:hint="eastAsia" w:ascii="宋体" w:hAnsi="宋体"/>
          <w:sz w:val="22"/>
          <w:szCs w:val="22"/>
        </w:rPr>
      </w:pPr>
      <w:r>
        <w:rPr>
          <w:rFonts w:hint="eastAsia" w:ascii="宋体" w:hAnsi="宋体"/>
          <w:sz w:val="22"/>
          <w:szCs w:val="22"/>
        </w:rPr>
        <w:t>法定代表人或其委托代理人：（签字或盖章）</w:t>
      </w:r>
    </w:p>
    <w:p>
      <w:pPr>
        <w:spacing w:line="400" w:lineRule="exact"/>
        <w:ind w:right="-31" w:rightChars="-15" w:firstLine="440" w:firstLineChars="200"/>
        <w:rPr>
          <w:rFonts w:hint="eastAsia" w:ascii="宋体" w:hAnsi="宋体"/>
          <w:szCs w:val="21"/>
        </w:rPr>
      </w:pPr>
      <w:r>
        <w:rPr>
          <w:rFonts w:hint="eastAsia" w:ascii="宋体" w:hAnsi="宋体"/>
          <w:sz w:val="22"/>
          <w:szCs w:val="22"/>
        </w:rPr>
        <w:t>日   期：</w:t>
      </w:r>
      <w:r>
        <w:rPr>
          <w:rFonts w:hint="eastAsia" w:ascii="宋体" w:hAnsi="宋体"/>
          <w:szCs w:val="21"/>
        </w:rPr>
        <w:t xml:space="preserve"> </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4</w:t>
      </w:r>
    </w:p>
    <w:p>
      <w:pPr>
        <w:spacing w:after="156" w:afterLines="50" w:line="360" w:lineRule="auto"/>
        <w:rPr>
          <w:rFonts w:hint="eastAsia" w:ascii="宋体" w:hAnsi="宋体"/>
          <w:sz w:val="24"/>
        </w:rPr>
      </w:pPr>
      <w:r>
        <w:rPr>
          <w:rFonts w:hint="eastAsia" w:ascii="宋体" w:hAnsi="宋体"/>
          <w:sz w:val="24"/>
        </w:rPr>
        <w:t>同第二部分：项目需求及其它要求中《大宗食品检验检测机构协议供货检测品种、项目及报价表》</w:t>
      </w:r>
    </w:p>
    <w:tbl>
      <w:tblPr>
        <w:tblStyle w:val="38"/>
        <w:tblW w:w="9327" w:type="dxa"/>
        <w:tblInd w:w="0" w:type="dxa"/>
        <w:tblLayout w:type="fixed"/>
        <w:tblCellMar>
          <w:top w:w="15" w:type="dxa"/>
          <w:left w:w="15" w:type="dxa"/>
          <w:bottom w:w="15" w:type="dxa"/>
          <w:right w:w="15" w:type="dxa"/>
        </w:tblCellMar>
      </w:tblPr>
      <w:tblGrid>
        <w:gridCol w:w="472"/>
        <w:gridCol w:w="839"/>
        <w:gridCol w:w="839"/>
        <w:gridCol w:w="843"/>
        <w:gridCol w:w="849"/>
        <w:gridCol w:w="2701"/>
        <w:gridCol w:w="672"/>
        <w:gridCol w:w="696"/>
        <w:gridCol w:w="581"/>
        <w:gridCol w:w="835"/>
      </w:tblGrid>
      <w:tr>
        <w:tblPrEx>
          <w:tblLayout w:type="fixed"/>
          <w:tblCellMar>
            <w:top w:w="15" w:type="dxa"/>
            <w:left w:w="15" w:type="dxa"/>
            <w:bottom w:w="15" w:type="dxa"/>
            <w:right w:w="15" w:type="dxa"/>
          </w:tblCellMar>
        </w:tblPrEx>
        <w:trPr>
          <w:trHeight w:val="630" w:hRule="atLeast"/>
        </w:trPr>
        <w:tc>
          <w:tcPr>
            <w:tcW w:w="472" w:type="dxa"/>
            <w:vAlign w:val="center"/>
          </w:tcPr>
          <w:p>
            <w:pPr>
              <w:widowControl/>
              <w:jc w:val="left"/>
              <w:textAlignment w:val="center"/>
              <w:rPr>
                <w:rFonts w:hint="eastAsia" w:ascii="宋体" w:hAnsi="宋体" w:cs="宋体"/>
                <w:color w:val="000000"/>
                <w:sz w:val="22"/>
                <w:szCs w:val="22"/>
              </w:rPr>
            </w:pPr>
          </w:p>
        </w:tc>
        <w:tc>
          <w:tcPr>
            <w:tcW w:w="8855" w:type="dxa"/>
            <w:gridSpan w:val="9"/>
            <w:vAlign w:val="center"/>
          </w:tcPr>
          <w:p>
            <w:pPr>
              <w:widowControl/>
              <w:jc w:val="center"/>
              <w:textAlignment w:val="center"/>
              <w:rPr>
                <w:rFonts w:hint="eastAsia" w:ascii="宋体" w:hAnsi="宋体" w:cs="宋体"/>
                <w:b/>
                <w:color w:val="000000"/>
                <w:sz w:val="36"/>
                <w:szCs w:val="36"/>
              </w:rPr>
            </w:pPr>
            <w:r>
              <w:rPr>
                <w:rFonts w:hint="eastAsia" w:ascii="宋体" w:hAnsi="宋体"/>
                <w:b/>
                <w:bCs/>
                <w:sz w:val="24"/>
              </w:rPr>
              <w:t>大宗食品检验检测机构协议供货检测品种、项目及报价表</w:t>
            </w:r>
          </w:p>
        </w:tc>
      </w:tr>
      <w:tr>
        <w:tblPrEx>
          <w:tblLayout w:type="fixed"/>
          <w:tblCellMar>
            <w:top w:w="15" w:type="dxa"/>
            <w:left w:w="15" w:type="dxa"/>
            <w:bottom w:w="15" w:type="dxa"/>
            <w:right w:w="15" w:type="dxa"/>
          </w:tblCellMar>
        </w:tblPrEx>
        <w:trPr>
          <w:trHeight w:val="480" w:hRule="atLeast"/>
        </w:trPr>
        <w:tc>
          <w:tcPr>
            <w:tcW w:w="4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序号</w:t>
            </w:r>
          </w:p>
        </w:tc>
        <w:tc>
          <w:tcPr>
            <w:tcW w:w="8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食品大类</w:t>
            </w:r>
          </w:p>
        </w:tc>
        <w:tc>
          <w:tcPr>
            <w:tcW w:w="8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食品亚类</w:t>
            </w:r>
          </w:p>
        </w:tc>
        <w:tc>
          <w:tcPr>
            <w:tcW w:w="84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食品品种</w:t>
            </w:r>
          </w:p>
        </w:tc>
        <w:tc>
          <w:tcPr>
            <w:tcW w:w="8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食品细类</w:t>
            </w:r>
          </w:p>
        </w:tc>
        <w:tc>
          <w:tcPr>
            <w:tcW w:w="27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检测项目</w:t>
            </w:r>
          </w:p>
        </w:tc>
        <w:tc>
          <w:tcPr>
            <w:tcW w:w="6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单项目检测费</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单批次检测费</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单批次采样费</w:t>
            </w:r>
          </w:p>
        </w:tc>
        <w:tc>
          <w:tcPr>
            <w:tcW w:w="83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单批次总报价</w:t>
            </w:r>
          </w:p>
        </w:tc>
      </w:tr>
      <w:tr>
        <w:tblPrEx>
          <w:tblLayout w:type="fixed"/>
          <w:tblCellMar>
            <w:top w:w="15" w:type="dxa"/>
            <w:left w:w="15" w:type="dxa"/>
            <w:bottom w:w="15" w:type="dxa"/>
            <w:right w:w="15" w:type="dxa"/>
          </w:tblCellMar>
        </w:tblPrEx>
        <w:trPr>
          <w:trHeight w:val="480" w:hRule="atLeast"/>
        </w:trPr>
        <w:tc>
          <w:tcPr>
            <w:tcW w:w="4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0"/>
                <w:szCs w:val="20"/>
                <w:lang w:bidi="ar"/>
              </w:rPr>
            </w:pPr>
            <w:r>
              <w:rPr>
                <w:rFonts w:hint="eastAsia" w:ascii="宋体" w:hAnsi="宋体" w:cs="宋体"/>
                <w:b/>
                <w:color w:val="000000"/>
                <w:kern w:val="0"/>
                <w:sz w:val="20"/>
                <w:szCs w:val="20"/>
                <w:lang w:bidi="ar"/>
              </w:rPr>
              <w:t>……</w:t>
            </w:r>
          </w:p>
        </w:tc>
        <w:tc>
          <w:tcPr>
            <w:tcW w:w="8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0"/>
                <w:szCs w:val="20"/>
                <w:lang w:bidi="ar"/>
              </w:rPr>
            </w:pPr>
            <w:r>
              <w:rPr>
                <w:rFonts w:hint="eastAsia" w:ascii="宋体" w:hAnsi="宋体" w:cs="宋体"/>
                <w:b/>
                <w:color w:val="000000"/>
                <w:kern w:val="0"/>
                <w:sz w:val="20"/>
                <w:szCs w:val="20"/>
                <w:lang w:bidi="ar"/>
              </w:rPr>
              <w:t>……</w:t>
            </w:r>
          </w:p>
        </w:tc>
        <w:tc>
          <w:tcPr>
            <w:tcW w:w="8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0"/>
                <w:szCs w:val="20"/>
                <w:lang w:bidi="ar"/>
              </w:rPr>
            </w:pPr>
            <w:r>
              <w:rPr>
                <w:rFonts w:hint="eastAsia" w:ascii="宋体" w:hAnsi="宋体" w:cs="宋体"/>
                <w:b/>
                <w:color w:val="000000"/>
                <w:kern w:val="0"/>
                <w:sz w:val="20"/>
                <w:szCs w:val="20"/>
                <w:lang w:bidi="ar"/>
              </w:rPr>
              <w:t>……</w:t>
            </w:r>
          </w:p>
        </w:tc>
        <w:tc>
          <w:tcPr>
            <w:tcW w:w="84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0"/>
                <w:szCs w:val="20"/>
                <w:lang w:bidi="ar"/>
              </w:rPr>
            </w:pPr>
            <w:r>
              <w:rPr>
                <w:rFonts w:hint="eastAsia" w:ascii="宋体" w:hAnsi="宋体" w:cs="宋体"/>
                <w:b/>
                <w:color w:val="000000"/>
                <w:kern w:val="0"/>
                <w:sz w:val="20"/>
                <w:szCs w:val="20"/>
                <w:lang w:bidi="ar"/>
              </w:rPr>
              <w:t>……</w:t>
            </w:r>
          </w:p>
        </w:tc>
        <w:tc>
          <w:tcPr>
            <w:tcW w:w="8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0"/>
                <w:szCs w:val="20"/>
                <w:lang w:bidi="ar"/>
              </w:rPr>
            </w:pPr>
            <w:r>
              <w:rPr>
                <w:rFonts w:hint="eastAsia" w:ascii="宋体" w:hAnsi="宋体" w:cs="宋体"/>
                <w:b/>
                <w:color w:val="000000"/>
                <w:kern w:val="0"/>
                <w:sz w:val="20"/>
                <w:szCs w:val="20"/>
                <w:lang w:bidi="ar"/>
              </w:rPr>
              <w:t>……</w:t>
            </w:r>
          </w:p>
        </w:tc>
        <w:tc>
          <w:tcPr>
            <w:tcW w:w="27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0"/>
                <w:szCs w:val="20"/>
                <w:lang w:bidi="ar"/>
              </w:rPr>
            </w:pPr>
            <w:r>
              <w:rPr>
                <w:rFonts w:hint="eastAsia" w:ascii="宋体" w:hAnsi="宋体" w:cs="宋体"/>
                <w:b/>
                <w:color w:val="000000"/>
                <w:kern w:val="0"/>
                <w:sz w:val="20"/>
                <w:szCs w:val="20"/>
                <w:lang w:bidi="ar"/>
              </w:rPr>
              <w:t>……</w:t>
            </w:r>
          </w:p>
        </w:tc>
        <w:tc>
          <w:tcPr>
            <w:tcW w:w="6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0"/>
                <w:szCs w:val="20"/>
                <w:lang w:bidi="ar"/>
              </w:rPr>
            </w:pPr>
            <w:r>
              <w:rPr>
                <w:rFonts w:hint="eastAsia" w:ascii="宋体" w:hAnsi="宋体" w:cs="宋体"/>
                <w:b/>
                <w:color w:val="000000"/>
                <w:kern w:val="0"/>
                <w:sz w:val="20"/>
                <w:szCs w:val="20"/>
                <w:lang w:bidi="ar"/>
              </w:rPr>
              <w:t>……</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0"/>
                <w:szCs w:val="20"/>
                <w:lang w:bidi="ar"/>
              </w:rPr>
            </w:pPr>
            <w:r>
              <w:rPr>
                <w:rFonts w:hint="eastAsia" w:ascii="宋体" w:hAnsi="宋体" w:cs="宋体"/>
                <w:b/>
                <w:color w:val="000000"/>
                <w:kern w:val="0"/>
                <w:sz w:val="20"/>
                <w:szCs w:val="20"/>
                <w:lang w:bidi="ar"/>
              </w:rPr>
              <w:t>……</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0"/>
                <w:szCs w:val="20"/>
                <w:lang w:bidi="ar"/>
              </w:rPr>
            </w:pPr>
            <w:r>
              <w:rPr>
                <w:rFonts w:hint="eastAsia" w:ascii="宋体" w:hAnsi="宋体" w:cs="宋体"/>
                <w:b/>
                <w:color w:val="000000"/>
                <w:kern w:val="0"/>
                <w:sz w:val="20"/>
                <w:szCs w:val="20"/>
                <w:lang w:bidi="ar"/>
              </w:rPr>
              <w:t>……</w:t>
            </w:r>
          </w:p>
        </w:tc>
        <w:tc>
          <w:tcPr>
            <w:tcW w:w="83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0"/>
                <w:szCs w:val="20"/>
                <w:lang w:bidi="ar"/>
              </w:rPr>
            </w:pPr>
            <w:r>
              <w:rPr>
                <w:rFonts w:hint="eastAsia" w:ascii="宋体" w:hAnsi="宋体" w:cs="宋体"/>
                <w:b/>
                <w:color w:val="000000"/>
                <w:kern w:val="0"/>
                <w:sz w:val="20"/>
                <w:szCs w:val="20"/>
                <w:lang w:bidi="ar"/>
              </w:rPr>
              <w:t>……</w:t>
            </w:r>
          </w:p>
        </w:tc>
      </w:tr>
      <w:tr>
        <w:tblPrEx>
          <w:tblLayout w:type="fixed"/>
          <w:tblCellMar>
            <w:top w:w="15" w:type="dxa"/>
            <w:left w:w="15" w:type="dxa"/>
            <w:bottom w:w="15" w:type="dxa"/>
            <w:right w:w="15" w:type="dxa"/>
          </w:tblCellMar>
        </w:tblPrEx>
        <w:trPr>
          <w:trHeight w:val="480" w:hRule="atLeast"/>
        </w:trPr>
        <w:tc>
          <w:tcPr>
            <w:tcW w:w="4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0"/>
                <w:szCs w:val="20"/>
                <w:lang w:bidi="ar"/>
              </w:rPr>
            </w:pPr>
            <w:r>
              <w:rPr>
                <w:rFonts w:hint="eastAsia" w:ascii="宋体" w:hAnsi="宋体" w:cs="宋体"/>
                <w:b/>
                <w:color w:val="000000"/>
                <w:kern w:val="0"/>
                <w:sz w:val="20"/>
                <w:szCs w:val="20"/>
                <w:lang w:bidi="ar"/>
              </w:rPr>
              <w:t>……</w:t>
            </w:r>
          </w:p>
        </w:tc>
        <w:tc>
          <w:tcPr>
            <w:tcW w:w="8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0"/>
                <w:szCs w:val="20"/>
                <w:lang w:bidi="ar"/>
              </w:rPr>
            </w:pPr>
            <w:r>
              <w:rPr>
                <w:rFonts w:hint="eastAsia" w:ascii="宋体" w:hAnsi="宋体" w:cs="宋体"/>
                <w:b/>
                <w:color w:val="000000"/>
                <w:kern w:val="0"/>
                <w:sz w:val="20"/>
                <w:szCs w:val="20"/>
                <w:lang w:bidi="ar"/>
              </w:rPr>
              <w:t>……</w:t>
            </w:r>
          </w:p>
        </w:tc>
        <w:tc>
          <w:tcPr>
            <w:tcW w:w="8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0"/>
                <w:szCs w:val="20"/>
                <w:lang w:bidi="ar"/>
              </w:rPr>
            </w:pPr>
            <w:r>
              <w:rPr>
                <w:rFonts w:hint="eastAsia" w:ascii="宋体" w:hAnsi="宋体" w:cs="宋体"/>
                <w:b/>
                <w:color w:val="000000"/>
                <w:kern w:val="0"/>
                <w:sz w:val="20"/>
                <w:szCs w:val="20"/>
                <w:lang w:bidi="ar"/>
              </w:rPr>
              <w:t>……</w:t>
            </w:r>
          </w:p>
        </w:tc>
        <w:tc>
          <w:tcPr>
            <w:tcW w:w="84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0"/>
                <w:szCs w:val="20"/>
                <w:lang w:bidi="ar"/>
              </w:rPr>
            </w:pPr>
            <w:r>
              <w:rPr>
                <w:rFonts w:hint="eastAsia" w:ascii="宋体" w:hAnsi="宋体" w:cs="宋体"/>
                <w:b/>
                <w:color w:val="000000"/>
                <w:kern w:val="0"/>
                <w:sz w:val="20"/>
                <w:szCs w:val="20"/>
                <w:lang w:bidi="ar"/>
              </w:rPr>
              <w:t>……</w:t>
            </w:r>
          </w:p>
        </w:tc>
        <w:tc>
          <w:tcPr>
            <w:tcW w:w="8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0"/>
                <w:szCs w:val="20"/>
                <w:lang w:bidi="ar"/>
              </w:rPr>
            </w:pPr>
            <w:r>
              <w:rPr>
                <w:rFonts w:hint="eastAsia" w:ascii="宋体" w:hAnsi="宋体" w:cs="宋体"/>
                <w:b/>
                <w:color w:val="000000"/>
                <w:kern w:val="0"/>
                <w:sz w:val="20"/>
                <w:szCs w:val="20"/>
                <w:lang w:bidi="ar"/>
              </w:rPr>
              <w:t>……</w:t>
            </w:r>
          </w:p>
        </w:tc>
        <w:tc>
          <w:tcPr>
            <w:tcW w:w="27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0"/>
                <w:szCs w:val="20"/>
                <w:lang w:bidi="ar"/>
              </w:rPr>
            </w:pPr>
            <w:r>
              <w:rPr>
                <w:rFonts w:hint="eastAsia" w:ascii="宋体" w:hAnsi="宋体" w:cs="宋体"/>
                <w:b/>
                <w:color w:val="000000"/>
                <w:kern w:val="0"/>
                <w:sz w:val="20"/>
                <w:szCs w:val="20"/>
                <w:lang w:bidi="ar"/>
              </w:rPr>
              <w:t>……</w:t>
            </w:r>
          </w:p>
        </w:tc>
        <w:tc>
          <w:tcPr>
            <w:tcW w:w="6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0"/>
                <w:szCs w:val="20"/>
                <w:lang w:bidi="ar"/>
              </w:rPr>
            </w:pPr>
            <w:r>
              <w:rPr>
                <w:rFonts w:hint="eastAsia" w:ascii="宋体" w:hAnsi="宋体" w:cs="宋体"/>
                <w:b/>
                <w:color w:val="000000"/>
                <w:kern w:val="0"/>
                <w:sz w:val="20"/>
                <w:szCs w:val="20"/>
                <w:lang w:bidi="ar"/>
              </w:rPr>
              <w:t>……</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0"/>
                <w:szCs w:val="20"/>
                <w:lang w:bidi="ar"/>
              </w:rPr>
            </w:pPr>
            <w:r>
              <w:rPr>
                <w:rFonts w:hint="eastAsia" w:ascii="宋体" w:hAnsi="宋体" w:cs="宋体"/>
                <w:b/>
                <w:color w:val="000000"/>
                <w:kern w:val="0"/>
                <w:sz w:val="20"/>
                <w:szCs w:val="20"/>
                <w:lang w:bidi="ar"/>
              </w:rPr>
              <w:t>……</w:t>
            </w:r>
          </w:p>
        </w:tc>
        <w:tc>
          <w:tcPr>
            <w:tcW w:w="5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0"/>
                <w:szCs w:val="20"/>
                <w:lang w:bidi="ar"/>
              </w:rPr>
            </w:pPr>
            <w:r>
              <w:rPr>
                <w:rFonts w:hint="eastAsia" w:ascii="宋体" w:hAnsi="宋体" w:cs="宋体"/>
                <w:b/>
                <w:color w:val="000000"/>
                <w:kern w:val="0"/>
                <w:sz w:val="20"/>
                <w:szCs w:val="20"/>
                <w:lang w:bidi="ar"/>
              </w:rPr>
              <w:t>……</w:t>
            </w:r>
          </w:p>
        </w:tc>
        <w:tc>
          <w:tcPr>
            <w:tcW w:w="83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0"/>
                <w:szCs w:val="20"/>
                <w:lang w:bidi="ar"/>
              </w:rPr>
            </w:pPr>
            <w:r>
              <w:rPr>
                <w:rFonts w:hint="eastAsia" w:ascii="宋体" w:hAnsi="宋体" w:cs="宋体"/>
                <w:b/>
                <w:color w:val="000000"/>
                <w:kern w:val="0"/>
                <w:sz w:val="20"/>
                <w:szCs w:val="20"/>
                <w:lang w:bidi="ar"/>
              </w:rPr>
              <w:t>……</w:t>
            </w:r>
          </w:p>
        </w:tc>
      </w:tr>
      <w:tr>
        <w:tblPrEx>
          <w:tblLayout w:type="fixed"/>
          <w:tblCellMar>
            <w:top w:w="15" w:type="dxa"/>
            <w:left w:w="15" w:type="dxa"/>
            <w:bottom w:w="15" w:type="dxa"/>
            <w:right w:w="15" w:type="dxa"/>
          </w:tblCellMar>
        </w:tblPrEx>
        <w:trPr>
          <w:trHeight w:val="539" w:hRule="atLeast"/>
        </w:trPr>
        <w:tc>
          <w:tcPr>
            <w:tcW w:w="8492" w:type="dxa"/>
            <w:gridSpan w:val="9"/>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2"/>
                <w:szCs w:val="22"/>
              </w:rPr>
            </w:pPr>
            <w:r>
              <w:rPr>
                <w:rFonts w:hint="eastAsia" w:ascii="宋体" w:hAnsi="宋体" w:cs="宋体"/>
                <w:b/>
                <w:color w:val="000000"/>
                <w:kern w:val="0"/>
                <w:sz w:val="22"/>
                <w:szCs w:val="22"/>
                <w:lang w:bidi="ar"/>
              </w:rPr>
              <w:t>投标细类单批次均价</w:t>
            </w:r>
          </w:p>
        </w:tc>
        <w:tc>
          <w:tcPr>
            <w:tcW w:w="83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b/>
                <w:color w:val="000000"/>
                <w:sz w:val="22"/>
                <w:szCs w:val="22"/>
                <w:u w:val="single"/>
              </w:rPr>
            </w:pPr>
            <w:r>
              <w:rPr>
                <w:rStyle w:val="146"/>
                <w:rFonts w:hint="default"/>
                <w:lang w:bidi="ar"/>
              </w:rPr>
              <w:t xml:space="preserve">    </w:t>
            </w:r>
            <w:r>
              <w:rPr>
                <w:rStyle w:val="145"/>
                <w:rFonts w:hint="default"/>
                <w:lang w:bidi="ar"/>
              </w:rPr>
              <w:t>元</w:t>
            </w:r>
          </w:p>
        </w:tc>
      </w:tr>
      <w:tr>
        <w:tblPrEx>
          <w:tblLayout w:type="fixed"/>
          <w:tblCellMar>
            <w:top w:w="15" w:type="dxa"/>
            <w:left w:w="15" w:type="dxa"/>
            <w:bottom w:w="15" w:type="dxa"/>
            <w:right w:w="15" w:type="dxa"/>
          </w:tblCellMar>
        </w:tblPrEx>
        <w:trPr>
          <w:trHeight w:val="539" w:hRule="atLeast"/>
        </w:trPr>
        <w:tc>
          <w:tcPr>
            <w:tcW w:w="9327" w:type="dxa"/>
            <w:gridSpan w:val="10"/>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2"/>
                <w:szCs w:val="22"/>
              </w:rPr>
            </w:pPr>
            <w:r>
              <w:rPr>
                <w:rStyle w:val="145"/>
                <w:rFonts w:hint="default"/>
                <w:lang w:bidi="ar"/>
              </w:rPr>
              <w:t>合计：共报</w:t>
            </w:r>
            <w:r>
              <w:rPr>
                <w:rStyle w:val="146"/>
                <w:rFonts w:hint="default"/>
                <w:lang w:bidi="ar"/>
              </w:rPr>
              <w:t xml:space="preserve">       </w:t>
            </w:r>
            <w:r>
              <w:rPr>
                <w:rStyle w:val="145"/>
                <w:rFonts w:hint="default"/>
                <w:lang w:bidi="ar"/>
              </w:rPr>
              <w:t>个食品细类，占全部1</w:t>
            </w:r>
            <w:r>
              <w:rPr>
                <w:rStyle w:val="145"/>
                <w:rFonts w:hint="eastAsia" w:eastAsia="宋体"/>
                <w:lang w:val="en-US" w:eastAsia="zh-CN" w:bidi="ar"/>
              </w:rPr>
              <w:t>76</w:t>
            </w:r>
            <w:r>
              <w:rPr>
                <w:rStyle w:val="145"/>
                <w:rFonts w:hint="default"/>
                <w:lang w:bidi="ar"/>
              </w:rPr>
              <w:t>个食品细类的</w:t>
            </w:r>
            <w:r>
              <w:rPr>
                <w:rStyle w:val="146"/>
                <w:rFonts w:hint="default"/>
                <w:lang w:bidi="ar"/>
              </w:rPr>
              <w:t xml:space="preserve">         </w:t>
            </w:r>
            <w:r>
              <w:rPr>
                <w:rStyle w:val="145"/>
                <w:rFonts w:hint="default"/>
                <w:lang w:bidi="ar"/>
              </w:rPr>
              <w:t xml:space="preserve">%。 </w:t>
            </w:r>
          </w:p>
        </w:tc>
      </w:tr>
    </w:tbl>
    <w:p>
      <w:pPr>
        <w:spacing w:after="156" w:afterLines="50" w:line="360" w:lineRule="auto"/>
        <w:rPr>
          <w:rFonts w:hint="eastAsia" w:ascii="宋体" w:hAnsi="宋体"/>
          <w:sz w:val="24"/>
        </w:rPr>
      </w:pPr>
    </w:p>
    <w:p>
      <w:pPr>
        <w:snapToGrid w:val="0"/>
        <w:spacing w:line="360" w:lineRule="auto"/>
        <w:ind w:firstLine="480" w:firstLineChars="200"/>
        <w:rPr>
          <w:rFonts w:hint="eastAsia" w:ascii="宋体" w:hAnsi="宋体" w:cs="宋体"/>
          <w:b/>
          <w:sz w:val="24"/>
        </w:rPr>
      </w:pPr>
      <w:r>
        <w:rPr>
          <w:rFonts w:hint="eastAsia" w:ascii="宋体" w:hAnsi="宋体" w:cs="宋体"/>
          <w:bCs/>
          <w:sz w:val="24"/>
        </w:rPr>
        <w:t>注：1、若该表中某食品细类中某些检测项目没有检测资质，请在该检测项目的“检测费”栏划“/”，同时在该食品细类的“单批次检测费、单批次采样费、单批次总报价”栏划“/”。附表中检测项目对应的检测方法均指该产品类别国家标准中规定的检测方法。</w:t>
      </w:r>
      <w:r>
        <w:rPr>
          <w:rFonts w:hint="eastAsia" w:ascii="宋体" w:hAnsi="宋体" w:cs="宋体"/>
          <w:bCs/>
          <w:sz w:val="24"/>
        </w:rPr>
        <w:br w:type="textWrapping"/>
      </w:r>
      <w:r>
        <w:rPr>
          <w:rFonts w:hint="eastAsia" w:ascii="宋体" w:hAnsi="宋体" w:cs="宋体"/>
          <w:bCs/>
          <w:sz w:val="24"/>
        </w:rPr>
        <w:t xml:space="preserve">    2、检测费是指大宗食品在实验室检测期间产生的费用，包括检测、报告、结果分析等项目。采样费是指除了实验室检测费以外产生的费用，包括买样采样、送样产生的费用。单批次检测费为该食品细类单项目检测费之和。单批次总报价为该食品细类单批次检测费与单批次采样费之和。</w:t>
      </w:r>
      <w:r>
        <w:rPr>
          <w:rFonts w:hint="eastAsia" w:ascii="宋体" w:hAnsi="宋体" w:cs="宋体"/>
          <w:bCs/>
          <w:sz w:val="24"/>
        </w:rPr>
        <w:br w:type="textWrapping"/>
      </w:r>
      <w:r>
        <w:rPr>
          <w:rFonts w:hint="eastAsia" w:ascii="宋体" w:hAnsi="宋体" w:cs="宋体"/>
          <w:bCs/>
          <w:sz w:val="24"/>
        </w:rPr>
        <w:t xml:space="preserve">    3、投标细类单批次均价=投标细类单批次总报价之和/投标细类总数。</w:t>
      </w:r>
    </w:p>
    <w:p>
      <w:pPr>
        <w:spacing w:after="156" w:afterLines="50" w:line="360" w:lineRule="exact"/>
        <w:ind w:firstLine="480" w:firstLineChars="200"/>
        <w:rPr>
          <w:rFonts w:hint="eastAsia" w:ascii="宋体" w:hAnsi="宋体"/>
          <w:sz w:val="24"/>
        </w:rPr>
      </w:pPr>
      <w:r>
        <w:rPr>
          <w:rFonts w:hint="eastAsia" w:ascii="宋体" w:hAnsi="宋体"/>
          <w:sz w:val="24"/>
        </w:rPr>
        <w:t>（</w:t>
      </w:r>
      <w:r>
        <w:rPr>
          <w:rFonts w:hint="eastAsia" w:ascii="宋体" w:hAnsi="宋体"/>
          <w:sz w:val="24"/>
          <w:u w:val="single"/>
        </w:rPr>
        <w:t>不得对检测种类、品种、项目进行随意删减）</w:t>
      </w:r>
      <w:r>
        <w:rPr>
          <w:rFonts w:hint="eastAsia" w:ascii="宋体" w:hAnsi="宋体"/>
          <w:sz w:val="24"/>
        </w:rPr>
        <w:t>。</w:t>
      </w:r>
    </w:p>
    <w:p>
      <w:pPr>
        <w:spacing w:after="156" w:afterLines="50" w:line="360" w:lineRule="exact"/>
        <w:ind w:firstLine="480" w:firstLineChars="200"/>
        <w:rPr>
          <w:rFonts w:hint="eastAsia" w:ascii="宋体" w:hAnsi="宋体"/>
          <w:sz w:val="24"/>
        </w:rPr>
      </w:pPr>
    </w:p>
    <w:p>
      <w:pPr>
        <w:spacing w:line="360" w:lineRule="exact"/>
        <w:ind w:firstLine="429" w:firstLineChars="195"/>
        <w:rPr>
          <w:rFonts w:hint="eastAsia" w:ascii="宋体" w:hAnsi="宋体"/>
          <w:sz w:val="22"/>
          <w:szCs w:val="22"/>
        </w:rPr>
      </w:pPr>
      <w:r>
        <w:rPr>
          <w:rFonts w:hint="eastAsia" w:ascii="宋体" w:hAnsi="宋体"/>
          <w:sz w:val="22"/>
          <w:szCs w:val="22"/>
        </w:rPr>
        <w:t>投标人：（盖章）</w:t>
      </w:r>
    </w:p>
    <w:p>
      <w:pPr>
        <w:spacing w:line="360" w:lineRule="exact"/>
        <w:ind w:firstLine="429" w:firstLineChars="195"/>
        <w:rPr>
          <w:rFonts w:hint="eastAsia" w:ascii="宋体" w:hAnsi="宋体"/>
          <w:sz w:val="22"/>
          <w:szCs w:val="22"/>
        </w:rPr>
      </w:pPr>
    </w:p>
    <w:p>
      <w:pPr>
        <w:spacing w:line="360" w:lineRule="exact"/>
        <w:ind w:firstLine="429" w:firstLineChars="195"/>
        <w:rPr>
          <w:rFonts w:hint="eastAsia" w:ascii="宋体" w:hAnsi="宋体"/>
          <w:sz w:val="22"/>
          <w:szCs w:val="22"/>
        </w:rPr>
      </w:pPr>
      <w:r>
        <w:rPr>
          <w:rFonts w:hint="eastAsia" w:ascii="宋体" w:hAnsi="宋体"/>
          <w:sz w:val="22"/>
          <w:szCs w:val="22"/>
        </w:rPr>
        <w:t>法定代表人或其委托代理人：（签字或盖章）</w:t>
      </w:r>
    </w:p>
    <w:p>
      <w:pPr>
        <w:spacing w:line="360" w:lineRule="exact"/>
        <w:ind w:firstLine="429" w:firstLineChars="195"/>
        <w:rPr>
          <w:rFonts w:hint="eastAsia" w:ascii="宋体" w:hAnsi="宋体"/>
          <w:sz w:val="22"/>
          <w:szCs w:val="22"/>
        </w:rPr>
      </w:pPr>
    </w:p>
    <w:p>
      <w:pPr>
        <w:spacing w:after="156" w:afterLines="50" w:line="360" w:lineRule="auto"/>
        <w:rPr>
          <w:rFonts w:ascii="仿宋" w:hAnsi="仿宋" w:eastAsia="仿宋" w:cs="宋体"/>
          <w:sz w:val="24"/>
          <w:szCs w:val="24"/>
          <w:lang w:val="zh-CN"/>
        </w:rPr>
      </w:pPr>
      <w:r>
        <w:rPr>
          <w:rFonts w:hint="eastAsia" w:ascii="宋体" w:hAnsi="宋体"/>
          <w:sz w:val="22"/>
          <w:szCs w:val="22"/>
        </w:rPr>
        <w:t xml:space="preserve">    日  期：</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6</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技术方案</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b/>
          <w:bCs/>
          <w:sz w:val="24"/>
          <w:szCs w:val="24"/>
        </w:rPr>
      </w:pPr>
      <w:r>
        <w:rPr>
          <w:rFonts w:hint="eastAsia" w:ascii="仿宋" w:hAnsi="仿宋" w:eastAsia="仿宋" w:cs="宋体"/>
          <w:sz w:val="24"/>
          <w:szCs w:val="24"/>
          <w:lang w:val="zh-CN"/>
        </w:rPr>
        <w:t>附件</w:t>
      </w:r>
      <w:r>
        <w:rPr>
          <w:rFonts w:hint="eastAsia" w:ascii="仿宋" w:hAnsi="仿宋" w:eastAsia="仿宋" w:cs="宋体"/>
          <w:sz w:val="24"/>
          <w:szCs w:val="24"/>
        </w:rPr>
        <w:t xml:space="preserve">7                        </w:t>
      </w:r>
      <w:r>
        <w:rPr>
          <w:rFonts w:hint="eastAsia" w:ascii="仿宋" w:hAnsi="仿宋" w:eastAsia="仿宋" w:cs="宋体"/>
          <w:b/>
          <w:bCs/>
          <w:sz w:val="24"/>
          <w:szCs w:val="24"/>
        </w:rPr>
        <w:t xml:space="preserve"> </w:t>
      </w:r>
    </w:p>
    <w:p>
      <w:pPr>
        <w:autoSpaceDE w:val="0"/>
        <w:autoSpaceDN w:val="0"/>
        <w:adjustRightInd w:val="0"/>
        <w:spacing w:line="360" w:lineRule="auto"/>
        <w:jc w:val="center"/>
        <w:rPr>
          <w:rFonts w:ascii="仿宋" w:hAnsi="仿宋" w:eastAsia="仿宋" w:cs="宋体"/>
          <w:b/>
          <w:bCs/>
          <w:sz w:val="24"/>
          <w:szCs w:val="24"/>
          <w:lang w:val="zh-CN"/>
        </w:rPr>
      </w:pPr>
      <w:r>
        <w:rPr>
          <w:rFonts w:hint="eastAsia" w:ascii="仿宋" w:hAnsi="仿宋" w:eastAsia="仿宋" w:cs="宋体"/>
          <w:b/>
          <w:bCs/>
          <w:sz w:val="24"/>
          <w:szCs w:val="24"/>
        </w:rPr>
        <w:t>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8</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服务方案</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附件9</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2650" w:firstLineChars="1100"/>
        <w:jc w:val="left"/>
        <w:rPr>
          <w:rFonts w:ascii="仿宋" w:hAnsi="仿宋" w:eastAsia="仿宋" w:cs="仿宋_GB2312"/>
          <w:sz w:val="24"/>
          <w:szCs w:val="24"/>
        </w:rPr>
      </w:pPr>
      <w:r>
        <w:rPr>
          <w:rFonts w:hint="eastAsia" w:ascii="仿宋" w:hAnsi="仿宋" w:eastAsia="仿宋" w:cs="仿宋_GB2312"/>
          <w:b/>
          <w:bCs/>
          <w:sz w:val="24"/>
          <w:szCs w:val="24"/>
        </w:rPr>
        <w:t>（本文件中要求的其他相关证明材料）</w:t>
      </w:r>
    </w:p>
    <w:sectPr>
      <w:headerReference r:id="rId7" w:type="default"/>
      <w:footerReference r:id="rId8" w:type="default"/>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Calibri Light">
    <w:panose1 w:val="020F0302020204030204"/>
    <w:charset w:val="00"/>
    <w:family w:val="auto"/>
    <w:pitch w:val="default"/>
    <w:sig w:usb0="E0002AFF" w:usb1="C000247B" w:usb2="00000009" w:usb3="00000000" w:csb0="200001FF" w:csb1="00000000"/>
  </w:font>
  <w:font w:name="Time new roman">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framePr w:wrap="around" w:vAnchor="text" w:hAnchor="margin" w:xAlign="center" w:yAlign="top"/>
    </w:pPr>
    <w:r>
      <w:fldChar w:fldCharType="begin"/>
    </w:r>
    <w:r>
      <w:rPr>
        <w:rStyle w:val="34"/>
      </w:rPr>
      <w:instrText xml:space="preserve"> PAGE  </w:instrText>
    </w:r>
    <w:r>
      <w:fldChar w:fldCharType="separate"/>
    </w:r>
    <w:r>
      <w:rPr>
        <w:rStyle w:val="34"/>
      </w:rPr>
      <w:t>41</w:t>
    </w:r>
    <w:r>
      <w:fldChar w:fldCharType="end"/>
    </w:r>
  </w:p>
  <w:p>
    <w:pPr>
      <w:pStyle w:val="2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360"/>
      <w:jc w:val="center"/>
    </w:pPr>
    <w:r>
      <w:pict>
        <v:shape id="_x0000_s4097" o:spid="_x0000_s4097"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joinstyle="miter"/>
          <v:imagedata o:title=""/>
          <o:lock v:ext="edit"/>
          <v:textbox inset="0mm,0mm,0mm,0mm" style="mso-fit-shape-to-text:t;">
            <w:txbxContent>
              <w:p>
                <w:pPr>
                  <w:pStyle w:val="24"/>
                  <w:ind w:firstLine="360"/>
                </w:pPr>
                <w:r>
                  <w:fldChar w:fldCharType="begin"/>
                </w:r>
                <w:r>
                  <w:instrText xml:space="preserve"> PAGE  \* MERGEFORMAT </w:instrText>
                </w:r>
                <w:r>
                  <w:fldChar w:fldCharType="separate"/>
                </w:r>
                <w:r>
                  <w:t>56</w:t>
                </w:r>
                <w:r>
                  <w:fldChar w:fldCharType="end"/>
                </w:r>
              </w:p>
            </w:txbxContent>
          </v:textbox>
        </v:shape>
      </w:pict>
    </w:r>
    <w:r>
      <w:rPr>
        <w:rFonts w:hint="eastAsia"/>
      </w:rPr>
      <w:t xml:space="preserve"> </w:t>
    </w:r>
    <w:r>
      <w:t xml:space="preserve"> </w:t>
    </w:r>
  </w:p>
  <w:p>
    <w:pPr>
      <w:pStyle w:val="2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p>
    <w:pPr>
      <w:pStyle w:val="2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37C7D"/>
    <w:multiLevelType w:val="multilevel"/>
    <w:tmpl w:val="01537C7D"/>
    <w:lvl w:ilvl="0" w:tentative="0">
      <w:start w:val="1"/>
      <w:numFmt w:val="decimal"/>
      <w:lvlText w:val="%1."/>
      <w:lvlJc w:val="left"/>
      <w:pPr>
        <w:ind w:left="846"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03D06895"/>
    <w:multiLevelType w:val="multilevel"/>
    <w:tmpl w:val="03D06895"/>
    <w:lvl w:ilvl="0" w:tentative="0">
      <w:start w:val="1"/>
      <w:numFmt w:val="chineseCountingThousand"/>
      <w:pStyle w:val="136"/>
      <w:lvlText w:val="第%1章"/>
      <w:lvlJc w:val="left"/>
      <w:pPr>
        <w:ind w:left="284"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rPr>
    </w:lvl>
    <w:lvl w:ilvl="1" w:tentative="0">
      <w:start w:val="1"/>
      <w:numFmt w:val="decimal"/>
      <w:pStyle w:val="137"/>
      <w:isLgl/>
      <w:lvlText w:val="%1.%2"/>
      <w:lvlJc w:val="left"/>
      <w:pPr>
        <w:ind w:left="2410" w:firstLine="0"/>
      </w:pPr>
      <w:rPr>
        <w:rFonts w:hint="eastAsia"/>
      </w:rPr>
    </w:lvl>
    <w:lvl w:ilvl="2" w:tentative="0">
      <w:start w:val="1"/>
      <w:numFmt w:val="decimal"/>
      <w:pStyle w:val="140"/>
      <w:isLgl/>
      <w:lvlText w:val="%1.%2.%3"/>
      <w:lvlJc w:val="left"/>
      <w:pPr>
        <w:ind w:left="709" w:firstLine="0"/>
      </w:pPr>
      <w:rPr>
        <w:rFonts w:hint="eastAsia"/>
      </w:rPr>
    </w:lvl>
    <w:lvl w:ilvl="3" w:tentative="0">
      <w:start w:val="1"/>
      <w:numFmt w:val="decimal"/>
      <w:isLgl/>
      <w:lvlText w:val="%1.%2.%3.%4"/>
      <w:lvlJc w:val="left"/>
      <w:pPr>
        <w:ind w:left="2410" w:firstLine="0"/>
      </w:pPr>
      <w:rPr>
        <w:rFonts w:hint="eastAsia"/>
      </w:rPr>
    </w:lvl>
    <w:lvl w:ilvl="4" w:tentative="0">
      <w:start w:val="1"/>
      <w:numFmt w:val="decimal"/>
      <w:isLgl/>
      <w:lvlText w:val="%1.%2.%3.%4.%5"/>
      <w:lvlJc w:val="left"/>
      <w:pPr>
        <w:ind w:left="2410" w:firstLine="0"/>
      </w:pPr>
      <w:rPr>
        <w:rFonts w:hint="eastAsia"/>
      </w:rPr>
    </w:lvl>
    <w:lvl w:ilvl="5" w:tentative="0">
      <w:start w:val="1"/>
      <w:numFmt w:val="decimal"/>
      <w:isLgl/>
      <w:lvlText w:val="%1.%2.%3.%4.%5.%6"/>
      <w:lvlJc w:val="left"/>
      <w:pPr>
        <w:ind w:left="2410" w:firstLine="0"/>
      </w:pPr>
      <w:rPr>
        <w:rFonts w:hint="eastAsia"/>
      </w:rPr>
    </w:lvl>
    <w:lvl w:ilvl="6" w:tentative="0">
      <w:start w:val="1"/>
      <w:numFmt w:val="decimal"/>
      <w:isLgl/>
      <w:lvlText w:val="%1.%2.%3.%4.%5.%6.%7"/>
      <w:lvlJc w:val="left"/>
      <w:pPr>
        <w:ind w:left="2410" w:firstLine="0"/>
      </w:pPr>
      <w:rPr>
        <w:rFonts w:hint="eastAsia"/>
      </w:rPr>
    </w:lvl>
    <w:lvl w:ilvl="7" w:tentative="0">
      <w:start w:val="1"/>
      <w:numFmt w:val="decimal"/>
      <w:isLgl/>
      <w:lvlText w:val="%1.%2.%3.%4.%5.%6.%7.%8"/>
      <w:lvlJc w:val="left"/>
      <w:pPr>
        <w:ind w:left="2410" w:firstLine="0"/>
      </w:pPr>
      <w:rPr>
        <w:rFonts w:hint="eastAsia"/>
      </w:rPr>
    </w:lvl>
    <w:lvl w:ilvl="8" w:tentative="0">
      <w:start w:val="1"/>
      <w:numFmt w:val="decimal"/>
      <w:isLgl/>
      <w:lvlText w:val="%1.%2.%3.%4.%5.%6.%7.%8.%9"/>
      <w:lvlJc w:val="left"/>
      <w:pPr>
        <w:ind w:left="2410" w:firstLine="0"/>
      </w:pPr>
      <w:rPr>
        <w:rFonts w:hint="eastAsia"/>
      </w:rPr>
    </w:lvl>
  </w:abstractNum>
  <w:abstractNum w:abstractNumId="2">
    <w:nsid w:val="0B9F259E"/>
    <w:multiLevelType w:val="singleLevel"/>
    <w:tmpl w:val="0B9F259E"/>
    <w:lvl w:ilvl="0" w:tentative="0">
      <w:start w:val="9"/>
      <w:numFmt w:val="chineseCounting"/>
      <w:suff w:val="nothing"/>
      <w:lvlText w:val="第%1部分　"/>
      <w:lvlJc w:val="left"/>
      <w:pPr>
        <w:ind w:left="1418" w:firstLine="0"/>
      </w:pPr>
      <w:rPr>
        <w:rFonts w:hint="eastAsia"/>
      </w:rPr>
    </w:lvl>
  </w:abstractNum>
  <w:abstractNum w:abstractNumId="3">
    <w:nsid w:val="270A65C3"/>
    <w:multiLevelType w:val="multilevel"/>
    <w:tmpl w:val="270A65C3"/>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28A4CB1C"/>
    <w:multiLevelType w:val="singleLevel"/>
    <w:tmpl w:val="28A4CB1C"/>
    <w:lvl w:ilvl="0" w:tentative="0">
      <w:start w:val="19"/>
      <w:numFmt w:val="decimal"/>
      <w:suff w:val="nothing"/>
      <w:lvlText w:val="%1、"/>
      <w:lvlJc w:val="left"/>
    </w:lvl>
  </w:abstractNum>
  <w:abstractNum w:abstractNumId="5">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6E374A4"/>
    <w:multiLevelType w:val="singleLevel"/>
    <w:tmpl w:val="56E374A4"/>
    <w:lvl w:ilvl="0" w:tentative="0">
      <w:start w:val="9"/>
      <w:numFmt w:val="decimal"/>
      <w:pStyle w:val="121"/>
      <w:suff w:val="nothing"/>
      <w:lvlText w:val="%1、"/>
      <w:lvlJc w:val="left"/>
    </w:lvl>
  </w:abstractNum>
  <w:abstractNum w:abstractNumId="7">
    <w:nsid w:val="5A0532E2"/>
    <w:multiLevelType w:val="singleLevel"/>
    <w:tmpl w:val="5A0532E2"/>
    <w:lvl w:ilvl="0" w:tentative="0">
      <w:start w:val="4"/>
      <w:numFmt w:val="chineseCounting"/>
      <w:suff w:val="nothing"/>
      <w:lvlText w:val="第%1部"/>
      <w:lvlJc w:val="left"/>
    </w:lvl>
  </w:abstractNum>
  <w:abstractNum w:abstractNumId="8">
    <w:nsid w:val="5A27AEF7"/>
    <w:multiLevelType w:val="singleLevel"/>
    <w:tmpl w:val="5A27AEF7"/>
    <w:lvl w:ilvl="0" w:tentative="0">
      <w:start w:val="2"/>
      <w:numFmt w:val="chineseCounting"/>
      <w:suff w:val="nothing"/>
      <w:lvlText w:val="（%1）"/>
      <w:lvlJc w:val="left"/>
    </w:lvl>
  </w:abstractNum>
  <w:abstractNum w:abstractNumId="9">
    <w:nsid w:val="5A30CB82"/>
    <w:multiLevelType w:val="singleLevel"/>
    <w:tmpl w:val="5A30CB82"/>
    <w:lvl w:ilvl="0" w:tentative="0">
      <w:start w:val="1"/>
      <w:numFmt w:val="chineseCounting"/>
      <w:suff w:val="space"/>
      <w:lvlText w:val="第%1部分"/>
      <w:lvlJc w:val="left"/>
    </w:lvl>
  </w:abstractNum>
  <w:num w:numId="1">
    <w:abstractNumId w:val="6"/>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9"/>
  </w:num>
  <w:num w:numId="5">
    <w:abstractNumId w:val="8"/>
  </w:num>
  <w:num w:numId="6">
    <w:abstractNumId w:val="5"/>
  </w:num>
  <w:num w:numId="7">
    <w:abstractNumId w:val="4"/>
  </w:num>
  <w:num w:numId="8">
    <w:abstractNumId w:val="7"/>
  </w:num>
  <w:num w:numId="9">
    <w:abstractNumId w:val="3"/>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hideSpellingErrors/>
  <w:documentProtection w:enforcement="0"/>
  <w:defaultTabStop w:val="420"/>
  <w:drawingGridHorizontalSpacing w:val="105"/>
  <w:drawingGridVerticalSpacing w:val="156"/>
  <w:displayHorizontalDrawingGridEvery w:val="2"/>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644A"/>
    <w:rsid w:val="000A4A5C"/>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5F5"/>
    <w:rsid w:val="00172A27"/>
    <w:rsid w:val="001754C8"/>
    <w:rsid w:val="00177C1F"/>
    <w:rsid w:val="00186B61"/>
    <w:rsid w:val="001973FA"/>
    <w:rsid w:val="001A0E1D"/>
    <w:rsid w:val="001A6444"/>
    <w:rsid w:val="001A663A"/>
    <w:rsid w:val="001A7E89"/>
    <w:rsid w:val="001B0A65"/>
    <w:rsid w:val="001B4D0B"/>
    <w:rsid w:val="001B67B3"/>
    <w:rsid w:val="001B7C79"/>
    <w:rsid w:val="001C154B"/>
    <w:rsid w:val="001C6CAC"/>
    <w:rsid w:val="001C7000"/>
    <w:rsid w:val="001D5D3C"/>
    <w:rsid w:val="001D6434"/>
    <w:rsid w:val="001D6F1F"/>
    <w:rsid w:val="001D7D3E"/>
    <w:rsid w:val="001E177A"/>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F28"/>
    <w:rsid w:val="00265DC0"/>
    <w:rsid w:val="002661D5"/>
    <w:rsid w:val="0027580D"/>
    <w:rsid w:val="002779E2"/>
    <w:rsid w:val="002821B7"/>
    <w:rsid w:val="00284351"/>
    <w:rsid w:val="00290622"/>
    <w:rsid w:val="002906D4"/>
    <w:rsid w:val="002934EE"/>
    <w:rsid w:val="002955C9"/>
    <w:rsid w:val="00297AA7"/>
    <w:rsid w:val="002A0FC7"/>
    <w:rsid w:val="002A1D45"/>
    <w:rsid w:val="002A68EA"/>
    <w:rsid w:val="002B3C52"/>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30EC5"/>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72DE"/>
    <w:rsid w:val="0041597D"/>
    <w:rsid w:val="004173C2"/>
    <w:rsid w:val="004230F5"/>
    <w:rsid w:val="00423231"/>
    <w:rsid w:val="004236A4"/>
    <w:rsid w:val="00424558"/>
    <w:rsid w:val="00431C98"/>
    <w:rsid w:val="00433B29"/>
    <w:rsid w:val="00442525"/>
    <w:rsid w:val="00446922"/>
    <w:rsid w:val="004578F2"/>
    <w:rsid w:val="004628DC"/>
    <w:rsid w:val="00466067"/>
    <w:rsid w:val="00467B81"/>
    <w:rsid w:val="004740AF"/>
    <w:rsid w:val="0047444E"/>
    <w:rsid w:val="00474B02"/>
    <w:rsid w:val="00477945"/>
    <w:rsid w:val="00477A1A"/>
    <w:rsid w:val="00482422"/>
    <w:rsid w:val="00483F26"/>
    <w:rsid w:val="004860AA"/>
    <w:rsid w:val="0049332D"/>
    <w:rsid w:val="00493F1D"/>
    <w:rsid w:val="00493F4B"/>
    <w:rsid w:val="004950C4"/>
    <w:rsid w:val="004A41F5"/>
    <w:rsid w:val="004B20F6"/>
    <w:rsid w:val="004C5C48"/>
    <w:rsid w:val="004C699A"/>
    <w:rsid w:val="004D39B1"/>
    <w:rsid w:val="004D5284"/>
    <w:rsid w:val="004D79E5"/>
    <w:rsid w:val="004D7EA1"/>
    <w:rsid w:val="004E1761"/>
    <w:rsid w:val="004E3895"/>
    <w:rsid w:val="004E6E25"/>
    <w:rsid w:val="004E76CE"/>
    <w:rsid w:val="004F0275"/>
    <w:rsid w:val="004F0AA6"/>
    <w:rsid w:val="00503082"/>
    <w:rsid w:val="005032D1"/>
    <w:rsid w:val="005067CB"/>
    <w:rsid w:val="00510B62"/>
    <w:rsid w:val="0051183E"/>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937E8"/>
    <w:rsid w:val="005A3789"/>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250EA"/>
    <w:rsid w:val="00630AC6"/>
    <w:rsid w:val="006379F9"/>
    <w:rsid w:val="00646529"/>
    <w:rsid w:val="00646B38"/>
    <w:rsid w:val="0064702D"/>
    <w:rsid w:val="006515EF"/>
    <w:rsid w:val="00657121"/>
    <w:rsid w:val="006625E6"/>
    <w:rsid w:val="00662E7A"/>
    <w:rsid w:val="006650A3"/>
    <w:rsid w:val="00666DBB"/>
    <w:rsid w:val="00683A1F"/>
    <w:rsid w:val="00683B0F"/>
    <w:rsid w:val="00685148"/>
    <w:rsid w:val="006875A8"/>
    <w:rsid w:val="00695884"/>
    <w:rsid w:val="006A20BB"/>
    <w:rsid w:val="006A23F5"/>
    <w:rsid w:val="006A30E4"/>
    <w:rsid w:val="006A4C85"/>
    <w:rsid w:val="006B0057"/>
    <w:rsid w:val="006B14D2"/>
    <w:rsid w:val="006B4647"/>
    <w:rsid w:val="006E1D6A"/>
    <w:rsid w:val="006F5916"/>
    <w:rsid w:val="00703534"/>
    <w:rsid w:val="007118C9"/>
    <w:rsid w:val="00727681"/>
    <w:rsid w:val="00734692"/>
    <w:rsid w:val="00735EED"/>
    <w:rsid w:val="00753295"/>
    <w:rsid w:val="00754E7A"/>
    <w:rsid w:val="00760963"/>
    <w:rsid w:val="00761889"/>
    <w:rsid w:val="00762FA1"/>
    <w:rsid w:val="00766A27"/>
    <w:rsid w:val="00770D8C"/>
    <w:rsid w:val="00773976"/>
    <w:rsid w:val="007774C4"/>
    <w:rsid w:val="007859A2"/>
    <w:rsid w:val="00793BDD"/>
    <w:rsid w:val="007A3487"/>
    <w:rsid w:val="007A38E8"/>
    <w:rsid w:val="007A3CA9"/>
    <w:rsid w:val="007A6FAE"/>
    <w:rsid w:val="007B175D"/>
    <w:rsid w:val="007C2B76"/>
    <w:rsid w:val="007C5099"/>
    <w:rsid w:val="007D25EE"/>
    <w:rsid w:val="007E4393"/>
    <w:rsid w:val="007E4EA9"/>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7311C"/>
    <w:rsid w:val="00884ABA"/>
    <w:rsid w:val="00887771"/>
    <w:rsid w:val="00897A71"/>
    <w:rsid w:val="008A0ED2"/>
    <w:rsid w:val="008A14F9"/>
    <w:rsid w:val="008A4CE3"/>
    <w:rsid w:val="008A5086"/>
    <w:rsid w:val="008B21E7"/>
    <w:rsid w:val="008B2A82"/>
    <w:rsid w:val="008C7B11"/>
    <w:rsid w:val="008E2D50"/>
    <w:rsid w:val="008E310B"/>
    <w:rsid w:val="008E3D91"/>
    <w:rsid w:val="008E5D63"/>
    <w:rsid w:val="008E6B23"/>
    <w:rsid w:val="008F358F"/>
    <w:rsid w:val="008F5473"/>
    <w:rsid w:val="008F75A2"/>
    <w:rsid w:val="00900540"/>
    <w:rsid w:val="00904260"/>
    <w:rsid w:val="00913EB0"/>
    <w:rsid w:val="009218E7"/>
    <w:rsid w:val="00927BD1"/>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6B63"/>
    <w:rsid w:val="009B4EA2"/>
    <w:rsid w:val="009B7948"/>
    <w:rsid w:val="009C08DA"/>
    <w:rsid w:val="009C1231"/>
    <w:rsid w:val="009D1957"/>
    <w:rsid w:val="009D3146"/>
    <w:rsid w:val="009D4FA5"/>
    <w:rsid w:val="009E09DB"/>
    <w:rsid w:val="009E1FB6"/>
    <w:rsid w:val="009E2EBB"/>
    <w:rsid w:val="009E6E3C"/>
    <w:rsid w:val="009F28A4"/>
    <w:rsid w:val="009F58C1"/>
    <w:rsid w:val="00A00552"/>
    <w:rsid w:val="00A02FBB"/>
    <w:rsid w:val="00A1068A"/>
    <w:rsid w:val="00A12D56"/>
    <w:rsid w:val="00A152E7"/>
    <w:rsid w:val="00A20320"/>
    <w:rsid w:val="00A32183"/>
    <w:rsid w:val="00A37C94"/>
    <w:rsid w:val="00A4579E"/>
    <w:rsid w:val="00A475BA"/>
    <w:rsid w:val="00A52ED4"/>
    <w:rsid w:val="00A535FA"/>
    <w:rsid w:val="00A564A6"/>
    <w:rsid w:val="00A5710E"/>
    <w:rsid w:val="00A65ADC"/>
    <w:rsid w:val="00A71C22"/>
    <w:rsid w:val="00A73A17"/>
    <w:rsid w:val="00A73BA7"/>
    <w:rsid w:val="00A76289"/>
    <w:rsid w:val="00A7728B"/>
    <w:rsid w:val="00A81308"/>
    <w:rsid w:val="00A81E8A"/>
    <w:rsid w:val="00A850DC"/>
    <w:rsid w:val="00A852B6"/>
    <w:rsid w:val="00A85F6C"/>
    <w:rsid w:val="00A86EF2"/>
    <w:rsid w:val="00AA467B"/>
    <w:rsid w:val="00AA5AC3"/>
    <w:rsid w:val="00AA642C"/>
    <w:rsid w:val="00AA6FFB"/>
    <w:rsid w:val="00AB3B8F"/>
    <w:rsid w:val="00AB615C"/>
    <w:rsid w:val="00AB7C9A"/>
    <w:rsid w:val="00AC0242"/>
    <w:rsid w:val="00AC1BB2"/>
    <w:rsid w:val="00AD3E47"/>
    <w:rsid w:val="00AD5870"/>
    <w:rsid w:val="00AD7F6D"/>
    <w:rsid w:val="00AE10C6"/>
    <w:rsid w:val="00AE41AE"/>
    <w:rsid w:val="00AE64F2"/>
    <w:rsid w:val="00AF19E3"/>
    <w:rsid w:val="00AF54D7"/>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057B"/>
    <w:rsid w:val="00B53ADA"/>
    <w:rsid w:val="00B54834"/>
    <w:rsid w:val="00B641E4"/>
    <w:rsid w:val="00B679BC"/>
    <w:rsid w:val="00B67E1A"/>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5C98"/>
    <w:rsid w:val="00C03A90"/>
    <w:rsid w:val="00C04493"/>
    <w:rsid w:val="00C0471C"/>
    <w:rsid w:val="00C21FF9"/>
    <w:rsid w:val="00C26061"/>
    <w:rsid w:val="00C26DFB"/>
    <w:rsid w:val="00C3340E"/>
    <w:rsid w:val="00C3452B"/>
    <w:rsid w:val="00C432F7"/>
    <w:rsid w:val="00C5085A"/>
    <w:rsid w:val="00C55FD8"/>
    <w:rsid w:val="00C57044"/>
    <w:rsid w:val="00C611F9"/>
    <w:rsid w:val="00C6232F"/>
    <w:rsid w:val="00C65549"/>
    <w:rsid w:val="00C74EBE"/>
    <w:rsid w:val="00C75F1E"/>
    <w:rsid w:val="00C82C5E"/>
    <w:rsid w:val="00C8348B"/>
    <w:rsid w:val="00C868AE"/>
    <w:rsid w:val="00C94CDD"/>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50EF"/>
    <w:rsid w:val="00D75C95"/>
    <w:rsid w:val="00D75F62"/>
    <w:rsid w:val="00D76FBA"/>
    <w:rsid w:val="00D77906"/>
    <w:rsid w:val="00D82171"/>
    <w:rsid w:val="00D82808"/>
    <w:rsid w:val="00D8780B"/>
    <w:rsid w:val="00D90599"/>
    <w:rsid w:val="00D92AD3"/>
    <w:rsid w:val="00D94CA3"/>
    <w:rsid w:val="00DA1A8C"/>
    <w:rsid w:val="00DA241A"/>
    <w:rsid w:val="00DD2580"/>
    <w:rsid w:val="00DD6E6E"/>
    <w:rsid w:val="00DF1841"/>
    <w:rsid w:val="00DF47F4"/>
    <w:rsid w:val="00E0298B"/>
    <w:rsid w:val="00E04584"/>
    <w:rsid w:val="00E06002"/>
    <w:rsid w:val="00E06798"/>
    <w:rsid w:val="00E0770D"/>
    <w:rsid w:val="00E1120A"/>
    <w:rsid w:val="00E11C06"/>
    <w:rsid w:val="00E123FA"/>
    <w:rsid w:val="00E143A3"/>
    <w:rsid w:val="00E14C23"/>
    <w:rsid w:val="00E150AF"/>
    <w:rsid w:val="00E2389C"/>
    <w:rsid w:val="00E23CF4"/>
    <w:rsid w:val="00E26002"/>
    <w:rsid w:val="00E27212"/>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C2B64"/>
    <w:rsid w:val="00EC3D46"/>
    <w:rsid w:val="00EC3E9B"/>
    <w:rsid w:val="00EC5E3C"/>
    <w:rsid w:val="00ED0966"/>
    <w:rsid w:val="00ED60CC"/>
    <w:rsid w:val="00EE065A"/>
    <w:rsid w:val="00EE26F3"/>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C01F2"/>
    <w:rsid w:val="00FC4AFE"/>
    <w:rsid w:val="00FC7FD0"/>
    <w:rsid w:val="00FD48A1"/>
    <w:rsid w:val="00FD6801"/>
    <w:rsid w:val="00FD72BC"/>
    <w:rsid w:val="00FE2E7D"/>
    <w:rsid w:val="00FE49D1"/>
    <w:rsid w:val="00FF3A15"/>
    <w:rsid w:val="00FF3C91"/>
    <w:rsid w:val="00FF73DB"/>
    <w:rsid w:val="01017847"/>
    <w:rsid w:val="012A2BB6"/>
    <w:rsid w:val="015F5D2B"/>
    <w:rsid w:val="01AE553D"/>
    <w:rsid w:val="01D912AA"/>
    <w:rsid w:val="02943948"/>
    <w:rsid w:val="031A41B0"/>
    <w:rsid w:val="03CB53C9"/>
    <w:rsid w:val="03D744EF"/>
    <w:rsid w:val="04252D6C"/>
    <w:rsid w:val="04524D74"/>
    <w:rsid w:val="048C72C6"/>
    <w:rsid w:val="04985F62"/>
    <w:rsid w:val="04E5185D"/>
    <w:rsid w:val="04F1400C"/>
    <w:rsid w:val="054A14EB"/>
    <w:rsid w:val="055236E0"/>
    <w:rsid w:val="05553AF1"/>
    <w:rsid w:val="05D7384A"/>
    <w:rsid w:val="05F47DA2"/>
    <w:rsid w:val="05F65379"/>
    <w:rsid w:val="05FF5666"/>
    <w:rsid w:val="0603119A"/>
    <w:rsid w:val="0669725A"/>
    <w:rsid w:val="067E4800"/>
    <w:rsid w:val="06902805"/>
    <w:rsid w:val="06B75E86"/>
    <w:rsid w:val="071151B2"/>
    <w:rsid w:val="073F7793"/>
    <w:rsid w:val="080A00AF"/>
    <w:rsid w:val="0859217C"/>
    <w:rsid w:val="088D4853"/>
    <w:rsid w:val="09102145"/>
    <w:rsid w:val="09891681"/>
    <w:rsid w:val="09900A5B"/>
    <w:rsid w:val="09AE4842"/>
    <w:rsid w:val="09C25727"/>
    <w:rsid w:val="09C60246"/>
    <w:rsid w:val="09CE2BB7"/>
    <w:rsid w:val="09E57E48"/>
    <w:rsid w:val="0A2B0E2A"/>
    <w:rsid w:val="0AB05B6D"/>
    <w:rsid w:val="0B047399"/>
    <w:rsid w:val="0B8E4C06"/>
    <w:rsid w:val="0B8F0D95"/>
    <w:rsid w:val="0BC25BE0"/>
    <w:rsid w:val="0BCD3B00"/>
    <w:rsid w:val="0BE45DA3"/>
    <w:rsid w:val="0C00330B"/>
    <w:rsid w:val="0C053D42"/>
    <w:rsid w:val="0C232636"/>
    <w:rsid w:val="0C3957DB"/>
    <w:rsid w:val="0C3C6A01"/>
    <w:rsid w:val="0C662DD8"/>
    <w:rsid w:val="0CBA4EC9"/>
    <w:rsid w:val="0CBE01FC"/>
    <w:rsid w:val="0CD367F2"/>
    <w:rsid w:val="0CE25187"/>
    <w:rsid w:val="0D2824A3"/>
    <w:rsid w:val="0D62434A"/>
    <w:rsid w:val="0D832C84"/>
    <w:rsid w:val="0DD45553"/>
    <w:rsid w:val="0DFD39BC"/>
    <w:rsid w:val="0E1F7A52"/>
    <w:rsid w:val="0F0D73B6"/>
    <w:rsid w:val="0F263449"/>
    <w:rsid w:val="0F2C7289"/>
    <w:rsid w:val="0FBA420F"/>
    <w:rsid w:val="0FFF7B78"/>
    <w:rsid w:val="10240870"/>
    <w:rsid w:val="105F0CCD"/>
    <w:rsid w:val="10A25988"/>
    <w:rsid w:val="10E22F93"/>
    <w:rsid w:val="11014B66"/>
    <w:rsid w:val="11472FC4"/>
    <w:rsid w:val="11662A8F"/>
    <w:rsid w:val="1171773E"/>
    <w:rsid w:val="11D75144"/>
    <w:rsid w:val="11DE60C8"/>
    <w:rsid w:val="11EE1C9B"/>
    <w:rsid w:val="12362245"/>
    <w:rsid w:val="12575BFE"/>
    <w:rsid w:val="127D4879"/>
    <w:rsid w:val="129F4391"/>
    <w:rsid w:val="12B07257"/>
    <w:rsid w:val="12F46B93"/>
    <w:rsid w:val="12FB62CF"/>
    <w:rsid w:val="130F3467"/>
    <w:rsid w:val="131F25B3"/>
    <w:rsid w:val="132168C4"/>
    <w:rsid w:val="133638CF"/>
    <w:rsid w:val="134B3E21"/>
    <w:rsid w:val="135C1261"/>
    <w:rsid w:val="13705BCF"/>
    <w:rsid w:val="139800F8"/>
    <w:rsid w:val="146639B0"/>
    <w:rsid w:val="14810804"/>
    <w:rsid w:val="14C32394"/>
    <w:rsid w:val="14E7756C"/>
    <w:rsid w:val="15555471"/>
    <w:rsid w:val="15D15729"/>
    <w:rsid w:val="162949D9"/>
    <w:rsid w:val="16537889"/>
    <w:rsid w:val="166F3B31"/>
    <w:rsid w:val="16B45F60"/>
    <w:rsid w:val="16BB3F9C"/>
    <w:rsid w:val="17093EDF"/>
    <w:rsid w:val="17411E12"/>
    <w:rsid w:val="175B5BC6"/>
    <w:rsid w:val="176F16AC"/>
    <w:rsid w:val="17D43D54"/>
    <w:rsid w:val="17E545EE"/>
    <w:rsid w:val="180F6DA6"/>
    <w:rsid w:val="183733AB"/>
    <w:rsid w:val="183D0ACD"/>
    <w:rsid w:val="18553478"/>
    <w:rsid w:val="186A4EF9"/>
    <w:rsid w:val="18AD21CB"/>
    <w:rsid w:val="19491C75"/>
    <w:rsid w:val="19786E3B"/>
    <w:rsid w:val="1A107C46"/>
    <w:rsid w:val="1A3D69F2"/>
    <w:rsid w:val="1A4540A3"/>
    <w:rsid w:val="1A717838"/>
    <w:rsid w:val="1A885B59"/>
    <w:rsid w:val="1A8E3CC9"/>
    <w:rsid w:val="1B1630FE"/>
    <w:rsid w:val="1B571CDF"/>
    <w:rsid w:val="1B7751EF"/>
    <w:rsid w:val="1BDD2E04"/>
    <w:rsid w:val="1BFB31C4"/>
    <w:rsid w:val="1CAE5C61"/>
    <w:rsid w:val="1CC57EEC"/>
    <w:rsid w:val="1D1E07AB"/>
    <w:rsid w:val="1D285414"/>
    <w:rsid w:val="1D5D79CE"/>
    <w:rsid w:val="1D846EFB"/>
    <w:rsid w:val="1DBC5717"/>
    <w:rsid w:val="1E1761B2"/>
    <w:rsid w:val="1E572FDA"/>
    <w:rsid w:val="1F34074C"/>
    <w:rsid w:val="1F8F7C87"/>
    <w:rsid w:val="1FA727E3"/>
    <w:rsid w:val="1FA97651"/>
    <w:rsid w:val="1FD141B8"/>
    <w:rsid w:val="1FE67A99"/>
    <w:rsid w:val="200E5455"/>
    <w:rsid w:val="20852B17"/>
    <w:rsid w:val="208F4659"/>
    <w:rsid w:val="20C91244"/>
    <w:rsid w:val="20CB6D0B"/>
    <w:rsid w:val="20E71C78"/>
    <w:rsid w:val="21093329"/>
    <w:rsid w:val="211E0551"/>
    <w:rsid w:val="212773A1"/>
    <w:rsid w:val="214A163F"/>
    <w:rsid w:val="21D44845"/>
    <w:rsid w:val="221572B4"/>
    <w:rsid w:val="22311600"/>
    <w:rsid w:val="226550CC"/>
    <w:rsid w:val="227656AC"/>
    <w:rsid w:val="23523DCA"/>
    <w:rsid w:val="23794CD9"/>
    <w:rsid w:val="24BF19AA"/>
    <w:rsid w:val="24CA4202"/>
    <w:rsid w:val="24D66891"/>
    <w:rsid w:val="25302039"/>
    <w:rsid w:val="254429A8"/>
    <w:rsid w:val="256C7451"/>
    <w:rsid w:val="25AD30A0"/>
    <w:rsid w:val="2667745A"/>
    <w:rsid w:val="26E95B4E"/>
    <w:rsid w:val="276906C7"/>
    <w:rsid w:val="278238A3"/>
    <w:rsid w:val="28742078"/>
    <w:rsid w:val="287742D0"/>
    <w:rsid w:val="288E3F7A"/>
    <w:rsid w:val="288F49C5"/>
    <w:rsid w:val="28BF1B33"/>
    <w:rsid w:val="28BF2210"/>
    <w:rsid w:val="28C85B97"/>
    <w:rsid w:val="28CE556E"/>
    <w:rsid w:val="299315DB"/>
    <w:rsid w:val="29C152D2"/>
    <w:rsid w:val="2A292F06"/>
    <w:rsid w:val="2A29332E"/>
    <w:rsid w:val="2A666F4C"/>
    <w:rsid w:val="2A6671E5"/>
    <w:rsid w:val="2A8574C7"/>
    <w:rsid w:val="2B0B3F2F"/>
    <w:rsid w:val="2B4D775E"/>
    <w:rsid w:val="2B5A4161"/>
    <w:rsid w:val="2B9F495B"/>
    <w:rsid w:val="2BB70DAF"/>
    <w:rsid w:val="2BBD2870"/>
    <w:rsid w:val="2BF938D1"/>
    <w:rsid w:val="2C01063D"/>
    <w:rsid w:val="2C5239AE"/>
    <w:rsid w:val="2C824188"/>
    <w:rsid w:val="2C8C63A5"/>
    <w:rsid w:val="2CF845CD"/>
    <w:rsid w:val="2D562101"/>
    <w:rsid w:val="2D873A70"/>
    <w:rsid w:val="2DB610BD"/>
    <w:rsid w:val="2DFB43CE"/>
    <w:rsid w:val="2E3D7FDF"/>
    <w:rsid w:val="2E5606EB"/>
    <w:rsid w:val="2E9D5FE0"/>
    <w:rsid w:val="2EA172E8"/>
    <w:rsid w:val="2EDB43F3"/>
    <w:rsid w:val="2F232D02"/>
    <w:rsid w:val="2F2A34A3"/>
    <w:rsid w:val="2F38041E"/>
    <w:rsid w:val="2F433D86"/>
    <w:rsid w:val="2F9A5364"/>
    <w:rsid w:val="2F9D183B"/>
    <w:rsid w:val="2FEB36BE"/>
    <w:rsid w:val="30006487"/>
    <w:rsid w:val="30842425"/>
    <w:rsid w:val="30D404C5"/>
    <w:rsid w:val="314C2E93"/>
    <w:rsid w:val="31694A72"/>
    <w:rsid w:val="316C02DE"/>
    <w:rsid w:val="31754AAE"/>
    <w:rsid w:val="317F2E7E"/>
    <w:rsid w:val="31804229"/>
    <w:rsid w:val="319970FC"/>
    <w:rsid w:val="31AD13B4"/>
    <w:rsid w:val="31BA74D8"/>
    <w:rsid w:val="31C57F0B"/>
    <w:rsid w:val="321A4FF8"/>
    <w:rsid w:val="328D4D46"/>
    <w:rsid w:val="32DE3410"/>
    <w:rsid w:val="333C55A2"/>
    <w:rsid w:val="335D45FD"/>
    <w:rsid w:val="33656785"/>
    <w:rsid w:val="33C315C2"/>
    <w:rsid w:val="33EF6302"/>
    <w:rsid w:val="345D6725"/>
    <w:rsid w:val="34876DB2"/>
    <w:rsid w:val="34B022E5"/>
    <w:rsid w:val="34B602EE"/>
    <w:rsid w:val="34CE04B2"/>
    <w:rsid w:val="34F94C42"/>
    <w:rsid w:val="35020BCE"/>
    <w:rsid w:val="354E2015"/>
    <w:rsid w:val="35636C46"/>
    <w:rsid w:val="35642145"/>
    <w:rsid w:val="35736992"/>
    <w:rsid w:val="35F3452C"/>
    <w:rsid w:val="360511A0"/>
    <w:rsid w:val="37692631"/>
    <w:rsid w:val="37B10108"/>
    <w:rsid w:val="389F7F0D"/>
    <w:rsid w:val="38B66F17"/>
    <w:rsid w:val="39264E83"/>
    <w:rsid w:val="397D15ED"/>
    <w:rsid w:val="39A31772"/>
    <w:rsid w:val="3A0511AE"/>
    <w:rsid w:val="3A252A28"/>
    <w:rsid w:val="3A361775"/>
    <w:rsid w:val="3A5B0DB6"/>
    <w:rsid w:val="3AA10985"/>
    <w:rsid w:val="3B1A3171"/>
    <w:rsid w:val="3B8A1786"/>
    <w:rsid w:val="3BF37AE3"/>
    <w:rsid w:val="3C5A516A"/>
    <w:rsid w:val="3CD05D89"/>
    <w:rsid w:val="3D056F4A"/>
    <w:rsid w:val="3D574C5D"/>
    <w:rsid w:val="3D8F46AB"/>
    <w:rsid w:val="3DB32B5C"/>
    <w:rsid w:val="3DE17511"/>
    <w:rsid w:val="3E0165CC"/>
    <w:rsid w:val="3E0A31F9"/>
    <w:rsid w:val="3E5F6553"/>
    <w:rsid w:val="3E85714B"/>
    <w:rsid w:val="3EB83441"/>
    <w:rsid w:val="3ED405D8"/>
    <w:rsid w:val="3EF23AFC"/>
    <w:rsid w:val="3F4E5E4B"/>
    <w:rsid w:val="3F544F16"/>
    <w:rsid w:val="3FD1121A"/>
    <w:rsid w:val="3FDF074D"/>
    <w:rsid w:val="402E6982"/>
    <w:rsid w:val="405158C9"/>
    <w:rsid w:val="409A7D1F"/>
    <w:rsid w:val="40DD14B7"/>
    <w:rsid w:val="41421537"/>
    <w:rsid w:val="414F44A7"/>
    <w:rsid w:val="41595C3E"/>
    <w:rsid w:val="42031639"/>
    <w:rsid w:val="420D6E21"/>
    <w:rsid w:val="42551AC7"/>
    <w:rsid w:val="426D69CE"/>
    <w:rsid w:val="43306F54"/>
    <w:rsid w:val="439D162E"/>
    <w:rsid w:val="43AF4EB6"/>
    <w:rsid w:val="43D0219E"/>
    <w:rsid w:val="43DA0DF8"/>
    <w:rsid w:val="43F21A5E"/>
    <w:rsid w:val="449D0BDB"/>
    <w:rsid w:val="44A75B9D"/>
    <w:rsid w:val="44CC251D"/>
    <w:rsid w:val="44ED61E4"/>
    <w:rsid w:val="44F765DB"/>
    <w:rsid w:val="452D2CD2"/>
    <w:rsid w:val="454E1873"/>
    <w:rsid w:val="45570A50"/>
    <w:rsid w:val="46FF7143"/>
    <w:rsid w:val="476E4F77"/>
    <w:rsid w:val="479A1D63"/>
    <w:rsid w:val="479E2BBB"/>
    <w:rsid w:val="47D76C48"/>
    <w:rsid w:val="48164989"/>
    <w:rsid w:val="485B029F"/>
    <w:rsid w:val="48AF4A09"/>
    <w:rsid w:val="48FD39E6"/>
    <w:rsid w:val="49B4550E"/>
    <w:rsid w:val="49F50EB5"/>
    <w:rsid w:val="4AB76254"/>
    <w:rsid w:val="4AF72F43"/>
    <w:rsid w:val="4AFC078A"/>
    <w:rsid w:val="4AFE130C"/>
    <w:rsid w:val="4B06415A"/>
    <w:rsid w:val="4B2C4572"/>
    <w:rsid w:val="4B307A80"/>
    <w:rsid w:val="4B866C46"/>
    <w:rsid w:val="4BBD5B2C"/>
    <w:rsid w:val="4BF36702"/>
    <w:rsid w:val="4C0E0B24"/>
    <w:rsid w:val="4F071606"/>
    <w:rsid w:val="4F403B1D"/>
    <w:rsid w:val="4F7F31B2"/>
    <w:rsid w:val="4F827ABA"/>
    <w:rsid w:val="4FA93F1C"/>
    <w:rsid w:val="4FCB730B"/>
    <w:rsid w:val="503F52BD"/>
    <w:rsid w:val="504A74E2"/>
    <w:rsid w:val="508C5D14"/>
    <w:rsid w:val="50D62ACD"/>
    <w:rsid w:val="510C3D06"/>
    <w:rsid w:val="51937900"/>
    <w:rsid w:val="51ED5B69"/>
    <w:rsid w:val="536A53D4"/>
    <w:rsid w:val="53857B5E"/>
    <w:rsid w:val="54207CFD"/>
    <w:rsid w:val="54C67D23"/>
    <w:rsid w:val="55005AF5"/>
    <w:rsid w:val="551F63D6"/>
    <w:rsid w:val="55687568"/>
    <w:rsid w:val="55CC6A46"/>
    <w:rsid w:val="55DE4946"/>
    <w:rsid w:val="55EA1952"/>
    <w:rsid w:val="55FD0CFB"/>
    <w:rsid w:val="561945F1"/>
    <w:rsid w:val="56BE79D8"/>
    <w:rsid w:val="57371D65"/>
    <w:rsid w:val="58032131"/>
    <w:rsid w:val="58266B57"/>
    <w:rsid w:val="588A5505"/>
    <w:rsid w:val="58CE0AFE"/>
    <w:rsid w:val="58E11F40"/>
    <w:rsid w:val="58EA7FCE"/>
    <w:rsid w:val="593B360F"/>
    <w:rsid w:val="597E7640"/>
    <w:rsid w:val="59A8191A"/>
    <w:rsid w:val="5A8975CA"/>
    <w:rsid w:val="5A8D6038"/>
    <w:rsid w:val="5A9B5C76"/>
    <w:rsid w:val="5AF228EA"/>
    <w:rsid w:val="5B176006"/>
    <w:rsid w:val="5B8B5722"/>
    <w:rsid w:val="5C1D3EC2"/>
    <w:rsid w:val="5C29274B"/>
    <w:rsid w:val="5C2A1394"/>
    <w:rsid w:val="5C6F34F3"/>
    <w:rsid w:val="5C8F1112"/>
    <w:rsid w:val="5CDE1B94"/>
    <w:rsid w:val="5CF46440"/>
    <w:rsid w:val="5D2B1C2D"/>
    <w:rsid w:val="5DAD4A6A"/>
    <w:rsid w:val="5DD07849"/>
    <w:rsid w:val="5DF40C4F"/>
    <w:rsid w:val="5E6E4ACB"/>
    <w:rsid w:val="5EEA3B04"/>
    <w:rsid w:val="5F092277"/>
    <w:rsid w:val="5F4B6391"/>
    <w:rsid w:val="5F50568C"/>
    <w:rsid w:val="5F8471B4"/>
    <w:rsid w:val="5FB2630F"/>
    <w:rsid w:val="5FCE7ED4"/>
    <w:rsid w:val="5FEB58A2"/>
    <w:rsid w:val="601B36B0"/>
    <w:rsid w:val="605A5E28"/>
    <w:rsid w:val="60A449E5"/>
    <w:rsid w:val="612A61E3"/>
    <w:rsid w:val="61B82A98"/>
    <w:rsid w:val="61F84732"/>
    <w:rsid w:val="62352BFE"/>
    <w:rsid w:val="62530EF5"/>
    <w:rsid w:val="63097C59"/>
    <w:rsid w:val="633D6D93"/>
    <w:rsid w:val="634F7C15"/>
    <w:rsid w:val="63736A17"/>
    <w:rsid w:val="63937116"/>
    <w:rsid w:val="63C05B9E"/>
    <w:rsid w:val="642F4F3E"/>
    <w:rsid w:val="64F23C67"/>
    <w:rsid w:val="651A4BCA"/>
    <w:rsid w:val="659F5C58"/>
    <w:rsid w:val="65D24C12"/>
    <w:rsid w:val="65F1505D"/>
    <w:rsid w:val="660A512C"/>
    <w:rsid w:val="66856058"/>
    <w:rsid w:val="668F2678"/>
    <w:rsid w:val="66BA2132"/>
    <w:rsid w:val="6701680A"/>
    <w:rsid w:val="67547205"/>
    <w:rsid w:val="676E5060"/>
    <w:rsid w:val="67FC0C69"/>
    <w:rsid w:val="686A32EA"/>
    <w:rsid w:val="693E036B"/>
    <w:rsid w:val="698529F7"/>
    <w:rsid w:val="69981330"/>
    <w:rsid w:val="69D62811"/>
    <w:rsid w:val="6A001D5E"/>
    <w:rsid w:val="6A690960"/>
    <w:rsid w:val="6A6F4003"/>
    <w:rsid w:val="6AB109E9"/>
    <w:rsid w:val="6AF86FE1"/>
    <w:rsid w:val="6AFE3DEE"/>
    <w:rsid w:val="6B5A4DFF"/>
    <w:rsid w:val="6BB52991"/>
    <w:rsid w:val="6BE93902"/>
    <w:rsid w:val="6C25354C"/>
    <w:rsid w:val="6C68412B"/>
    <w:rsid w:val="6C981ABC"/>
    <w:rsid w:val="6CE52F07"/>
    <w:rsid w:val="6CF54B5F"/>
    <w:rsid w:val="6D0D0A4F"/>
    <w:rsid w:val="6D234DD5"/>
    <w:rsid w:val="6D355556"/>
    <w:rsid w:val="6D377DF7"/>
    <w:rsid w:val="6D746A10"/>
    <w:rsid w:val="6D886FA0"/>
    <w:rsid w:val="6D945BC5"/>
    <w:rsid w:val="6DD96194"/>
    <w:rsid w:val="6DEF0C58"/>
    <w:rsid w:val="6DF66DFE"/>
    <w:rsid w:val="6DFC67F6"/>
    <w:rsid w:val="6E196A24"/>
    <w:rsid w:val="6E1D6E30"/>
    <w:rsid w:val="6E66357B"/>
    <w:rsid w:val="6EB95270"/>
    <w:rsid w:val="6EEF0FBE"/>
    <w:rsid w:val="6F8956C3"/>
    <w:rsid w:val="6FB90394"/>
    <w:rsid w:val="6FC41E1E"/>
    <w:rsid w:val="6FE86904"/>
    <w:rsid w:val="70241AB8"/>
    <w:rsid w:val="706476AA"/>
    <w:rsid w:val="7105714A"/>
    <w:rsid w:val="710F25A0"/>
    <w:rsid w:val="714177A5"/>
    <w:rsid w:val="7255719B"/>
    <w:rsid w:val="72AB0CB7"/>
    <w:rsid w:val="744C618D"/>
    <w:rsid w:val="74920FD0"/>
    <w:rsid w:val="74924B26"/>
    <w:rsid w:val="74B50A85"/>
    <w:rsid w:val="74DF7784"/>
    <w:rsid w:val="75125292"/>
    <w:rsid w:val="758826A4"/>
    <w:rsid w:val="75B01AA9"/>
    <w:rsid w:val="76140509"/>
    <w:rsid w:val="7626039F"/>
    <w:rsid w:val="763C41F4"/>
    <w:rsid w:val="7678693E"/>
    <w:rsid w:val="768649B8"/>
    <w:rsid w:val="76EF0C8A"/>
    <w:rsid w:val="76F83624"/>
    <w:rsid w:val="773F1990"/>
    <w:rsid w:val="776A79F9"/>
    <w:rsid w:val="777A7DC6"/>
    <w:rsid w:val="78640367"/>
    <w:rsid w:val="78C403B7"/>
    <w:rsid w:val="78E669DE"/>
    <w:rsid w:val="79640B02"/>
    <w:rsid w:val="796E4180"/>
    <w:rsid w:val="79874C47"/>
    <w:rsid w:val="79D2695D"/>
    <w:rsid w:val="7A731DE7"/>
    <w:rsid w:val="7ABE7E81"/>
    <w:rsid w:val="7AE73174"/>
    <w:rsid w:val="7B1234F7"/>
    <w:rsid w:val="7B5007DD"/>
    <w:rsid w:val="7BD60299"/>
    <w:rsid w:val="7BDD1DA1"/>
    <w:rsid w:val="7BE5680C"/>
    <w:rsid w:val="7C09693B"/>
    <w:rsid w:val="7C403415"/>
    <w:rsid w:val="7C504BF4"/>
    <w:rsid w:val="7C6B7787"/>
    <w:rsid w:val="7C6F62EE"/>
    <w:rsid w:val="7C9F5AAF"/>
    <w:rsid w:val="7CCC29A0"/>
    <w:rsid w:val="7CF42D7A"/>
    <w:rsid w:val="7D171AFF"/>
    <w:rsid w:val="7D4359D2"/>
    <w:rsid w:val="7D805C04"/>
    <w:rsid w:val="7D9A0C78"/>
    <w:rsid w:val="7DFE466B"/>
    <w:rsid w:val="7E430C57"/>
    <w:rsid w:val="7E84244F"/>
    <w:rsid w:val="7EB23D15"/>
    <w:rsid w:val="7F0F3D7E"/>
    <w:rsid w:val="7F17791C"/>
    <w:rsid w:val="7F3B2004"/>
    <w:rsid w:val="7F6D3793"/>
    <w:rsid w:val="7FA16D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6"/>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80"/>
    <w:unhideWhenUsed/>
    <w:qFormat/>
    <w:uiPriority w:val="0"/>
    <w:pPr>
      <w:keepNext/>
      <w:keepLines/>
      <w:spacing w:line="416" w:lineRule="auto"/>
      <w:outlineLvl w:val="1"/>
    </w:pPr>
    <w:rPr>
      <w:rFonts w:ascii="Arial" w:hAnsi="Arial" w:eastAsia="黑体"/>
      <w:b/>
      <w:bCs/>
      <w:sz w:val="32"/>
      <w:szCs w:val="32"/>
    </w:rPr>
  </w:style>
  <w:style w:type="paragraph" w:styleId="4">
    <w:name w:val="heading 3"/>
    <w:basedOn w:val="1"/>
    <w:next w:val="1"/>
    <w:link w:val="47"/>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5">
    <w:name w:val="heading 4"/>
    <w:basedOn w:val="1"/>
    <w:next w:val="1"/>
    <w:link w:val="48"/>
    <w:qFormat/>
    <w:uiPriority w:val="0"/>
    <w:pPr>
      <w:keepNext/>
      <w:jc w:val="center"/>
      <w:outlineLvl w:val="3"/>
    </w:pPr>
    <w:rPr>
      <w:rFonts w:ascii="Times New Roman" w:hAnsi="Times New Roman" w:eastAsia="新宋体" w:cs="Times New Roman"/>
      <w:kern w:val="0"/>
      <w:sz w:val="30"/>
      <w:szCs w:val="21"/>
    </w:rPr>
  </w:style>
  <w:style w:type="paragraph" w:styleId="6">
    <w:name w:val="heading 5"/>
    <w:basedOn w:val="1"/>
    <w:next w:val="1"/>
    <w:link w:val="49"/>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7">
    <w:name w:val="heading 6"/>
    <w:basedOn w:val="1"/>
    <w:next w:val="8"/>
    <w:link w:val="50"/>
    <w:qFormat/>
    <w:uiPriority w:val="0"/>
    <w:pPr>
      <w:keepNext/>
      <w:jc w:val="center"/>
      <w:outlineLvl w:val="5"/>
    </w:pPr>
    <w:rPr>
      <w:rFonts w:ascii="Times New Roman" w:hAnsi="Times New Roman" w:eastAsia="宋体" w:cs="Times New Roman"/>
      <w:b/>
      <w:kern w:val="0"/>
      <w:sz w:val="44"/>
      <w:szCs w:val="20"/>
    </w:rPr>
  </w:style>
  <w:style w:type="paragraph" w:styleId="9">
    <w:name w:val="heading 7"/>
    <w:basedOn w:val="1"/>
    <w:next w:val="1"/>
    <w:link w:val="51"/>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0">
    <w:name w:val="heading 8"/>
    <w:basedOn w:val="1"/>
    <w:next w:val="1"/>
    <w:link w:val="52"/>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1">
    <w:name w:val="heading 9"/>
    <w:basedOn w:val="1"/>
    <w:next w:val="1"/>
    <w:link w:val="53"/>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2">
    <w:name w:val="Default Paragraph Font"/>
    <w:semiHidden/>
    <w:unhideWhenUsed/>
    <w:qFormat/>
    <w:uiPriority w:val="1"/>
  </w:style>
  <w:style w:type="table" w:default="1" w:styleId="38">
    <w:name w:val="Normal Table"/>
    <w:semiHidden/>
    <w:unhideWhenUsed/>
    <w:qFormat/>
    <w:uiPriority w:val="99"/>
    <w:tblPr>
      <w:tblLayout w:type="fixed"/>
      <w:tblCellMar>
        <w:top w:w="0" w:type="dxa"/>
        <w:left w:w="108" w:type="dxa"/>
        <w:bottom w:w="0" w:type="dxa"/>
        <w:right w:w="108" w:type="dxa"/>
      </w:tblCellMar>
    </w:tblPr>
  </w:style>
  <w:style w:type="paragraph" w:styleId="8">
    <w:name w:val="Normal Indent"/>
    <w:basedOn w:val="1"/>
    <w:link w:val="57"/>
    <w:qFormat/>
    <w:uiPriority w:val="0"/>
    <w:pPr>
      <w:ind w:firstLine="420"/>
    </w:pPr>
    <w:rPr>
      <w:rFonts w:ascii="Times New Roman" w:hAnsi="Times New Roman" w:eastAsia="宋体" w:cs="Times New Roman"/>
      <w:kern w:val="0"/>
      <w:sz w:val="20"/>
      <w:szCs w:val="20"/>
    </w:rPr>
  </w:style>
  <w:style w:type="paragraph" w:styleId="12">
    <w:name w:val="annotation subject"/>
    <w:basedOn w:val="13"/>
    <w:next w:val="13"/>
    <w:link w:val="89"/>
    <w:unhideWhenUsed/>
    <w:qFormat/>
    <w:uiPriority w:val="99"/>
    <w:rPr>
      <w:b/>
      <w:bCs/>
    </w:rPr>
  </w:style>
  <w:style w:type="paragraph" w:styleId="13">
    <w:name w:val="annotation text"/>
    <w:basedOn w:val="1"/>
    <w:link w:val="86"/>
    <w:unhideWhenUsed/>
    <w:qFormat/>
    <w:uiPriority w:val="0"/>
    <w:pPr>
      <w:jc w:val="left"/>
    </w:pPr>
    <w:rPr>
      <w:rFonts w:ascii="Times New Roman" w:hAnsi="Times New Roman" w:eastAsia="宋体" w:cs="Times New Roman"/>
      <w:szCs w:val="24"/>
    </w:rPr>
  </w:style>
  <w:style w:type="paragraph" w:styleId="14">
    <w:name w:val="Body Text First Indent"/>
    <w:basedOn w:val="15"/>
    <w:link w:val="92"/>
    <w:qFormat/>
    <w:uiPriority w:val="0"/>
    <w:pPr>
      <w:spacing w:after="120"/>
      <w:ind w:firstLine="420" w:firstLineChars="100"/>
    </w:pPr>
    <w:rPr>
      <w:rFonts w:ascii="Times New Roman" w:eastAsia="宋体"/>
      <w:szCs w:val="24"/>
    </w:rPr>
  </w:style>
  <w:style w:type="paragraph" w:styleId="15">
    <w:name w:val="Body Text"/>
    <w:basedOn w:val="1"/>
    <w:link w:val="91"/>
    <w:qFormat/>
    <w:uiPriority w:val="0"/>
    <w:rPr>
      <w:rFonts w:ascii="仿宋_GB2312" w:hAnsi="Times New Roman" w:eastAsia="仿宋_GB2312" w:cs="Times New Roman"/>
      <w:kern w:val="0"/>
      <w:sz w:val="24"/>
      <w:szCs w:val="20"/>
    </w:rPr>
  </w:style>
  <w:style w:type="paragraph" w:styleId="16">
    <w:name w:val="Document Map"/>
    <w:basedOn w:val="1"/>
    <w:link w:val="90"/>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7"/>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6"/>
    <w:qFormat/>
    <w:uiPriority w:val="0"/>
    <w:pPr>
      <w:spacing w:line="400" w:lineRule="exact"/>
      <w:ind w:left="630"/>
    </w:pPr>
    <w:rPr>
      <w:rFonts w:ascii="楷体_GB2312"/>
    </w:rPr>
  </w:style>
  <w:style w:type="paragraph" w:styleId="19">
    <w:name w:val="toc 3"/>
    <w:basedOn w:val="1"/>
    <w:next w:val="1"/>
    <w:unhideWhenUsed/>
    <w:qFormat/>
    <w:uiPriority w:val="39"/>
    <w:pPr>
      <w:ind w:left="400" w:leftChars="400" w:firstLine="0" w:firstLineChars="0"/>
    </w:pPr>
  </w:style>
  <w:style w:type="paragraph" w:styleId="20">
    <w:name w:val="Plain Text"/>
    <w:basedOn w:val="1"/>
    <w:link w:val="94"/>
    <w:qFormat/>
    <w:uiPriority w:val="0"/>
    <w:rPr>
      <w:rFonts w:ascii="宋体" w:hAnsi="Courier New" w:eastAsia="宋体" w:cs="Courier New"/>
      <w:kern w:val="0"/>
      <w:sz w:val="20"/>
      <w:szCs w:val="21"/>
    </w:rPr>
  </w:style>
  <w:style w:type="paragraph" w:styleId="21">
    <w:name w:val="Date"/>
    <w:basedOn w:val="1"/>
    <w:next w:val="1"/>
    <w:link w:val="70"/>
    <w:qFormat/>
    <w:uiPriority w:val="0"/>
    <w:rPr>
      <w:rFonts w:eastAsia="楷体_GB2312"/>
      <w:sz w:val="32"/>
    </w:rPr>
  </w:style>
  <w:style w:type="paragraph" w:styleId="22">
    <w:name w:val="Body Text Indent 2"/>
    <w:basedOn w:val="1"/>
    <w:link w:val="88"/>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3">
    <w:name w:val="Balloon Text"/>
    <w:basedOn w:val="1"/>
    <w:link w:val="45"/>
    <w:qFormat/>
    <w:uiPriority w:val="0"/>
    <w:rPr>
      <w:sz w:val="18"/>
      <w:szCs w:val="18"/>
    </w:rPr>
  </w:style>
  <w:style w:type="paragraph" w:styleId="24">
    <w:name w:val="footer"/>
    <w:basedOn w:val="1"/>
    <w:link w:val="65"/>
    <w:qFormat/>
    <w:uiPriority w:val="99"/>
    <w:pPr>
      <w:tabs>
        <w:tab w:val="center" w:pos="4153"/>
        <w:tab w:val="right" w:pos="8306"/>
      </w:tabs>
      <w:snapToGrid w:val="0"/>
      <w:jc w:val="left"/>
    </w:pPr>
    <w:rPr>
      <w:sz w:val="18"/>
    </w:rPr>
  </w:style>
  <w:style w:type="paragraph" w:styleId="25">
    <w:name w:val="header"/>
    <w:basedOn w:val="1"/>
    <w:link w:val="66"/>
    <w:qFormat/>
    <w:uiPriority w:val="0"/>
    <w:pPr>
      <w:tabs>
        <w:tab w:val="center" w:pos="4153"/>
        <w:tab w:val="right" w:pos="8306"/>
      </w:tabs>
      <w:snapToGrid w:val="0"/>
    </w:pPr>
    <w:rPr>
      <w:sz w:val="18"/>
    </w:rPr>
  </w:style>
  <w:style w:type="paragraph" w:styleId="26">
    <w:name w:val="toc 1"/>
    <w:basedOn w:val="1"/>
    <w:next w:val="1"/>
    <w:qFormat/>
    <w:uiPriority w:val="0"/>
    <w:rPr>
      <w:rFonts w:ascii="Times New Roman" w:hAnsi="Times New Roman" w:eastAsia="宋体" w:cs="Times New Roman"/>
      <w:sz w:val="24"/>
      <w:szCs w:val="24"/>
    </w:rPr>
  </w:style>
  <w:style w:type="paragraph" w:styleId="27">
    <w:name w:val="List"/>
    <w:basedOn w:val="1"/>
    <w:qFormat/>
    <w:uiPriority w:val="0"/>
    <w:pPr>
      <w:ind w:left="200" w:hanging="200" w:hangingChars="200"/>
    </w:pPr>
    <w:rPr>
      <w:rFonts w:ascii="Times New Roman" w:hAnsi="Times New Roman" w:eastAsia="宋体" w:cs="Times New Roman"/>
      <w:szCs w:val="24"/>
    </w:rPr>
  </w:style>
  <w:style w:type="paragraph" w:styleId="28">
    <w:name w:val="Body Text Indent 3"/>
    <w:basedOn w:val="1"/>
    <w:link w:val="93"/>
    <w:qFormat/>
    <w:uiPriority w:val="0"/>
    <w:pPr>
      <w:spacing w:after="120"/>
      <w:ind w:left="420" w:leftChars="200"/>
    </w:pPr>
    <w:rPr>
      <w:rFonts w:ascii="Times New Roman" w:hAnsi="Times New Roman" w:eastAsia="宋体" w:cs="Times New Roman"/>
      <w:kern w:val="0"/>
      <w:sz w:val="16"/>
      <w:szCs w:val="16"/>
    </w:rPr>
  </w:style>
  <w:style w:type="paragraph" w:styleId="29">
    <w:name w:val="toc 2"/>
    <w:basedOn w:val="1"/>
    <w:next w:val="1"/>
    <w:unhideWhenUsed/>
    <w:qFormat/>
    <w:uiPriority w:val="39"/>
    <w:pPr>
      <w:ind w:left="200" w:leftChars="200" w:firstLine="0" w:firstLineChars="0"/>
    </w:pPr>
  </w:style>
  <w:style w:type="paragraph" w:styleId="30">
    <w:name w:val="Body Text 2"/>
    <w:basedOn w:val="1"/>
    <w:link w:val="95"/>
    <w:qFormat/>
    <w:uiPriority w:val="0"/>
    <w:pPr>
      <w:snapToGrid w:val="0"/>
    </w:pPr>
    <w:rPr>
      <w:rFonts w:ascii="Times New Roman" w:hAnsi="Times New Roman" w:eastAsia="宋体" w:cs="Times New Roman"/>
      <w:b/>
      <w:bCs/>
      <w:kern w:val="0"/>
      <w:sz w:val="18"/>
      <w:szCs w:val="24"/>
    </w:rPr>
  </w:style>
  <w:style w:type="paragraph" w:styleId="31">
    <w:name w:val="Normal (Web)"/>
    <w:basedOn w:val="1"/>
    <w:qFormat/>
    <w:uiPriority w:val="0"/>
    <w:rPr>
      <w:sz w:val="24"/>
    </w:rPr>
  </w:style>
  <w:style w:type="character" w:styleId="33">
    <w:name w:val="Strong"/>
    <w:qFormat/>
    <w:uiPriority w:val="0"/>
    <w:rPr>
      <w:b/>
      <w:bCs/>
    </w:rPr>
  </w:style>
  <w:style w:type="character" w:styleId="34">
    <w:name w:val="page number"/>
    <w:basedOn w:val="32"/>
    <w:qFormat/>
    <w:uiPriority w:val="0"/>
  </w:style>
  <w:style w:type="character" w:styleId="35">
    <w:name w:val="FollowedHyperlink"/>
    <w:qFormat/>
    <w:uiPriority w:val="0"/>
    <w:rPr>
      <w:color w:val="800080"/>
      <w:u w:val="single"/>
    </w:rPr>
  </w:style>
  <w:style w:type="character" w:styleId="36">
    <w:name w:val="Hyperlink"/>
    <w:qFormat/>
    <w:uiPriority w:val="0"/>
    <w:rPr>
      <w:color w:val="0000FF"/>
      <w:u w:val="single"/>
    </w:rPr>
  </w:style>
  <w:style w:type="character" w:styleId="37">
    <w:name w:val="annotation reference"/>
    <w:unhideWhenUsed/>
    <w:qFormat/>
    <w:uiPriority w:val="99"/>
    <w:rPr>
      <w:sz w:val="21"/>
      <w:szCs w:val="21"/>
    </w:rPr>
  </w:style>
  <w:style w:type="table" w:styleId="39">
    <w:name w:val="Table Grid"/>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40">
    <w:name w:val="p0"/>
    <w:basedOn w:val="1"/>
    <w:qFormat/>
    <w:uiPriority w:val="0"/>
    <w:pPr>
      <w:widowControl/>
    </w:pPr>
    <w:rPr>
      <w:kern w:val="0"/>
    </w:rPr>
  </w:style>
  <w:style w:type="paragraph" w:customStyle="1" w:styleId="41">
    <w:name w:val="样式 标题 2 + Times New Roman 四号 非加粗 段前: 5 磅 段后: 0 磅 行距: 固定值 20..."/>
    <w:basedOn w:val="3"/>
    <w:qFormat/>
    <w:uiPriority w:val="0"/>
    <w:pPr>
      <w:spacing w:line="400" w:lineRule="exact"/>
    </w:pPr>
    <w:rPr>
      <w:rFonts w:ascii="Times New Roman" w:hAnsi="Times New Roman" w:cs="宋体"/>
      <w:b w:val="0"/>
      <w:bCs w:val="0"/>
      <w:sz w:val="28"/>
      <w:szCs w:val="20"/>
    </w:rPr>
  </w:style>
  <w:style w:type="paragraph" w:customStyle="1" w:styleId="42">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3">
    <w:name w:val="列出段落1"/>
    <w:basedOn w:val="1"/>
    <w:qFormat/>
    <w:uiPriority w:val="99"/>
    <w:pPr>
      <w:ind w:firstLine="420" w:firstLineChars="200"/>
    </w:pPr>
  </w:style>
  <w:style w:type="paragraph" w:customStyle="1" w:styleId="44">
    <w:name w:val="列出段落2"/>
    <w:basedOn w:val="1"/>
    <w:unhideWhenUsed/>
    <w:qFormat/>
    <w:uiPriority w:val="99"/>
    <w:pPr>
      <w:ind w:firstLine="420" w:firstLineChars="200"/>
    </w:pPr>
  </w:style>
  <w:style w:type="character" w:customStyle="1" w:styleId="45">
    <w:name w:val="批注框文本 Char"/>
    <w:basedOn w:val="32"/>
    <w:link w:val="23"/>
    <w:qFormat/>
    <w:uiPriority w:val="0"/>
    <w:rPr>
      <w:rFonts w:asciiTheme="minorHAnsi" w:hAnsiTheme="minorHAnsi" w:eastAsiaTheme="minorEastAsia" w:cstheme="minorBidi"/>
      <w:kern w:val="2"/>
      <w:sz w:val="18"/>
      <w:szCs w:val="18"/>
    </w:rPr>
  </w:style>
  <w:style w:type="character" w:customStyle="1" w:styleId="46">
    <w:name w:val="标题 1 Char"/>
    <w:basedOn w:val="32"/>
    <w:link w:val="2"/>
    <w:qFormat/>
    <w:uiPriority w:val="0"/>
    <w:rPr>
      <w:b/>
      <w:bCs/>
      <w:kern w:val="44"/>
      <w:sz w:val="44"/>
      <w:szCs w:val="44"/>
    </w:rPr>
  </w:style>
  <w:style w:type="character" w:customStyle="1" w:styleId="47">
    <w:name w:val="标题 3 Char"/>
    <w:basedOn w:val="32"/>
    <w:link w:val="4"/>
    <w:qFormat/>
    <w:uiPriority w:val="0"/>
    <w:rPr>
      <w:b/>
      <w:bCs/>
      <w:sz w:val="32"/>
      <w:szCs w:val="32"/>
    </w:rPr>
  </w:style>
  <w:style w:type="character" w:customStyle="1" w:styleId="48">
    <w:name w:val="标题 4 Char"/>
    <w:basedOn w:val="32"/>
    <w:link w:val="5"/>
    <w:qFormat/>
    <w:uiPriority w:val="0"/>
    <w:rPr>
      <w:rFonts w:eastAsia="新宋体"/>
      <w:sz w:val="30"/>
      <w:szCs w:val="21"/>
    </w:rPr>
  </w:style>
  <w:style w:type="character" w:customStyle="1" w:styleId="49">
    <w:name w:val="标题 5 Char"/>
    <w:basedOn w:val="32"/>
    <w:link w:val="6"/>
    <w:qFormat/>
    <w:uiPriority w:val="0"/>
    <w:rPr>
      <w:b/>
      <w:bCs/>
      <w:sz w:val="28"/>
      <w:szCs w:val="28"/>
    </w:rPr>
  </w:style>
  <w:style w:type="character" w:customStyle="1" w:styleId="50">
    <w:name w:val="标题 6 Char"/>
    <w:basedOn w:val="32"/>
    <w:link w:val="7"/>
    <w:qFormat/>
    <w:uiPriority w:val="0"/>
    <w:rPr>
      <w:b/>
      <w:sz w:val="44"/>
    </w:rPr>
  </w:style>
  <w:style w:type="character" w:customStyle="1" w:styleId="51">
    <w:name w:val="标题 7 Char"/>
    <w:basedOn w:val="32"/>
    <w:link w:val="9"/>
    <w:qFormat/>
    <w:uiPriority w:val="0"/>
    <w:rPr>
      <w:b/>
      <w:bCs/>
      <w:sz w:val="24"/>
      <w:szCs w:val="24"/>
    </w:rPr>
  </w:style>
  <w:style w:type="character" w:customStyle="1" w:styleId="52">
    <w:name w:val="标题 8 Char"/>
    <w:basedOn w:val="32"/>
    <w:link w:val="10"/>
    <w:qFormat/>
    <w:uiPriority w:val="0"/>
    <w:rPr>
      <w:rFonts w:ascii="Arial" w:hAnsi="Arial" w:eastAsia="黑体"/>
      <w:sz w:val="24"/>
      <w:szCs w:val="24"/>
    </w:rPr>
  </w:style>
  <w:style w:type="character" w:customStyle="1" w:styleId="53">
    <w:name w:val="标题 9 Char"/>
    <w:basedOn w:val="32"/>
    <w:link w:val="11"/>
    <w:qFormat/>
    <w:uiPriority w:val="0"/>
    <w:rPr>
      <w:rFonts w:ascii="Arial" w:hAnsi="Arial" w:eastAsia="黑体"/>
      <w:sz w:val="24"/>
      <w:szCs w:val="21"/>
    </w:rPr>
  </w:style>
  <w:style w:type="character" w:customStyle="1" w:styleId="54">
    <w:name w:val="样式 ssss + 宋体 五号1 Char"/>
    <w:link w:val="55"/>
    <w:qFormat/>
    <w:uiPriority w:val="0"/>
    <w:rPr>
      <w:rFonts w:ascii="宋体" w:hAnsi="宋体"/>
      <w:sz w:val="24"/>
      <w:szCs w:val="24"/>
    </w:rPr>
  </w:style>
  <w:style w:type="paragraph" w:customStyle="1" w:styleId="55">
    <w:name w:val="样式 ssss + 宋体 五号1"/>
    <w:basedOn w:val="56"/>
    <w:link w:val="54"/>
    <w:qFormat/>
    <w:uiPriority w:val="0"/>
    <w:rPr>
      <w:rFonts w:ascii="宋体" w:hAnsi="宋体"/>
    </w:rPr>
  </w:style>
  <w:style w:type="paragraph" w:customStyle="1" w:styleId="56">
    <w:name w:val="ssss"/>
    <w:basedOn w:val="1"/>
    <w:link w:val="85"/>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7">
    <w:name w:val="正文缩进 Char"/>
    <w:link w:val="8"/>
    <w:qFormat/>
    <w:uiPriority w:val="0"/>
  </w:style>
  <w:style w:type="character" w:customStyle="1" w:styleId="58">
    <w:name w:val="普通正文 Char"/>
    <w:link w:val="59"/>
    <w:qFormat/>
    <w:uiPriority w:val="0"/>
    <w:rPr>
      <w:rFonts w:ascii="Arial" w:hAnsi="Arial"/>
      <w:sz w:val="24"/>
      <w:szCs w:val="24"/>
    </w:rPr>
  </w:style>
  <w:style w:type="paragraph" w:customStyle="1" w:styleId="59">
    <w:name w:val="普通正文"/>
    <w:basedOn w:val="1"/>
    <w:link w:val="58"/>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60">
    <w:name w:val="批注主题 Char"/>
    <w:link w:val="12"/>
    <w:qFormat/>
    <w:uiPriority w:val="99"/>
    <w:rPr>
      <w:b/>
      <w:bCs/>
      <w:kern w:val="2"/>
      <w:sz w:val="21"/>
      <w:szCs w:val="24"/>
    </w:rPr>
  </w:style>
  <w:style w:type="character" w:customStyle="1" w:styleId="61">
    <w:name w:val="正文文本 Char"/>
    <w:link w:val="15"/>
    <w:qFormat/>
    <w:uiPriority w:val="0"/>
    <w:rPr>
      <w:rFonts w:ascii="仿宋_GB2312" w:eastAsia="仿宋_GB2312"/>
      <w:sz w:val="24"/>
    </w:rPr>
  </w:style>
  <w:style w:type="character" w:customStyle="1" w:styleId="62">
    <w:name w:val="文档结构图 Char1"/>
    <w:semiHidden/>
    <w:qFormat/>
    <w:uiPriority w:val="99"/>
    <w:rPr>
      <w:rFonts w:ascii="宋体" w:hAnsi="Times New Roman" w:eastAsia="宋体" w:cs="Times New Roman"/>
      <w:sz w:val="18"/>
      <w:szCs w:val="18"/>
    </w:rPr>
  </w:style>
  <w:style w:type="character" w:customStyle="1" w:styleId="63">
    <w:name w:val="正文首行缩进 Char"/>
    <w:link w:val="14"/>
    <w:qFormat/>
    <w:uiPriority w:val="0"/>
    <w:rPr>
      <w:sz w:val="24"/>
      <w:szCs w:val="24"/>
    </w:rPr>
  </w:style>
  <w:style w:type="character" w:customStyle="1" w:styleId="64">
    <w:name w:val="正文文本 2 Char"/>
    <w:link w:val="30"/>
    <w:qFormat/>
    <w:uiPriority w:val="0"/>
    <w:rPr>
      <w:b/>
      <w:bCs/>
      <w:sz w:val="18"/>
      <w:szCs w:val="24"/>
    </w:rPr>
  </w:style>
  <w:style w:type="character" w:customStyle="1" w:styleId="65">
    <w:name w:val="页脚 Char"/>
    <w:link w:val="24"/>
    <w:qFormat/>
    <w:uiPriority w:val="99"/>
    <w:rPr>
      <w:rFonts w:asciiTheme="minorHAnsi" w:hAnsiTheme="minorHAnsi" w:eastAsiaTheme="minorEastAsia" w:cstheme="minorBidi"/>
      <w:kern w:val="2"/>
      <w:sz w:val="18"/>
      <w:szCs w:val="22"/>
    </w:rPr>
  </w:style>
  <w:style w:type="character" w:customStyle="1" w:styleId="66">
    <w:name w:val="页眉 Char"/>
    <w:link w:val="25"/>
    <w:qFormat/>
    <w:uiPriority w:val="0"/>
    <w:rPr>
      <w:rFonts w:asciiTheme="minorHAnsi" w:hAnsiTheme="minorHAnsi" w:eastAsiaTheme="minorEastAsia" w:cstheme="minorBidi"/>
      <w:kern w:val="2"/>
      <w:sz w:val="18"/>
      <w:szCs w:val="22"/>
    </w:rPr>
  </w:style>
  <w:style w:type="character" w:customStyle="1" w:styleId="67">
    <w:name w:val="批注文字 Char"/>
    <w:link w:val="13"/>
    <w:qFormat/>
    <w:uiPriority w:val="0"/>
    <w:rPr>
      <w:kern w:val="2"/>
      <w:sz w:val="21"/>
      <w:szCs w:val="24"/>
    </w:rPr>
  </w:style>
  <w:style w:type="character" w:customStyle="1" w:styleId="68">
    <w:name w:val="正文文本缩进 2 Char"/>
    <w:link w:val="22"/>
    <w:qFormat/>
    <w:uiPriority w:val="0"/>
    <w:rPr>
      <w:rFonts w:eastAsia="仿宋_GB2312"/>
      <w:sz w:val="28"/>
    </w:rPr>
  </w:style>
  <w:style w:type="character" w:customStyle="1" w:styleId="69">
    <w:name w:val="标题 4 Char1"/>
    <w:qFormat/>
    <w:uiPriority w:val="0"/>
    <w:rPr>
      <w:rFonts w:ascii="Arial" w:hAnsi="Arial" w:eastAsia="黑体"/>
      <w:b/>
      <w:bCs/>
      <w:kern w:val="2"/>
      <w:sz w:val="28"/>
      <w:szCs w:val="28"/>
      <w:lang w:val="en-US" w:eastAsia="zh-CN" w:bidi="ar-SA"/>
    </w:rPr>
  </w:style>
  <w:style w:type="character" w:customStyle="1" w:styleId="70">
    <w:name w:val="日期 Char"/>
    <w:link w:val="21"/>
    <w:qFormat/>
    <w:uiPriority w:val="0"/>
    <w:rPr>
      <w:rFonts w:eastAsia="楷体_GB2312" w:asciiTheme="minorHAnsi" w:hAnsiTheme="minorHAnsi" w:cstheme="minorBidi"/>
      <w:kern w:val="2"/>
      <w:sz w:val="32"/>
      <w:szCs w:val="22"/>
    </w:rPr>
  </w:style>
  <w:style w:type="character" w:customStyle="1" w:styleId="71">
    <w:name w:val="正文缩进2格 Char"/>
    <w:link w:val="72"/>
    <w:qFormat/>
    <w:uiPriority w:val="0"/>
    <w:rPr>
      <w:rFonts w:ascii="仿宋_GB2312" w:hAnsi="宋体" w:eastAsia="仿宋_GB2312"/>
      <w:sz w:val="31"/>
      <w:szCs w:val="28"/>
    </w:rPr>
  </w:style>
  <w:style w:type="paragraph" w:customStyle="1" w:styleId="72">
    <w:name w:val="正文缩进2格"/>
    <w:basedOn w:val="1"/>
    <w:link w:val="71"/>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3">
    <w:name w:val="文档结构图 Char"/>
    <w:link w:val="16"/>
    <w:qFormat/>
    <w:uiPriority w:val="0"/>
    <w:rPr>
      <w:szCs w:val="24"/>
      <w:shd w:val="clear" w:color="auto" w:fill="000080"/>
    </w:rPr>
  </w:style>
  <w:style w:type="character" w:customStyle="1" w:styleId="74">
    <w:name w:val="point_normal1"/>
    <w:qFormat/>
    <w:uiPriority w:val="0"/>
    <w:rPr>
      <w:rFonts w:hint="default" w:ascii="Arial" w:hAnsi="Arial" w:cs="Arial"/>
      <w:sz w:val="16"/>
      <w:szCs w:val="16"/>
    </w:rPr>
  </w:style>
  <w:style w:type="character" w:customStyle="1" w:styleId="75">
    <w:name w:val="批注框文本 Char1"/>
    <w:semiHidden/>
    <w:qFormat/>
    <w:uiPriority w:val="99"/>
    <w:rPr>
      <w:rFonts w:ascii="Times New Roman" w:hAnsi="Times New Roman" w:eastAsia="宋体" w:cs="Times New Roman"/>
      <w:sz w:val="18"/>
      <w:szCs w:val="18"/>
    </w:rPr>
  </w:style>
  <w:style w:type="character" w:customStyle="1" w:styleId="76">
    <w:name w:val="正文文本缩进 Char"/>
    <w:link w:val="18"/>
    <w:qFormat/>
    <w:uiPriority w:val="0"/>
    <w:rPr>
      <w:rFonts w:ascii="楷体_GB2312" w:hAnsiTheme="minorHAnsi" w:eastAsiaTheme="minorEastAsia" w:cstheme="minorBidi"/>
      <w:kern w:val="2"/>
      <w:sz w:val="21"/>
      <w:szCs w:val="22"/>
    </w:rPr>
  </w:style>
  <w:style w:type="character" w:customStyle="1" w:styleId="77">
    <w:name w:val="cn_text1"/>
    <w:qFormat/>
    <w:uiPriority w:val="0"/>
    <w:rPr>
      <w:rFonts w:hint="default" w:ascii="ˎ̥" w:hAnsi="ˎ̥"/>
      <w:color w:val="003399"/>
      <w:spacing w:val="15"/>
      <w:sz w:val="18"/>
      <w:szCs w:val="18"/>
    </w:rPr>
  </w:style>
  <w:style w:type="character" w:customStyle="1" w:styleId="78">
    <w:name w:val="纯文本 Char"/>
    <w:link w:val="20"/>
    <w:qFormat/>
    <w:uiPriority w:val="0"/>
    <w:rPr>
      <w:rFonts w:ascii="宋体" w:hAnsi="Courier New" w:cs="Courier New"/>
      <w:szCs w:val="21"/>
    </w:rPr>
  </w:style>
  <w:style w:type="character" w:customStyle="1" w:styleId="79">
    <w:name w:val="正文文本缩进 3 Char"/>
    <w:link w:val="28"/>
    <w:qFormat/>
    <w:uiPriority w:val="0"/>
    <w:rPr>
      <w:sz w:val="16"/>
      <w:szCs w:val="16"/>
    </w:rPr>
  </w:style>
  <w:style w:type="character" w:customStyle="1" w:styleId="80">
    <w:name w:val="标题 2 Char"/>
    <w:link w:val="3"/>
    <w:qFormat/>
    <w:uiPriority w:val="0"/>
    <w:rPr>
      <w:rFonts w:ascii="Arial" w:hAnsi="Arial" w:eastAsia="黑体" w:cstheme="minorBidi"/>
      <w:b/>
      <w:bCs/>
      <w:kern w:val="2"/>
      <w:sz w:val="32"/>
      <w:szCs w:val="32"/>
    </w:rPr>
  </w:style>
  <w:style w:type="character" w:customStyle="1" w:styleId="81">
    <w:name w:val="ssss Char"/>
    <w:qFormat/>
    <w:uiPriority w:val="0"/>
    <w:rPr>
      <w:rFonts w:eastAsia="宋体"/>
      <w:kern w:val="2"/>
      <w:sz w:val="24"/>
      <w:szCs w:val="24"/>
      <w:lang w:val="en-US" w:eastAsia="zh-CN" w:bidi="ar-SA"/>
    </w:rPr>
  </w:style>
  <w:style w:type="character" w:customStyle="1" w:styleId="82">
    <w:name w:val="FA正文 Char"/>
    <w:link w:val="83"/>
    <w:qFormat/>
    <w:uiPriority w:val="0"/>
    <w:rPr>
      <w:rFonts w:ascii="宋体" w:hAnsi="宋体"/>
      <w:sz w:val="28"/>
      <w:szCs w:val="28"/>
    </w:rPr>
  </w:style>
  <w:style w:type="paragraph" w:customStyle="1" w:styleId="83">
    <w:name w:val="FA正文"/>
    <w:basedOn w:val="1"/>
    <w:link w:val="82"/>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4">
    <w:name w:val="正文文本 3 Char"/>
    <w:link w:val="17"/>
    <w:qFormat/>
    <w:uiPriority w:val="0"/>
    <w:rPr>
      <w:sz w:val="16"/>
      <w:szCs w:val="16"/>
    </w:rPr>
  </w:style>
  <w:style w:type="character" w:customStyle="1" w:styleId="85">
    <w:name w:val="ssss Char1"/>
    <w:link w:val="56"/>
    <w:qFormat/>
    <w:uiPriority w:val="0"/>
    <w:rPr>
      <w:sz w:val="24"/>
      <w:szCs w:val="24"/>
    </w:rPr>
  </w:style>
  <w:style w:type="character" w:customStyle="1" w:styleId="86">
    <w:name w:val="批注文字 Char1"/>
    <w:basedOn w:val="32"/>
    <w:link w:val="13"/>
    <w:qFormat/>
    <w:uiPriority w:val="0"/>
    <w:rPr>
      <w:rFonts w:asciiTheme="minorHAnsi" w:hAnsiTheme="minorHAnsi" w:eastAsiaTheme="minorEastAsia" w:cstheme="minorBidi"/>
      <w:kern w:val="2"/>
      <w:sz w:val="21"/>
      <w:szCs w:val="22"/>
    </w:rPr>
  </w:style>
  <w:style w:type="character" w:customStyle="1" w:styleId="87">
    <w:name w:val="正文文本 3 Char1"/>
    <w:basedOn w:val="32"/>
    <w:link w:val="17"/>
    <w:qFormat/>
    <w:uiPriority w:val="0"/>
    <w:rPr>
      <w:rFonts w:asciiTheme="minorHAnsi" w:hAnsiTheme="minorHAnsi" w:eastAsiaTheme="minorEastAsia" w:cstheme="minorBidi"/>
      <w:kern w:val="2"/>
      <w:sz w:val="16"/>
      <w:szCs w:val="16"/>
    </w:rPr>
  </w:style>
  <w:style w:type="character" w:customStyle="1" w:styleId="88">
    <w:name w:val="正文文本缩进 2 Char1"/>
    <w:basedOn w:val="32"/>
    <w:link w:val="22"/>
    <w:qFormat/>
    <w:uiPriority w:val="0"/>
    <w:rPr>
      <w:rFonts w:asciiTheme="minorHAnsi" w:hAnsiTheme="minorHAnsi" w:eastAsiaTheme="minorEastAsia" w:cstheme="minorBidi"/>
      <w:kern w:val="2"/>
      <w:sz w:val="21"/>
      <w:szCs w:val="22"/>
    </w:rPr>
  </w:style>
  <w:style w:type="character" w:customStyle="1" w:styleId="89">
    <w:name w:val="批注主题 Char1"/>
    <w:basedOn w:val="86"/>
    <w:link w:val="12"/>
    <w:qFormat/>
    <w:uiPriority w:val="0"/>
    <w:rPr>
      <w:b/>
      <w:bCs/>
    </w:rPr>
  </w:style>
  <w:style w:type="character" w:customStyle="1" w:styleId="90">
    <w:name w:val="文档结构图 Char2"/>
    <w:basedOn w:val="32"/>
    <w:link w:val="16"/>
    <w:qFormat/>
    <w:uiPriority w:val="0"/>
    <w:rPr>
      <w:rFonts w:ascii="宋体" w:hAnsiTheme="minorHAnsi" w:cstheme="minorBidi"/>
      <w:kern w:val="2"/>
      <w:sz w:val="18"/>
      <w:szCs w:val="18"/>
    </w:rPr>
  </w:style>
  <w:style w:type="character" w:customStyle="1" w:styleId="91">
    <w:name w:val="正文文本 Char1"/>
    <w:basedOn w:val="32"/>
    <w:link w:val="15"/>
    <w:qFormat/>
    <w:uiPriority w:val="0"/>
    <w:rPr>
      <w:rFonts w:asciiTheme="minorHAnsi" w:hAnsiTheme="minorHAnsi" w:eastAsiaTheme="minorEastAsia" w:cstheme="minorBidi"/>
      <w:kern w:val="2"/>
      <w:sz w:val="21"/>
      <w:szCs w:val="22"/>
    </w:rPr>
  </w:style>
  <w:style w:type="character" w:customStyle="1" w:styleId="92">
    <w:name w:val="正文首行缩进 Char1"/>
    <w:basedOn w:val="91"/>
    <w:link w:val="14"/>
    <w:qFormat/>
    <w:uiPriority w:val="0"/>
  </w:style>
  <w:style w:type="character" w:customStyle="1" w:styleId="93">
    <w:name w:val="正文文本缩进 3 Char1"/>
    <w:basedOn w:val="32"/>
    <w:link w:val="28"/>
    <w:qFormat/>
    <w:uiPriority w:val="0"/>
    <w:rPr>
      <w:rFonts w:asciiTheme="minorHAnsi" w:hAnsiTheme="minorHAnsi" w:eastAsiaTheme="minorEastAsia" w:cstheme="minorBidi"/>
      <w:kern w:val="2"/>
      <w:sz w:val="16"/>
      <w:szCs w:val="16"/>
    </w:rPr>
  </w:style>
  <w:style w:type="character" w:customStyle="1" w:styleId="94">
    <w:name w:val="纯文本 Char1"/>
    <w:basedOn w:val="32"/>
    <w:link w:val="20"/>
    <w:qFormat/>
    <w:uiPriority w:val="0"/>
    <w:rPr>
      <w:rFonts w:ascii="宋体" w:hAnsi="Courier New" w:cs="Courier New"/>
      <w:kern w:val="2"/>
      <w:sz w:val="21"/>
      <w:szCs w:val="21"/>
    </w:rPr>
  </w:style>
  <w:style w:type="character" w:customStyle="1" w:styleId="95">
    <w:name w:val="正文文本 2 Char1"/>
    <w:basedOn w:val="32"/>
    <w:link w:val="30"/>
    <w:qFormat/>
    <w:uiPriority w:val="0"/>
    <w:rPr>
      <w:rFonts w:asciiTheme="minorHAnsi" w:hAnsiTheme="minorHAnsi" w:eastAsiaTheme="minorEastAsia" w:cstheme="minorBidi"/>
      <w:kern w:val="2"/>
      <w:sz w:val="21"/>
      <w:szCs w:val="22"/>
    </w:rPr>
  </w:style>
  <w:style w:type="paragraph" w:customStyle="1" w:styleId="96">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7">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8">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9">
    <w:name w:val="Char"/>
    <w:basedOn w:val="1"/>
    <w:qFormat/>
    <w:uiPriority w:val="0"/>
    <w:rPr>
      <w:rFonts w:ascii="Tahoma" w:hAnsi="Tahoma" w:eastAsia="宋体" w:cs="Times New Roman"/>
      <w:sz w:val="24"/>
      <w:szCs w:val="20"/>
    </w:rPr>
  </w:style>
  <w:style w:type="paragraph" w:customStyle="1" w:styleId="100">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101">
    <w:name w:val="Char Char Char Char"/>
    <w:basedOn w:val="1"/>
    <w:qFormat/>
    <w:uiPriority w:val="0"/>
    <w:rPr>
      <w:rFonts w:ascii="Tahoma" w:hAnsi="Tahoma" w:eastAsia="宋体" w:cs="Times New Roman"/>
      <w:sz w:val="24"/>
      <w:szCs w:val="20"/>
    </w:rPr>
  </w:style>
  <w:style w:type="paragraph" w:customStyle="1" w:styleId="102">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3">
    <w:name w:val="样式 正文文本缩进 3 + 四号"/>
    <w:basedOn w:val="28"/>
    <w:qFormat/>
    <w:uiPriority w:val="0"/>
    <w:pPr>
      <w:spacing w:after="0" w:line="360" w:lineRule="auto"/>
      <w:ind w:left="0" w:leftChars="0" w:firstLine="437"/>
    </w:pPr>
    <w:rPr>
      <w:sz w:val="24"/>
      <w:szCs w:val="21"/>
    </w:rPr>
  </w:style>
  <w:style w:type="paragraph" w:customStyle="1" w:styleId="104">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5">
    <w:name w:val="样式 ssss + 宋体 五号"/>
    <w:basedOn w:val="56"/>
    <w:qFormat/>
    <w:uiPriority w:val="0"/>
    <w:pPr>
      <w:ind w:firstLine="420"/>
    </w:pPr>
    <w:rPr>
      <w:rFonts w:ascii="宋体" w:hAnsi="宋体" w:cs="宋体"/>
      <w:szCs w:val="20"/>
    </w:rPr>
  </w:style>
  <w:style w:type="paragraph" w:customStyle="1" w:styleId="106">
    <w:name w:val="表格"/>
    <w:basedOn w:val="1"/>
    <w:qFormat/>
    <w:uiPriority w:val="0"/>
    <w:rPr>
      <w:rFonts w:ascii="Arial" w:hAnsi="Arial" w:eastAsia="宋体" w:cs="Times New Roman"/>
      <w:sz w:val="24"/>
      <w:szCs w:val="24"/>
    </w:rPr>
  </w:style>
  <w:style w:type="paragraph" w:customStyle="1" w:styleId="107">
    <w:name w:val="标题------4"/>
    <w:basedOn w:val="5"/>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8">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9">
    <w:name w:val="样式 样式 ssss + 宋体 五号 + 首行缩进:  2 字符"/>
    <w:basedOn w:val="105"/>
    <w:qFormat/>
    <w:uiPriority w:val="0"/>
    <w:pPr>
      <w:ind w:firstLine="480"/>
    </w:pPr>
  </w:style>
  <w:style w:type="paragraph" w:customStyle="1" w:styleId="110">
    <w:name w:val="标题-----3"/>
    <w:basedOn w:val="4"/>
    <w:qFormat/>
    <w:uiPriority w:val="0"/>
    <w:pPr>
      <w:spacing w:before="0" w:after="0" w:line="240" w:lineRule="auto"/>
      <w:outlineLvl w:val="0"/>
    </w:pPr>
    <w:rPr>
      <w:rFonts w:ascii="宋体" w:hAnsi="宋体"/>
      <w:b w:val="0"/>
      <w:bCs w:val="0"/>
      <w:sz w:val="28"/>
      <w:szCs w:val="28"/>
    </w:rPr>
  </w:style>
  <w:style w:type="paragraph" w:customStyle="1" w:styleId="111">
    <w:name w:val="Char Char Char Char Char Char Char Char Char Char"/>
    <w:basedOn w:val="1"/>
    <w:qFormat/>
    <w:uiPriority w:val="0"/>
    <w:rPr>
      <w:rFonts w:ascii="Tahoma" w:hAnsi="Tahoma" w:eastAsia="宋体" w:cs="Times New Roman"/>
      <w:sz w:val="24"/>
      <w:szCs w:val="20"/>
    </w:rPr>
  </w:style>
  <w:style w:type="paragraph" w:customStyle="1" w:styleId="112">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3">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4">
    <w:name w:val="Char Char Char Char1"/>
    <w:basedOn w:val="1"/>
    <w:qFormat/>
    <w:uiPriority w:val="0"/>
    <w:rPr>
      <w:rFonts w:ascii="Tahoma" w:hAnsi="Tahoma" w:eastAsia="宋体" w:cs="Times New Roman"/>
      <w:sz w:val="24"/>
      <w:szCs w:val="20"/>
    </w:rPr>
  </w:style>
  <w:style w:type="paragraph" w:customStyle="1" w:styleId="115">
    <w:name w:val="Char Char Char"/>
    <w:basedOn w:val="1"/>
    <w:qFormat/>
    <w:uiPriority w:val="0"/>
    <w:rPr>
      <w:rFonts w:ascii="Tahoma" w:hAnsi="Tahoma" w:eastAsia="宋体" w:cs="Times New Roman"/>
      <w:sz w:val="24"/>
      <w:szCs w:val="20"/>
    </w:rPr>
  </w:style>
  <w:style w:type="paragraph" w:customStyle="1" w:styleId="116">
    <w:name w:val="Char1"/>
    <w:basedOn w:val="1"/>
    <w:qFormat/>
    <w:uiPriority w:val="0"/>
    <w:pPr>
      <w:tabs>
        <w:tab w:val="left" w:pos="360"/>
      </w:tabs>
    </w:pPr>
    <w:rPr>
      <w:rFonts w:ascii="Times New Roman" w:hAnsi="Times New Roman" w:eastAsia="宋体" w:cs="Times New Roman"/>
      <w:sz w:val="24"/>
      <w:szCs w:val="24"/>
    </w:rPr>
  </w:style>
  <w:style w:type="paragraph" w:customStyle="1" w:styleId="117">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8">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9">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20">
    <w:name w:val="样式 ssss + 居中"/>
    <w:basedOn w:val="56"/>
    <w:qFormat/>
    <w:uiPriority w:val="0"/>
    <w:pPr>
      <w:jc w:val="center"/>
    </w:pPr>
    <w:rPr>
      <w:rFonts w:cs="宋体"/>
      <w:szCs w:val="20"/>
    </w:rPr>
  </w:style>
  <w:style w:type="paragraph" w:customStyle="1" w:styleId="121">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2">
    <w:name w:val="Heading 2 Char"/>
    <w:basedOn w:val="32"/>
    <w:qFormat/>
    <w:locked/>
    <w:uiPriority w:val="99"/>
    <w:rPr>
      <w:rFonts w:ascii="Arial" w:hAnsi="Arial" w:eastAsia="黑体" w:cs="Times New Roman"/>
      <w:b/>
      <w:bCs/>
      <w:sz w:val="32"/>
      <w:szCs w:val="32"/>
    </w:rPr>
  </w:style>
  <w:style w:type="paragraph" w:customStyle="1" w:styleId="123">
    <w:name w:val="列出段落3"/>
    <w:basedOn w:val="1"/>
    <w:unhideWhenUsed/>
    <w:qFormat/>
    <w:uiPriority w:val="99"/>
    <w:pPr>
      <w:ind w:firstLine="420" w:firstLineChars="200"/>
    </w:pPr>
  </w:style>
  <w:style w:type="paragraph" w:customStyle="1" w:styleId="124">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5">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126">
    <w:name w:val="列出段落4"/>
    <w:basedOn w:val="1"/>
    <w:unhideWhenUsed/>
    <w:qFormat/>
    <w:uiPriority w:val="99"/>
    <w:pPr>
      <w:ind w:firstLine="420" w:firstLineChars="200"/>
    </w:pPr>
  </w:style>
  <w:style w:type="paragraph" w:customStyle="1" w:styleId="127">
    <w:name w:val="正文正文"/>
    <w:basedOn w:val="1"/>
    <w:qFormat/>
    <w:uiPriority w:val="0"/>
    <w:pPr>
      <w:spacing w:beforeLines="50" w:afterLines="50"/>
      <w:ind w:firstLine="200" w:firstLineChars="200"/>
    </w:pPr>
    <w:rPr>
      <w:rFonts w:ascii="Times New Roman" w:hAnsi="Times New Roman" w:eastAsia="宋体"/>
      <w:sz w:val="24"/>
    </w:rPr>
  </w:style>
  <w:style w:type="paragraph" w:customStyle="1" w:styleId="128">
    <w:name w:val="报告正文"/>
    <w:basedOn w:val="1"/>
    <w:qFormat/>
    <w:uiPriority w:val="0"/>
    <w:pPr>
      <w:adjustRightInd w:val="0"/>
      <w:snapToGrid w:val="0"/>
      <w:spacing w:before="100" w:beforeAutospacing="1" w:after="100" w:afterAutospacing="1" w:line="288" w:lineRule="auto"/>
      <w:ind w:left="3060" w:leftChars="1700"/>
    </w:pPr>
    <w:rPr>
      <w:rFonts w:ascii="华文细黑" w:hAnsi="华文细黑" w:eastAsia="华文细黑" w:cs="宋体"/>
      <w:szCs w:val="21"/>
    </w:rPr>
  </w:style>
  <w:style w:type="paragraph" w:customStyle="1" w:styleId="129">
    <w:name w:val="AA-正文"/>
    <w:basedOn w:val="1"/>
    <w:qFormat/>
    <w:uiPriority w:val="0"/>
    <w:pPr>
      <w:spacing w:afterLines="70" w:line="360" w:lineRule="auto"/>
      <w:ind w:firstLine="200" w:firstLineChars="200"/>
    </w:pPr>
    <w:rPr>
      <w:rFonts w:ascii="宋体" w:hAnsi="宋体" w:eastAsia="宋体" w:cs="Times New Roman"/>
    </w:rPr>
  </w:style>
  <w:style w:type="character" w:customStyle="1" w:styleId="130">
    <w:name w:val="font01"/>
    <w:basedOn w:val="32"/>
    <w:qFormat/>
    <w:uiPriority w:val="0"/>
    <w:rPr>
      <w:rFonts w:hint="eastAsia" w:ascii="仿宋_GB2312" w:hAnsi="Calibri" w:eastAsia="仿宋_GB2312" w:cs="仿宋_GB2312"/>
      <w:color w:val="FF0000"/>
      <w:sz w:val="24"/>
      <w:szCs w:val="24"/>
      <w:u w:val="none"/>
    </w:rPr>
  </w:style>
  <w:style w:type="paragraph" w:customStyle="1" w:styleId="131">
    <w:name w:val="_Style 2"/>
    <w:qFormat/>
    <w:uiPriority w:val="1"/>
    <w:pPr>
      <w:widowControl w:val="0"/>
      <w:spacing w:beforeAutospacing="1" w:afterAutospacing="1"/>
      <w:ind w:firstLine="200" w:firstLineChars="200"/>
      <w:jc w:val="both"/>
    </w:pPr>
    <w:rPr>
      <w:rFonts w:ascii="Times New Roman" w:hAnsi="Times New Roman" w:eastAsia="宋体" w:cs="Times New Roman"/>
      <w:kern w:val="2"/>
      <w:sz w:val="21"/>
      <w:szCs w:val="22"/>
      <w:lang w:val="en-US" w:eastAsia="zh-CN" w:bidi="ar-SA"/>
    </w:rPr>
  </w:style>
  <w:style w:type="paragraph" w:styleId="132">
    <w:name w:val="No Spacing"/>
    <w:qFormat/>
    <w:uiPriority w:val="1"/>
    <w:pPr>
      <w:widowControl w:val="0"/>
      <w:spacing w:beforeAutospacing="1" w:afterAutospacing="1"/>
      <w:ind w:firstLine="200" w:firstLineChars="200"/>
      <w:jc w:val="both"/>
    </w:pPr>
    <w:rPr>
      <w:rFonts w:ascii="Times New Roman" w:hAnsi="Times New Roman" w:eastAsia="宋体" w:cs="Times New Roman"/>
      <w:kern w:val="2"/>
      <w:sz w:val="21"/>
      <w:szCs w:val="22"/>
      <w:lang w:val="en-US" w:eastAsia="zh-CN" w:bidi="ar-SA"/>
    </w:rPr>
  </w:style>
  <w:style w:type="paragraph" w:customStyle="1" w:styleId="133">
    <w:name w:val="无间隔2"/>
    <w:qFormat/>
    <w:uiPriority w:val="1"/>
    <w:pPr>
      <w:widowControl w:val="0"/>
      <w:spacing w:beforeLines="50" w:afterLines="50"/>
      <w:ind w:firstLine="200" w:firstLineChars="200"/>
      <w:jc w:val="both"/>
    </w:pPr>
    <w:rPr>
      <w:rFonts w:ascii="Calibri" w:hAnsi="Calibri" w:eastAsia="宋体" w:cs="Times New Roman"/>
      <w:kern w:val="2"/>
      <w:sz w:val="24"/>
      <w:szCs w:val="21"/>
      <w:lang w:val="en-US" w:eastAsia="zh-CN" w:bidi="ar-SA"/>
    </w:rPr>
  </w:style>
  <w:style w:type="paragraph" w:customStyle="1" w:styleId="134">
    <w:name w:val="样式 行距: 1.5 倍行距"/>
    <w:basedOn w:val="1"/>
    <w:qFormat/>
    <w:uiPriority w:val="0"/>
    <w:pPr>
      <w:widowControl/>
      <w:ind w:firstLine="420"/>
      <w:jc w:val="left"/>
    </w:pPr>
    <w:rPr>
      <w:rFonts w:ascii="宋体" w:hAnsi="宋体" w:eastAsia="宋体" w:cs="宋体"/>
      <w:kern w:val="0"/>
      <w:szCs w:val="24"/>
    </w:rPr>
  </w:style>
  <w:style w:type="paragraph" w:customStyle="1" w:styleId="135">
    <w:name w:val="TOC 标题2"/>
    <w:basedOn w:val="2"/>
    <w:next w:val="1"/>
    <w:unhideWhenUsed/>
    <w:qFormat/>
    <w:uiPriority w:val="39"/>
    <w:pPr>
      <w:widowControl/>
      <w:spacing w:before="480" w:after="0" w:line="276" w:lineRule="auto"/>
      <w:ind w:firstLine="0" w:firstLineChars="0"/>
      <w:jc w:val="left"/>
      <w:outlineLvl w:val="9"/>
    </w:pPr>
    <w:rPr>
      <w:rFonts w:asciiTheme="majorHAnsi" w:hAnsiTheme="majorHAnsi" w:eastAsiaTheme="majorEastAsia" w:cstheme="majorBidi"/>
      <w:color w:val="2E75B5" w:themeColor="accent1" w:themeShade="BF"/>
      <w:kern w:val="0"/>
      <w:sz w:val="28"/>
      <w:szCs w:val="28"/>
    </w:rPr>
  </w:style>
  <w:style w:type="paragraph" w:customStyle="1" w:styleId="136">
    <w:name w:val="Mr.Moon1"/>
    <w:basedOn w:val="2"/>
    <w:qFormat/>
    <w:uiPriority w:val="0"/>
    <w:pPr>
      <w:pageBreakBefore/>
      <w:numPr>
        <w:ilvl w:val="0"/>
        <w:numId w:val="2"/>
      </w:numPr>
      <w:adjustRightInd w:val="0"/>
      <w:spacing w:before="0" w:after="0" w:line="360" w:lineRule="auto"/>
      <w:ind w:firstLineChars="0"/>
      <w:jc w:val="left"/>
    </w:pPr>
    <w:rPr>
      <w:rFonts w:ascii="Times New Roman" w:hAnsi="Times New Roman" w:eastAsia="黑体"/>
      <w:sz w:val="32"/>
    </w:rPr>
  </w:style>
  <w:style w:type="paragraph" w:customStyle="1" w:styleId="137">
    <w:name w:val="Mr.Moon2"/>
    <w:basedOn w:val="3"/>
    <w:qFormat/>
    <w:uiPriority w:val="0"/>
    <w:pPr>
      <w:numPr>
        <w:ilvl w:val="1"/>
        <w:numId w:val="3"/>
      </w:numPr>
      <w:spacing w:beforeLines="25" w:afterLines="25" w:line="360" w:lineRule="auto"/>
      <w:ind w:firstLineChars="0"/>
    </w:pPr>
    <w:rPr>
      <w:rFonts w:ascii="黑体" w:hAnsi="黑体" w:eastAsia="黑体"/>
      <w:szCs w:val="24"/>
    </w:rPr>
  </w:style>
  <w:style w:type="paragraph" w:customStyle="1" w:styleId="138">
    <w:name w:val="！正文"/>
    <w:basedOn w:val="1"/>
    <w:qFormat/>
    <w:uiPriority w:val="0"/>
    <w:rPr>
      <w:rFonts w:ascii="Calibri" w:hAnsi="Calibri" w:eastAsia="宋体"/>
      <w:szCs w:val="21"/>
    </w:rPr>
  </w:style>
  <w:style w:type="paragraph" w:customStyle="1" w:styleId="139">
    <w:name w:val="Mr.Moon正文"/>
    <w:basedOn w:val="1"/>
    <w:qFormat/>
    <w:uiPriority w:val="0"/>
    <w:pPr>
      <w:snapToGrid w:val="0"/>
    </w:pPr>
    <w:rPr>
      <w:rFonts w:ascii="Time new roman" w:hAnsi="Time new roman"/>
      <w:szCs w:val="24"/>
    </w:rPr>
  </w:style>
  <w:style w:type="paragraph" w:customStyle="1" w:styleId="140">
    <w:name w:val="Mr.Moon3"/>
    <w:basedOn w:val="4"/>
    <w:qFormat/>
    <w:uiPriority w:val="0"/>
    <w:pPr>
      <w:numPr>
        <w:ilvl w:val="2"/>
        <w:numId w:val="2"/>
      </w:numPr>
      <w:spacing w:before="0" w:after="0" w:line="360" w:lineRule="auto"/>
      <w:ind w:left="240" w:leftChars="100" w:right="240" w:rightChars="100" w:firstLineChars="0"/>
    </w:pPr>
    <w:rPr>
      <w:rFonts w:ascii="黑体" w:hAnsi="黑体" w:eastAsia="黑体"/>
      <w:sz w:val="30"/>
      <w:shd w:val="clear" w:color="auto" w:fill="FFFFFF"/>
    </w:rPr>
  </w:style>
  <w:style w:type="character" w:customStyle="1" w:styleId="141">
    <w:name w:val="font71"/>
    <w:basedOn w:val="32"/>
    <w:qFormat/>
    <w:uiPriority w:val="0"/>
    <w:rPr>
      <w:rFonts w:hint="eastAsia" w:ascii="宋体" w:hAnsi="宋体" w:eastAsia="宋体" w:cs="宋体"/>
      <w:b/>
      <w:color w:val="000000"/>
      <w:sz w:val="24"/>
      <w:szCs w:val="24"/>
      <w:u w:val="none"/>
    </w:rPr>
  </w:style>
  <w:style w:type="character" w:customStyle="1" w:styleId="142">
    <w:name w:val="font91"/>
    <w:basedOn w:val="32"/>
    <w:qFormat/>
    <w:uiPriority w:val="0"/>
    <w:rPr>
      <w:rFonts w:hint="eastAsia" w:ascii="宋体" w:hAnsi="宋体" w:eastAsia="宋体" w:cs="宋体"/>
      <w:b/>
      <w:color w:val="000000"/>
      <w:sz w:val="24"/>
      <w:szCs w:val="24"/>
      <w:u w:val="none"/>
      <w:vertAlign w:val="superscript"/>
    </w:rPr>
  </w:style>
  <w:style w:type="character" w:customStyle="1" w:styleId="143">
    <w:name w:val="font11"/>
    <w:basedOn w:val="32"/>
    <w:qFormat/>
    <w:uiPriority w:val="0"/>
    <w:rPr>
      <w:rFonts w:hint="eastAsia" w:ascii="宋体" w:hAnsi="宋体" w:eastAsia="宋体" w:cs="宋体"/>
      <w:color w:val="000000"/>
      <w:sz w:val="24"/>
      <w:szCs w:val="24"/>
      <w:u w:val="none"/>
    </w:rPr>
  </w:style>
  <w:style w:type="character" w:customStyle="1" w:styleId="144">
    <w:name w:val="font31"/>
    <w:basedOn w:val="32"/>
    <w:qFormat/>
    <w:uiPriority w:val="0"/>
    <w:rPr>
      <w:rFonts w:hint="eastAsia" w:ascii="宋体" w:hAnsi="宋体" w:eastAsia="宋体" w:cs="宋体"/>
      <w:color w:val="000000"/>
      <w:sz w:val="24"/>
      <w:szCs w:val="24"/>
      <w:u w:val="none"/>
      <w:vertAlign w:val="subscript"/>
    </w:rPr>
  </w:style>
  <w:style w:type="character" w:customStyle="1" w:styleId="145">
    <w:name w:val="font51"/>
    <w:basedOn w:val="32"/>
    <w:qFormat/>
    <w:uiPriority w:val="0"/>
    <w:rPr>
      <w:rFonts w:hint="eastAsia" w:ascii="宋体" w:hAnsi="宋体" w:eastAsia="宋体" w:cs="宋体"/>
      <w:b/>
      <w:color w:val="000000"/>
      <w:sz w:val="21"/>
      <w:szCs w:val="21"/>
      <w:u w:val="none"/>
    </w:rPr>
  </w:style>
  <w:style w:type="character" w:customStyle="1" w:styleId="146">
    <w:name w:val="font41"/>
    <w:basedOn w:val="3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783BF3-6452-4742-B7C0-312344B6246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63</Pages>
  <Words>6114</Words>
  <Characters>34853</Characters>
  <Lines>290</Lines>
  <Paragraphs>81</Paragraphs>
  <TotalTime>34</TotalTime>
  <ScaleCrop>false</ScaleCrop>
  <LinksUpToDate>false</LinksUpToDate>
  <CharactersWithSpaces>40886</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dell</cp:lastModifiedBy>
  <cp:lastPrinted>2018-06-20T07:01:00Z</cp:lastPrinted>
  <dcterms:modified xsi:type="dcterms:W3CDTF">2018-07-04T03:00:32Z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