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045</w:t>
      </w:r>
      <w:r>
        <w:rPr>
          <w:rFonts w:hint="eastAsia" w:ascii="仿宋_GB2312" w:hAnsi="微软雅黑" w:eastAsia="仿宋_GB2312" w:cs="仿宋_GB2312"/>
          <w:b/>
          <w:color w:val="000000"/>
          <w:kern w:val="0"/>
          <w:sz w:val="36"/>
          <w:szCs w:val="36"/>
          <w:shd w:val="clear" w:color="auto" w:fill="FFFFFF"/>
        </w:rPr>
        <w:t>号许昌市妇幼保健院所需“移动式X射线机等医疗设备”采购项目采购需求、评标标准等说明</w:t>
      </w:r>
    </w:p>
    <w:p>
      <w:pPr>
        <w:widowControl/>
        <w:shd w:val="clear" w:color="auto" w:fill="FFFFFF"/>
        <w:spacing w:line="360" w:lineRule="auto"/>
        <w:contextualSpacing/>
        <w:jc w:val="left"/>
        <w:rPr>
          <w:rFonts w:cs="仿宋_GB2312" w:asciiTheme="minorEastAsia" w:hAnsiTheme="minorEastAsia"/>
          <w:b/>
          <w:sz w:val="24"/>
          <w:szCs w:val="24"/>
          <w:lang w:val="zh-CN"/>
        </w:rPr>
      </w:pPr>
      <w:r>
        <w:rPr>
          <w:rFonts w:hint="eastAsia" w:cs="仿宋_GB2312" w:asciiTheme="minorEastAsia" w:hAnsiTheme="minorEastAsia"/>
          <w:sz w:val="24"/>
          <w:szCs w:val="24"/>
          <w:lang w:val="zh-CN"/>
        </w:rPr>
        <w:t xml:space="preserve">  </w:t>
      </w:r>
      <w:r>
        <w:rPr>
          <w:rFonts w:hint="eastAsia" w:cs="仿宋_GB2312" w:asciiTheme="minorEastAsia" w:hAnsiTheme="minorEastAsia"/>
          <w:b/>
          <w:sz w:val="24"/>
          <w:szCs w:val="24"/>
          <w:lang w:val="zh-CN"/>
        </w:rPr>
        <w:t>一、项目基本情况</w:t>
      </w:r>
    </w:p>
    <w:p>
      <w:pPr>
        <w:widowControl/>
        <w:shd w:val="clear" w:color="auto" w:fill="FFFFFF"/>
        <w:spacing w:line="360" w:lineRule="auto"/>
        <w:ind w:firstLine="42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（一）项目名称：许昌市妇幼保健院所需“移动式X射线机等医疗设备”采购项目</w:t>
      </w:r>
    </w:p>
    <w:p>
      <w:pPr>
        <w:widowControl/>
        <w:shd w:val="clear" w:color="auto" w:fill="FFFFFF"/>
        <w:spacing w:line="360" w:lineRule="auto"/>
        <w:ind w:firstLine="42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（二）项目编号：</w:t>
      </w:r>
      <w:r>
        <w:rPr>
          <w:rFonts w:hint="eastAsia" w:cs="仿宋_GB2312" w:asciiTheme="minorEastAsia" w:hAnsiTheme="minorEastAsia"/>
          <w:sz w:val="24"/>
          <w:szCs w:val="24"/>
          <w:lang w:val="en-US" w:eastAsia="zh-CN"/>
        </w:rPr>
        <w:t>YLZB</w:t>
      </w:r>
      <w:r>
        <w:rPr>
          <w:rFonts w:hint="eastAsia" w:cs="仿宋_GB2312" w:asciiTheme="minorEastAsia" w:hAnsiTheme="minorEastAsia"/>
          <w:sz w:val="24"/>
          <w:szCs w:val="24"/>
          <w:lang w:val="zh-CN"/>
        </w:rPr>
        <w:t>-G2018</w:t>
      </w:r>
      <w:r>
        <w:rPr>
          <w:rFonts w:hint="eastAsia" w:cs="仿宋_GB2312" w:asciiTheme="minorEastAsia" w:hAnsiTheme="minorEastAsia"/>
          <w:sz w:val="24"/>
          <w:szCs w:val="24"/>
          <w:lang w:val="en-US" w:eastAsia="zh-CN"/>
        </w:rPr>
        <w:t>045</w:t>
      </w:r>
      <w:r>
        <w:rPr>
          <w:rFonts w:hint="eastAsia" w:cs="仿宋_GB2312" w:asciiTheme="minorEastAsia" w:hAnsiTheme="minorEastAsia"/>
          <w:sz w:val="24"/>
          <w:szCs w:val="24"/>
          <w:lang w:val="zh-CN"/>
        </w:rPr>
        <w:t xml:space="preserve">号    </w:t>
      </w:r>
    </w:p>
    <w:p>
      <w:pPr>
        <w:widowControl/>
        <w:shd w:val="clear" w:color="auto" w:fill="FFFFFF"/>
        <w:spacing w:line="360" w:lineRule="auto"/>
        <w:ind w:firstLine="42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（三）采购方式：公开招标                                                                                                                          </w:t>
      </w:r>
    </w:p>
    <w:p>
      <w:pPr>
        <w:widowControl/>
        <w:shd w:val="clear" w:color="auto" w:fill="FFFFFF"/>
        <w:spacing w:line="360" w:lineRule="auto"/>
        <w:ind w:firstLine="42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（四）项目主要内容、数量及要求：采购移动式X射线机1台、婴儿光疗暖箱8台、辐射式新生儿抢救台9台。</w:t>
      </w:r>
    </w:p>
    <w:p>
      <w:pPr>
        <w:widowControl/>
        <w:numPr>
          <w:ilvl w:val="0"/>
          <w:numId w:val="0"/>
        </w:numPr>
        <w:shd w:val="clear" w:color="auto" w:fill="FFFFFF"/>
        <w:spacing w:line="360" w:lineRule="auto"/>
        <w:ind w:firstLine="480" w:firstLineChars="20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（五）预算金额：</w:t>
      </w:r>
      <w:r>
        <w:rPr>
          <w:rFonts w:cs="仿宋_GB2312" w:asciiTheme="minorEastAsia" w:hAnsiTheme="minorEastAsia"/>
          <w:sz w:val="24"/>
          <w:szCs w:val="24"/>
          <w:lang w:val="zh-CN"/>
        </w:rPr>
        <w:t>211.2</w:t>
      </w:r>
      <w:r>
        <w:rPr>
          <w:rFonts w:hint="eastAsia" w:cs="仿宋_GB2312" w:asciiTheme="minorEastAsia" w:hAnsiTheme="minorEastAsia"/>
          <w:sz w:val="24"/>
          <w:szCs w:val="24"/>
          <w:lang w:val="zh-CN"/>
        </w:rPr>
        <w:t>万元；最高限价：</w:t>
      </w:r>
      <w:r>
        <w:rPr>
          <w:rFonts w:cs="仿宋_GB2312" w:asciiTheme="minorEastAsia" w:hAnsiTheme="minorEastAsia"/>
          <w:sz w:val="24"/>
          <w:szCs w:val="24"/>
          <w:lang w:val="zh-CN"/>
        </w:rPr>
        <w:t>211.2</w:t>
      </w:r>
      <w:r>
        <w:rPr>
          <w:rFonts w:hint="eastAsia" w:cs="仿宋_GB2312" w:asciiTheme="minorEastAsia" w:hAnsiTheme="minorEastAsia"/>
          <w:sz w:val="24"/>
          <w:szCs w:val="24"/>
          <w:lang w:val="zh-CN"/>
        </w:rPr>
        <w:t>万元</w:t>
      </w:r>
    </w:p>
    <w:p>
      <w:pPr>
        <w:widowControl/>
        <w:shd w:val="clear" w:color="auto" w:fill="FFFFFF"/>
        <w:spacing w:line="360" w:lineRule="auto"/>
        <w:ind w:firstLine="42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（六）交付时间 ：合同签订后30天内</w:t>
      </w:r>
    </w:p>
    <w:p>
      <w:pPr>
        <w:widowControl/>
        <w:shd w:val="clear" w:color="auto" w:fill="FFFFFF"/>
        <w:spacing w:line="360" w:lineRule="auto"/>
        <w:ind w:firstLine="420"/>
        <w:contextualSpacing/>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（七）交付地点：许昌市妇幼保健院新院区</w:t>
      </w:r>
    </w:p>
    <w:p>
      <w:pPr>
        <w:widowControl/>
        <w:shd w:val="clear" w:color="auto" w:fill="FFFFFF"/>
        <w:spacing w:line="360" w:lineRule="auto"/>
        <w:ind w:firstLine="420"/>
        <w:contextualSpacing/>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（八）进口产品：不允许</w:t>
      </w:r>
    </w:p>
    <w:p>
      <w:pPr>
        <w:widowControl/>
        <w:shd w:val="clear" w:color="auto" w:fill="FFFFFF"/>
        <w:spacing w:line="360" w:lineRule="auto"/>
        <w:ind w:firstLine="420"/>
        <w:contextualSpacing/>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（九）分包：不允许</w:t>
      </w:r>
    </w:p>
    <w:p>
      <w:pPr>
        <w:widowControl/>
        <w:shd w:val="clear" w:color="auto" w:fill="FFFFFF"/>
        <w:spacing w:line="360" w:lineRule="auto"/>
        <w:ind w:firstLine="420"/>
        <w:contextualSpacing/>
        <w:jc w:val="left"/>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二、需要落实的政府采购政策</w:t>
      </w:r>
    </w:p>
    <w:p>
      <w:pPr>
        <w:widowControl/>
        <w:shd w:val="clear" w:color="auto" w:fill="FFFFFF"/>
        <w:spacing w:line="360" w:lineRule="auto"/>
        <w:ind w:firstLine="42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本项目落实节能环保、中小微型企业、监狱企业、残疾人福利性单位扶持等相关政府采购政策。</w:t>
      </w:r>
    </w:p>
    <w:p>
      <w:pPr>
        <w:widowControl/>
        <w:shd w:val="clear" w:color="auto" w:fill="FFFFFF"/>
        <w:spacing w:line="360" w:lineRule="auto"/>
        <w:ind w:firstLine="420"/>
        <w:contextualSpacing/>
        <w:jc w:val="left"/>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三、投标人资格要求</w:t>
      </w:r>
    </w:p>
    <w:p>
      <w:pPr>
        <w:widowControl/>
        <w:shd w:val="clear" w:color="auto" w:fill="FFFFFF"/>
        <w:spacing w:line="360" w:lineRule="auto"/>
        <w:ind w:firstLine="42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（一）符合《中华人民共和国政府采购法》第二十二条之规定；</w:t>
      </w:r>
    </w:p>
    <w:p>
      <w:pPr>
        <w:widowControl/>
        <w:shd w:val="clear" w:color="auto" w:fill="FFFFFF"/>
        <w:spacing w:line="360" w:lineRule="auto"/>
        <w:ind w:firstLine="42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widowControl/>
        <w:shd w:val="clear" w:color="auto" w:fill="FFFFFF"/>
        <w:spacing w:line="360" w:lineRule="auto"/>
        <w:ind w:firstLine="480" w:firstLineChars="20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(三)</w:t>
      </w:r>
      <w:r>
        <w:rPr>
          <w:rFonts w:cs="仿宋_GB2312" w:asciiTheme="minorEastAsia" w:hAnsiTheme="minorEastAsia"/>
          <w:sz w:val="24"/>
          <w:szCs w:val="24"/>
          <w:lang w:val="zh-CN"/>
        </w:rPr>
        <w:t xml:space="preserve"> 未被列入“信用中国”网站(www.creditchina.gov.cn)失信被执行人、重大税收违法案件当事人名单、政府采购严重违法失信名单的投标人；</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中国政府采购网</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 xml:space="preserve"> (www.ccgp.gov.cn)政府采购严重违法失信行为记录名单的投标人</w:t>
      </w:r>
      <w:r>
        <w:rPr>
          <w:rFonts w:hint="eastAsia" w:cs="仿宋_GB2312" w:asciiTheme="minorEastAsia" w:hAnsiTheme="minorEastAsia"/>
          <w:sz w:val="24"/>
          <w:szCs w:val="24"/>
          <w:lang w:val="zh-CN"/>
        </w:rPr>
        <w:t>；</w:t>
      </w:r>
    </w:p>
    <w:p>
      <w:pPr>
        <w:widowControl/>
        <w:shd w:val="clear" w:color="auto" w:fill="FFFFFF"/>
        <w:spacing w:line="360" w:lineRule="auto"/>
        <w:ind w:firstLine="42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（四）本次招标不接受联合体投标。</w:t>
      </w:r>
    </w:p>
    <w:p>
      <w:pPr>
        <w:pStyle w:val="4"/>
        <w:shd w:val="clear" w:color="auto" w:fill="FFFFFF"/>
        <w:spacing w:line="360" w:lineRule="auto"/>
        <w:ind w:firstLine="420"/>
        <w:contextualSpacing/>
        <w:rPr>
          <w:rFonts w:cs="仿宋_GB2312" w:asciiTheme="minorEastAsia" w:hAnsiTheme="minorEastAsia" w:eastAsiaTheme="minorEastAsia"/>
          <w:b/>
          <w:color w:val="000000"/>
          <w:shd w:val="clear" w:color="auto" w:fill="FFFFFF"/>
        </w:rPr>
      </w:pPr>
      <w:r>
        <w:rPr>
          <w:rFonts w:hint="eastAsia" w:cs="仿宋_GB2312" w:asciiTheme="minorEastAsia" w:hAnsiTheme="minorEastAsia" w:eastAsiaTheme="minorEastAsia"/>
          <w:b/>
          <w:color w:val="000000"/>
          <w:shd w:val="clear" w:color="auto" w:fill="FFFFFF"/>
        </w:rPr>
        <w:t>四、采购需求</w:t>
      </w:r>
    </w:p>
    <w:p>
      <w:pPr>
        <w:widowControl/>
        <w:shd w:val="clear" w:color="auto" w:fill="FFFFFF"/>
        <w:spacing w:line="360" w:lineRule="auto"/>
        <w:ind w:left="482"/>
        <w:contextualSpacing/>
        <w:jc w:val="left"/>
        <w:rPr>
          <w:rFonts w:hint="eastAsia" w:cs="黑体" w:asciiTheme="minorEastAsia" w:hAnsiTheme="minorEastAsia"/>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r>
        <w:rPr>
          <w:rFonts w:hint="eastAsia" w:cs="黑体" w:asciiTheme="minorEastAsia" w:hAnsiTheme="minorEastAsia"/>
          <w:bCs/>
          <w:color w:val="000000"/>
          <w:sz w:val="24"/>
          <w:szCs w:val="24"/>
          <w:shd w:val="clear" w:color="auto" w:fill="FFFFFF"/>
        </w:rPr>
        <w:t>移动式X射线机1台、婴儿光疗暖箱8台、辐射式新生儿抢救台9台</w:t>
      </w:r>
    </w:p>
    <w:p>
      <w:pPr>
        <w:widowControl/>
        <w:shd w:val="clear" w:color="auto" w:fill="FFFFFF"/>
        <w:spacing w:line="360" w:lineRule="auto"/>
        <w:ind w:left="482"/>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（二）技术参数</w:t>
      </w:r>
    </w:p>
    <w:tbl>
      <w:tblPr>
        <w:tblStyle w:val="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eastAsia="宋体" w:cs="宋体"/>
                <w:color w:val="000000"/>
                <w:sz w:val="20"/>
                <w:szCs w:val="20"/>
              </w:rPr>
            </w:pPr>
            <w:r>
              <w:rPr>
                <w:rFonts w:hint="eastAsia" w:ascii="宋体" w:hAnsi="宋体" w:cs="宋体"/>
                <w:color w:val="000000"/>
                <w:sz w:val="20"/>
                <w:szCs w:val="20"/>
              </w:rPr>
              <w:t>移动式X射线机</w:t>
            </w:r>
          </w:p>
        </w:tc>
        <w:tc>
          <w:tcPr>
            <w:tcW w:w="6737" w:type="dxa"/>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1.摄影机架</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1.1机架类型：旋转立柱+多关节折叠臂。</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★1.2机身最大宽度≤550mm，提供证明材料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1.3球管立柱的旋转角度≥300°。</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★1.4整机重量（含平板探测器）≤400kg, 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1.5设备在行进过程中，具备电动助力功能。</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1.6探测器可随机自动锁止于插槽内，关机后平板不能拔出。</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1.7球管焦点到地面的最高距离≥2200mm。</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1.8配置立式摄影架，满足在科室固定场所的立位检查需求</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1.2.供电系统</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1.2.1机身随机电池可同时供应机器运动和曝光控制所需电力。</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1.2.2充电时间：≤4小时从空到完全充满。</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★1.2.3探测器满电情况下可持续使用≥4小时，或连续拍片≥600张（成人胸片条件）,提供证明材料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1.2.4整机支持220V交流电供电曝光，支持边充电边曝光。</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1.3.探测器</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1.3.1探测器类型：无线平板探测器，可随主机充电, 且具备回缩式把手。</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1.3.2材料组成：碘化铯非晶硅。</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1.3.3探测器有效成像面积≥34x43cm。</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1.3.4像素矩阵≥2370X3000。</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1.3.5像素点大小≤144um。</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1.3.6灰阶≥16bit。</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1.3.7量子检出效率≥60%。</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1.3.8探测器自然冷却</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1.3.9数据传输、控制模式: 探测器与系统之间的数据传输与控制同时支持无线模式。</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★1.3.10为了保证兼容性与稳定性，要求平板探测器须与设备整机为同一品牌，提供证明材料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1.4.X线发生器</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1.4.1最大输出功率：≥50 KW。</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1.4.2逆变频率：≥400 KHz。</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1.4.3电压范围：40-125KV  1KV步进。</w:t>
            </w:r>
          </w:p>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w:t>
            </w:r>
            <w:r>
              <w:rPr>
                <w:rFonts w:hint="eastAsia" w:ascii="宋体" w:hAnsi="宋体" w:eastAsia="宋体" w:cs="宋体"/>
                <w:kern w:val="0"/>
                <w:sz w:val="20"/>
                <w:szCs w:val="20"/>
              </w:rPr>
              <w:t>1.4.4最大电流输出：≥630mA</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1.4.5曝光时间：1ms-8s。</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★1.4.6为了保证兼容性与稳定性，要求高压发生器须与设备整机为同一品牌，提供证明材料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1.5.X线球管</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1.5.1阳极热容量≥300KHU</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1.5.2最大管电压≥150KV</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1.5.3双焦点：小焦点≤0.6；大焦点≤1.2。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1.5.4限束器可在两个方位操作，LED照射野光源。</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★1.5.5具备无线遥控器可控制整机电动移动、远程曝光及延迟曝光功能。</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1.6.图像采集工作站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1.6.1数字化图象处理工作站与整机一体化。</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1.6.2硬盘存储: ≥120G。</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1.6.3内存:  ≥4G。</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1.6.4启动时间≤2分钟。</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1.6.5预设的解剖程序≥800，并提供投照示意图。</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1.6.6图像预览时间≤4秒钟。</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1.6.7图像完全显示时间≤8秒钟。</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1.6.8支持远程升级、远程故障诊断、远程桌面协助。</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1.7.监视器</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1.7.1监视器≥19英寸。</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1.7.2监视器支持多点触碰操作方式。</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1.8.网络</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1.8.1 DICOM3.0接口，具备完全基于DICOM3.0标准的图像获取、传输、刻录、打印、存储等功能。</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1.8.2 .Dicom print 、Dicom MPPS 、Dicom  worklist、Dicom storage and export</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1.9.售后服务要求：</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1.9.1从产品最终验收合格之日起，主机保修不少于12个月，并由厂家出具相关服务承诺书</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1.9.2厂家提供远程联机维护功能，能对设备进行软件升级及故障分析</w:t>
            </w:r>
          </w:p>
          <w:p>
            <w:pPr>
              <w:widowControl/>
              <w:jc w:val="left"/>
              <w:rPr>
                <w:rFonts w:ascii="宋体" w:hAnsi="宋体" w:eastAsia="宋体" w:cs="宋体"/>
                <w:kern w:val="0"/>
                <w:sz w:val="20"/>
                <w:szCs w:val="20"/>
              </w:rPr>
            </w:pP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婴儿光疗暖箱</w:t>
            </w:r>
          </w:p>
        </w:tc>
        <w:tc>
          <w:tcPr>
            <w:tcW w:w="6737" w:type="dxa"/>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一、产品功能：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★1、培养箱与蓝光箱的二合一设计，整机注册。（需提供注册证）</w:t>
            </w:r>
          </w:p>
          <w:p>
            <w:pPr>
              <w:widowControl/>
              <w:jc w:val="left"/>
              <w:textAlignment w:val="center"/>
              <w:rPr>
                <w:rFonts w:ascii="宋体" w:hAnsi="宋体" w:eastAsia="宋体" w:cs="宋体"/>
                <w:color w:val="000000"/>
                <w:sz w:val="20"/>
                <w:szCs w:val="20"/>
              </w:rPr>
            </w:pPr>
            <w:r>
              <w:rPr>
                <w:rStyle w:val="13"/>
                <w:rFonts w:hint="eastAsia" w:ascii="宋体" w:hAnsi="宋体" w:eastAsia="宋体" w:cs="宋体"/>
                <w:color w:val="000000"/>
                <w:sz w:val="20"/>
                <w:szCs w:val="20"/>
              </w:rPr>
              <w:t>2、</w:t>
            </w:r>
            <w:r>
              <w:rPr>
                <w:rStyle w:val="19"/>
                <w:rFonts w:hint="eastAsia" w:ascii="宋体" w:hAnsi="宋体" w:eastAsia="宋体" w:cs="宋体"/>
                <w:color w:val="000000"/>
                <w:sz w:val="20"/>
                <w:szCs w:val="20"/>
              </w:rPr>
              <w:t xml:space="preserve"> </w:t>
            </w:r>
            <w:r>
              <w:rPr>
                <w:rStyle w:val="13"/>
                <w:rFonts w:hint="eastAsia" w:ascii="宋体" w:hAnsi="宋体" w:eastAsia="宋体" w:cs="宋体"/>
                <w:color w:val="000000"/>
                <w:sz w:val="20"/>
                <w:szCs w:val="20"/>
              </w:rPr>
              <w:t>双面LED蓝光治疗装置，采用冷光源，0~99无极可调</w:t>
            </w:r>
          </w:p>
          <w:p>
            <w:pPr>
              <w:widowControl/>
              <w:jc w:val="left"/>
              <w:textAlignment w:val="center"/>
              <w:rPr>
                <w:rFonts w:ascii="宋体" w:hAnsi="宋体" w:eastAsia="宋体" w:cs="宋体"/>
                <w:color w:val="000000"/>
                <w:sz w:val="20"/>
                <w:szCs w:val="20"/>
              </w:rPr>
            </w:pPr>
            <w:r>
              <w:rPr>
                <w:rStyle w:val="18"/>
                <w:rFonts w:hint="eastAsia" w:ascii="宋体" w:hAnsi="宋体" w:eastAsia="宋体" w:cs="宋体"/>
                <w:sz w:val="20"/>
                <w:szCs w:val="20"/>
              </w:rPr>
              <w:t>3、</w:t>
            </w:r>
            <w:r>
              <w:rPr>
                <w:rStyle w:val="15"/>
                <w:rFonts w:hint="eastAsia" w:ascii="宋体" w:hAnsi="宋体" w:eastAsia="宋体" w:cs="宋体"/>
                <w:sz w:val="20"/>
                <w:szCs w:val="20"/>
              </w:rPr>
              <w:t xml:space="preserve"> </w:t>
            </w:r>
            <w:r>
              <w:rPr>
                <w:rStyle w:val="18"/>
                <w:rFonts w:hint="eastAsia" w:ascii="宋体" w:hAnsi="宋体" w:eastAsia="宋体" w:cs="宋体"/>
                <w:sz w:val="20"/>
                <w:szCs w:val="20"/>
              </w:rPr>
              <w:t>蓝光治疗时间具有计时、定时、累计功能</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4、具有箱温和肤温两种温度控制模式，分屏显示</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5、具有湿度显示功能和湿度控制功能，分屏显示</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★6、超声波低温雾化加湿技术（需提供检验报告证明）</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★7、双通道双传感器，模拟超温保护系统。（需提供说明书证明）</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★8、标配＞37°C高温模式设定（需提供彩页佐证）</w:t>
            </w:r>
          </w:p>
          <w:p>
            <w:pPr>
              <w:widowControl/>
              <w:jc w:val="left"/>
              <w:textAlignment w:val="center"/>
              <w:rPr>
                <w:rFonts w:ascii="宋体" w:hAnsi="宋体" w:eastAsia="宋体" w:cs="宋体"/>
                <w:color w:val="000000"/>
                <w:sz w:val="20"/>
                <w:szCs w:val="20"/>
              </w:rPr>
            </w:pPr>
            <w:r>
              <w:rPr>
                <w:rStyle w:val="12"/>
                <w:rFonts w:hint="eastAsia" w:ascii="宋体" w:hAnsi="宋体" w:eastAsia="宋体" w:cs="宋体"/>
                <w:sz w:val="20"/>
                <w:szCs w:val="20"/>
              </w:rPr>
              <w:t>9、全铝制槽钢中箱，有效降低温度波动，有助箱内温度均一</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10、婴儿床倾斜角度无极可调</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11、产品具有三级报警功能</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12、具有数据储存功能，具有RS-232接口</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13、可选配独立正门锁定装置</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二、基本配置：</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机（含婴儿舱、机箱、控制仪、输液架及托盘），上下LED蓝光治疗装置、集束化蓝光控制器、透明硅胶床垫、温度传感器、抽屉式水槽、设备扶手、抽柜式支架、X型流线型底座等；可选配置：透明凝胶解压床垫，称重装置，X拍片盒。</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三、主要技术参数：</w:t>
            </w:r>
          </w:p>
          <w:p>
            <w:pPr>
              <w:widowControl/>
              <w:jc w:val="left"/>
              <w:textAlignment w:val="center"/>
              <w:rPr>
                <w:rFonts w:ascii="宋体" w:hAnsi="宋体" w:eastAsia="宋体" w:cs="宋体"/>
                <w:color w:val="000000"/>
                <w:sz w:val="20"/>
                <w:szCs w:val="20"/>
              </w:rPr>
            </w:pPr>
            <w:r>
              <w:rPr>
                <w:rStyle w:val="18"/>
                <w:rFonts w:hint="eastAsia" w:ascii="宋体" w:hAnsi="宋体" w:eastAsia="宋体" w:cs="宋体"/>
                <w:sz w:val="20"/>
                <w:szCs w:val="20"/>
              </w:rPr>
              <w:t>1、电压电源：</w:t>
            </w:r>
            <w:r>
              <w:rPr>
                <w:rStyle w:val="17"/>
                <w:rFonts w:hint="eastAsia" w:ascii="宋体" w:hAnsi="宋体" w:eastAsia="宋体" w:cs="宋体"/>
                <w:sz w:val="20"/>
                <w:szCs w:val="20"/>
              </w:rPr>
              <w:t>　</w:t>
            </w:r>
            <w:r>
              <w:rPr>
                <w:rStyle w:val="16"/>
                <w:rFonts w:hint="eastAsia" w:ascii="宋体" w:hAnsi="宋体" w:eastAsia="宋体" w:cs="宋体"/>
                <w:sz w:val="20"/>
                <w:szCs w:val="20"/>
              </w:rPr>
              <w:t>AC220V/50Hz</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2、控温方式：箱温和肤温二种温度控制模式</w:t>
            </w:r>
          </w:p>
          <w:p>
            <w:pPr>
              <w:widowControl/>
              <w:jc w:val="left"/>
              <w:textAlignment w:val="center"/>
              <w:rPr>
                <w:rFonts w:ascii="宋体" w:hAnsi="宋体" w:eastAsia="宋体" w:cs="宋体"/>
                <w:color w:val="000000"/>
                <w:sz w:val="20"/>
                <w:szCs w:val="20"/>
              </w:rPr>
            </w:pPr>
            <w:r>
              <w:rPr>
                <w:rStyle w:val="18"/>
                <w:rFonts w:hint="eastAsia" w:ascii="宋体" w:hAnsi="宋体" w:eastAsia="宋体" w:cs="宋体"/>
                <w:sz w:val="20"/>
                <w:szCs w:val="20"/>
              </w:rPr>
              <w:t>3、箱温控制范围：25.0℃~37.0℃，</w:t>
            </w:r>
            <w:r>
              <w:rPr>
                <w:rStyle w:val="12"/>
                <w:rFonts w:hint="eastAsia" w:ascii="宋体" w:hAnsi="宋体" w:eastAsia="宋体" w:cs="宋体"/>
                <w:sz w:val="20"/>
                <w:szCs w:val="20"/>
              </w:rPr>
              <w:t>箱温显示范围：20°C~45°C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（具有＞37°C高温模式设定）</w:t>
            </w:r>
          </w:p>
          <w:p>
            <w:pPr>
              <w:widowControl/>
              <w:jc w:val="left"/>
              <w:textAlignment w:val="center"/>
              <w:rPr>
                <w:rFonts w:ascii="宋体" w:hAnsi="宋体" w:eastAsia="宋体" w:cs="宋体"/>
                <w:color w:val="000000"/>
                <w:sz w:val="20"/>
                <w:szCs w:val="20"/>
              </w:rPr>
            </w:pPr>
            <w:r>
              <w:rPr>
                <w:rStyle w:val="13"/>
                <w:rFonts w:hint="eastAsia" w:ascii="宋体" w:hAnsi="宋体" w:eastAsia="宋体" w:cs="宋体"/>
                <w:color w:val="000000"/>
                <w:sz w:val="20"/>
                <w:szCs w:val="20"/>
              </w:rPr>
              <w:t>4、肤温控制范围：25.0℃~37.0℃</w:t>
            </w:r>
            <w:r>
              <w:rPr>
                <w:rStyle w:val="18"/>
                <w:rFonts w:hint="eastAsia" w:ascii="宋体" w:hAnsi="宋体" w:eastAsia="宋体" w:cs="宋体"/>
                <w:sz w:val="20"/>
                <w:szCs w:val="20"/>
              </w:rPr>
              <w:t>，</w:t>
            </w:r>
            <w:r>
              <w:rPr>
                <w:rStyle w:val="12"/>
                <w:rFonts w:hint="eastAsia" w:ascii="宋体" w:hAnsi="宋体" w:eastAsia="宋体" w:cs="宋体"/>
                <w:sz w:val="20"/>
                <w:szCs w:val="20"/>
              </w:rPr>
              <w:t>肤温显示范围：20°C~45°C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（具有＞37°C高温模式设定）</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5、设备升温时间＜30Min</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6、皮肤温度传感器精度：±0.3℃</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7、箱温控制精度：＜1°C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8、肤温控制精度：≤0.3°C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9、箱温显示步进：0.1°C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10、肤温显示步进：0.1°C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11、床面温度误差 （床面任一点和中心点之差）：≤0.6°C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12、培养箱温度与平均培养箱温度之差：＜0.5°C，平均培养箱温度与控制温度之差：＜1°C</w:t>
            </w:r>
          </w:p>
          <w:p>
            <w:pPr>
              <w:widowControl/>
              <w:jc w:val="left"/>
              <w:textAlignment w:val="center"/>
              <w:rPr>
                <w:rFonts w:ascii="宋体" w:hAnsi="宋体" w:eastAsia="宋体" w:cs="宋体"/>
                <w:color w:val="000000"/>
                <w:sz w:val="20"/>
                <w:szCs w:val="20"/>
              </w:rPr>
            </w:pPr>
            <w:r>
              <w:rPr>
                <w:rStyle w:val="12"/>
                <w:rFonts w:hint="eastAsia" w:ascii="宋体" w:hAnsi="宋体" w:eastAsia="宋体" w:cs="宋体"/>
                <w:sz w:val="20"/>
                <w:szCs w:val="20"/>
              </w:rPr>
              <w:t>13、温度均匀性（床垫处于水平位置）：≤0.6°C，温度均匀性（床垫处于倾斜位置）：＜1°C，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14、湿度显示范围：20%RH～90%RH，湿度控制范围：40%RH～80%RH</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15、湿度显示精度（显示和实际测得之差）：±5%RH，湿度控制精度：±10%RH</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★16、蓝光治疗装置，整机注册，符合国家婴儿培养箱要求</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17、上下双面蓝光治疗功能，采用LED冷光源</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18、上下双面蓝光强度可0~99级无极可调，减少过度光疗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19、蓝光采用集束化控制器，可进行时间累积、计时、定时功能</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20、底盘采用X型流线型，美观易于清洁</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21、标配婴儿硅胶透光床垫，配合下蓝光治疗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22、上蓝光总照度Ebi是：3000µW/cm2 （蓝光功率在99%）</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23、下蓝光总照度 Ebi是：1600µW/cm2（蓝光功率在99%）</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24、波长范围：400nm~550nm</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25、床面上有效表面内的胆红素总辐照度均匀性：＞0.4</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26、配置RS-232接口</w:t>
            </w:r>
          </w:p>
          <w:p>
            <w:pPr>
              <w:widowControl/>
              <w:jc w:val="left"/>
              <w:textAlignment w:val="center"/>
              <w:rPr>
                <w:rFonts w:ascii="宋体" w:hAnsi="宋体" w:eastAsia="宋体" w:cs="宋体"/>
                <w:color w:val="000000"/>
                <w:sz w:val="20"/>
                <w:szCs w:val="20"/>
              </w:rPr>
            </w:pPr>
            <w:r>
              <w:rPr>
                <w:rStyle w:val="18"/>
                <w:rFonts w:hint="eastAsia" w:ascii="宋体" w:hAnsi="宋体" w:eastAsia="宋体" w:cs="宋体"/>
                <w:sz w:val="20"/>
                <w:szCs w:val="20"/>
              </w:rPr>
              <w:t>27、婴儿床倾斜角度：±12</w:t>
            </w:r>
            <w:r>
              <w:rPr>
                <w:rStyle w:val="14"/>
                <w:rFonts w:hint="eastAsia" w:ascii="宋体" w:hAnsi="宋体" w:eastAsia="宋体" w:cs="宋体"/>
                <w:sz w:val="20"/>
                <w:szCs w:val="20"/>
              </w:rPr>
              <w:t>°</w:t>
            </w:r>
            <w:r>
              <w:rPr>
                <w:rStyle w:val="18"/>
                <w:rFonts w:hint="eastAsia" w:ascii="宋体" w:hAnsi="宋体" w:eastAsia="宋体" w:cs="宋体"/>
                <w:sz w:val="20"/>
                <w:szCs w:val="20"/>
              </w:rPr>
              <w:t>无级可调</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28、婴儿舱内噪声：≤51dB</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29、声光提示故障报警：断电、空气循环风机报警、传感器故障、温度偏差、超温、高温模式、消音提示等</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★30、三级声光提示警报系统，符合YY 0709-2009国家医用电气设备报警系统标准</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31、采和弦音报警方式，方便临床区分</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32、输液架最大承载为：15N</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33、箱内婴儿床的最大承载为：100N   </w:t>
            </w:r>
          </w:p>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34、托盘架最大承载为：20N</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eastAsia="宋体" w:cs="宋体"/>
                <w:color w:val="000000"/>
                <w:sz w:val="20"/>
                <w:szCs w:val="20"/>
              </w:rPr>
            </w:pPr>
            <w:r>
              <w:rPr>
                <w:rFonts w:hint="eastAsia" w:ascii="宋体" w:cs="宋体"/>
                <w:color w:val="000000"/>
                <w:sz w:val="20"/>
                <w:szCs w:val="20"/>
              </w:rPr>
              <w:t>8</w:t>
            </w:r>
          </w:p>
        </w:tc>
        <w:tc>
          <w:tcPr>
            <w:tcW w:w="663" w:type="dxa"/>
          </w:tcPr>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3</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辐射式新生儿抢救台</w:t>
            </w:r>
          </w:p>
        </w:tc>
        <w:tc>
          <w:tcPr>
            <w:tcW w:w="6737" w:type="dxa"/>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一、产品功能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1、辐射头采用石英管加热材质，经久耐用，稳定性好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2、预热、手控、肤温多种模式控制</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3、独特的“模拟肤温探头脱落保护机制”，防止患儿过热</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4、轻量化的ABS热辐射头，避免辐射头日久下挂</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5、APGAR评分计时提示音，满足临床需求</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6、可锁定气弹簧倾斜机制，单手操作，平顺易用</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7、大尺寸婴儿床面，安全舒适，方便临床护理操作</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8、内置X拍片盒，可提供多角度拍片位置，减少新生儿的搬动</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9、X型流线型底座，美观易用，清洁方便</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  基本配置：</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辐射头、控制仪、婴儿床、肤温传感器、输液架、双托盘、拍片盒、观察灯、具有RS-232接口，X型流线型底座、具有APGAR计时功能   可选配置：X拍片盒</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 主要技术参数：</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1、电脑伺服控温，手控、肤温等多种模式控制</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2、工作电源：～220V/ 50HZ，输入功率：≤1000VA</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3，流线型ABS辐射头，美观易用，避免日久下挂</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4、辐射头采用石英管加热材质，经久耐用，稳定性好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5、APGAR评分计时提示音，满足临床需求</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★6、采用可锁气弹簧床体倾斜机制，平顺易用</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7、可置物托盘总数≥2个</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★8、肤温模式下具有“模拟患儿肤温探头脱落”保护机制，功率自动恒定40%以下，防止新生儿过热</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★9、手控模式提示功能，使用5分钟后发出提示，并自动将功率自动降至50%以下，以防止新生儿过热</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10、三级声光提示警报系统，符合YY 0709-2009国家医用电气设备报警系统标准</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★11、辐射头水平角度：0°、-90°双向可调</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12、肤温控温范围：25.0℃~37.0℃</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13、肤温显示范围：20.0℃~45.0℃</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14、肤温度控制精度：＜0.5℃、皮肤温度传感器精度：±0.3℃</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15、床面温度均匀性：≤2℃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16、婴儿床倾斜角度：±12°无级可调</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17、婴儿床下设置X光射线拍片盒，方便拍片</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18、声光提示故障报警：断电、超温、温度偏差、皮肤温度传感器、手动提示、消音提示等</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19、婴儿有效床面长宽≥57cm×76cm</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20、婴儿床周边挡板厚度≥0.8cm</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21、有机玻璃挡板可向下设置、拆卸，便于操作</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22、输液架最大承载为：15N</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23、托盘架最大承载为：20N</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9</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rPr>
                <w:rFonts w:ascii="宋体" w:cs="宋体"/>
                <w:color w:val="000000"/>
                <w:sz w:val="20"/>
                <w:szCs w:val="20"/>
              </w:rPr>
            </w:pPr>
          </w:p>
        </w:tc>
      </w:tr>
    </w:tbl>
    <w:p>
      <w:pPr>
        <w:widowControl/>
        <w:shd w:val="clear" w:color="auto" w:fill="FFFFFF"/>
        <w:spacing w:line="360" w:lineRule="auto"/>
        <w:ind w:left="482"/>
        <w:contextualSpacing/>
        <w:jc w:val="left"/>
        <w:rPr>
          <w:rFonts w:cs="黑体" w:asciiTheme="minorEastAsia" w:hAnsiTheme="minorEastAsia"/>
          <w:b/>
          <w:bCs/>
          <w:color w:val="000000"/>
          <w:sz w:val="24"/>
          <w:szCs w:val="24"/>
          <w:shd w:val="clear" w:color="auto" w:fill="FFFFFF"/>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58ED5" w:themeColor="text2" w:themeTint="99"/>
          <w:kern w:val="0"/>
          <w:sz w:val="24"/>
          <w:szCs w:val="24"/>
          <w14:textFill>
            <w14:solidFill>
              <w14:schemeClr w14:val="tx2">
                <w14:lumMod w14:val="60000"/>
                <w14:lumOff w14:val="40000"/>
              </w14:schemeClr>
            </w14:solidFill>
          </w14:textFill>
        </w:rPr>
      </w:pPr>
      <w:r>
        <w:rPr>
          <w:rFonts w:hint="eastAsia" w:cs="微软雅黑" w:asciiTheme="minorEastAsia" w:hAnsiTheme="minorEastAsia"/>
          <w:b/>
          <w:color w:val="FF0000"/>
          <w:sz w:val="24"/>
          <w:szCs w:val="24"/>
        </w:rPr>
        <w:t>（三）</w:t>
      </w:r>
      <w:r>
        <w:rPr>
          <w:rFonts w:hint="eastAsia" w:cs="宋体" w:asciiTheme="minorEastAsia" w:hAnsiTheme="minorEastAsia"/>
          <w:b/>
          <w:color w:val="000000"/>
          <w:kern w:val="0"/>
          <w:sz w:val="24"/>
          <w:szCs w:val="24"/>
          <w:lang w:val="zh-CN"/>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（四）</w:t>
      </w:r>
      <w:r>
        <w:rPr>
          <w:rFonts w:hint="eastAsia" w:cs="宋体" w:asciiTheme="minorEastAsia" w:hAnsiTheme="minorEastAsia"/>
          <w:b/>
          <w:color w:val="000000"/>
          <w:kern w:val="0"/>
          <w:sz w:val="24"/>
          <w:szCs w:val="24"/>
          <w:lang w:val="zh-CN"/>
        </w:rPr>
        <w:t>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rPr>
        <w:t>7</w:t>
      </w:r>
      <w:r>
        <w:rPr>
          <w:rFonts w:hint="eastAsia" w:cs="宋体" w:asciiTheme="minorEastAsia" w:hAnsiTheme="minorEastAsia"/>
          <w:color w:val="000000"/>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rPr>
        <w:t>8</w:t>
      </w:r>
      <w:r>
        <w:rPr>
          <w:rFonts w:hint="eastAsia" w:cs="宋体" w:asciiTheme="minorEastAsia" w:hAnsiTheme="minorEastAsia"/>
          <w:color w:val="000000"/>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9、免费质保期三年，不响应的为无效投标。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（五）</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t>2</w:t>
      </w: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3、按照招标文件要求、投标文件响应和承诺验收；</w:t>
      </w:r>
    </w:p>
    <w:p>
      <w:pPr>
        <w:pStyle w:val="4"/>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（六）</w:t>
      </w:r>
      <w:r>
        <w:rPr>
          <w:rFonts w:hint="eastAsia" w:cs="黑体" w:asciiTheme="minorEastAsia" w:hAnsiTheme="minorEastAsia" w:eastAsiaTheme="minorEastAsia"/>
          <w:b/>
          <w:bCs/>
          <w:color w:val="000000"/>
          <w:shd w:val="clear" w:color="auto" w:fill="FFFFFF"/>
        </w:rPr>
        <w:t>本项目预算金额：</w:t>
      </w:r>
    </w:p>
    <w:p>
      <w:pPr>
        <w:pStyle w:val="4"/>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cs="黑体" w:asciiTheme="minorEastAsia" w:hAnsiTheme="minorEastAsia" w:eastAsiaTheme="minorEastAsia"/>
          <w:b/>
          <w:bCs/>
          <w:color w:val="000000"/>
          <w:shd w:val="clear" w:color="auto" w:fill="FFFFFF"/>
        </w:rPr>
        <w:t>211.2</w:t>
      </w:r>
      <w:r>
        <w:rPr>
          <w:rFonts w:hint="eastAsia" w:cs="黑体" w:asciiTheme="minorEastAsia" w:hAnsiTheme="minorEastAsia" w:eastAsiaTheme="minorEastAsia"/>
          <w:b/>
          <w:bCs/>
          <w:color w:val="000000"/>
          <w:shd w:val="clear" w:color="auto" w:fill="FFFFFF"/>
        </w:rPr>
        <w:t>万元；最高限价：</w:t>
      </w:r>
      <w:r>
        <w:rPr>
          <w:rFonts w:cs="黑体" w:asciiTheme="minorEastAsia" w:hAnsiTheme="minorEastAsia" w:eastAsiaTheme="minorEastAsia"/>
          <w:b/>
          <w:bCs/>
          <w:color w:val="000000"/>
          <w:shd w:val="clear" w:color="auto" w:fill="FFFFFF"/>
        </w:rPr>
        <w:t>211.2</w:t>
      </w:r>
      <w:r>
        <w:rPr>
          <w:rFonts w:hint="eastAsia" w:cs="黑体" w:asciiTheme="minorEastAsia" w:hAnsiTheme="minorEastAsia" w:eastAsiaTheme="minorEastAsia"/>
          <w:b/>
          <w:bCs/>
          <w:color w:val="000000"/>
          <w:shd w:val="clear" w:color="auto" w:fill="FFFFFF"/>
        </w:rPr>
        <w:t>万元。</w:t>
      </w:r>
      <w:r>
        <w:rPr>
          <w:rFonts w:hint="eastAsia" w:asciiTheme="minorEastAsia" w:hAnsiTheme="minorEastAsia" w:eastAsiaTheme="minorEastAsia"/>
          <w:b/>
          <w:color w:val="000000"/>
          <w:lang w:val="zh-CN"/>
        </w:rPr>
        <w:t>超出最高限价的投标无效。</w:t>
      </w:r>
    </w:p>
    <w:p>
      <w:pPr>
        <w:widowControl/>
        <w:shd w:val="clear" w:color="auto" w:fill="FFFFFF"/>
        <w:spacing w:line="360" w:lineRule="atLeast"/>
        <w:ind w:firstLine="723" w:firstLineChars="3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五、评标方法和评标标准</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（一）评标方法：最低评标价法□ 综合评分法√</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（二）综合评分法评标标准：</w:t>
      </w:r>
    </w:p>
    <w:tbl>
      <w:tblPr>
        <w:tblStyle w:val="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分值构成</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价格分值：30分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商务部分：25分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评标基准价：满足招标文件要求的有效投标报价中，最低的投标报价为评标基准价。</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投标报价得分=（评标基准价/投标报价）×30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节约能源、保护环境政策加分</w:t>
            </w:r>
          </w:p>
          <w:p>
            <w:pPr>
              <w:spacing w:line="36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2、投标人所投产品属于“环境标志产品政府采购清单”内产品，投标文件中须提供最新一期《环保产品政府采购清单》中产品所在页复印件加盖投标人公章。每项0.5分，满分1分。</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 xml:space="preserve"> 业绩</w:t>
            </w:r>
          </w:p>
          <w:p>
            <w:pPr>
              <w:spacing w:line="430" w:lineRule="exact"/>
              <w:ind w:firstLine="480" w:firstLineChars="200"/>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投标人2015年1月1日以来，具有类似项目业绩单次合同金额在：</w:t>
            </w:r>
            <w:r>
              <w:rPr>
                <w:rFonts w:hint="eastAsia" w:cs="仿宋_GB2312" w:asciiTheme="minorEastAsia" w:hAnsiTheme="minorEastAsia"/>
                <w:color w:val="000000"/>
                <w:kern w:val="0"/>
                <w:sz w:val="24"/>
                <w:szCs w:val="24"/>
                <w:shd w:val="clear" w:color="auto" w:fill="FFFFFF"/>
                <w:lang w:val="en-US" w:eastAsia="zh-CN"/>
              </w:rPr>
              <w:t>2</w:t>
            </w:r>
            <w:r>
              <w:rPr>
                <w:rFonts w:hint="eastAsia" w:cs="仿宋_GB2312" w:asciiTheme="minorEastAsia" w:hAnsiTheme="minorEastAsia"/>
                <w:color w:val="000000"/>
                <w:kern w:val="0"/>
                <w:sz w:val="24"/>
                <w:szCs w:val="24"/>
                <w:shd w:val="clear" w:color="auto" w:fill="FFFFFF"/>
              </w:rPr>
              <w:t>00万元以上（含</w:t>
            </w:r>
            <w:r>
              <w:rPr>
                <w:rFonts w:hint="eastAsia" w:cs="仿宋_GB2312" w:asciiTheme="minorEastAsia" w:hAnsiTheme="minorEastAsia"/>
                <w:color w:val="000000"/>
                <w:kern w:val="0"/>
                <w:sz w:val="24"/>
                <w:szCs w:val="24"/>
                <w:shd w:val="clear" w:color="auto" w:fill="FFFFFF"/>
                <w:lang w:val="en-US" w:eastAsia="zh-CN"/>
              </w:rPr>
              <w:t>2</w:t>
            </w:r>
            <w:r>
              <w:rPr>
                <w:rFonts w:hint="eastAsia" w:cs="仿宋_GB2312" w:asciiTheme="minorEastAsia" w:hAnsiTheme="minorEastAsia"/>
                <w:color w:val="000000"/>
                <w:kern w:val="0"/>
                <w:sz w:val="24"/>
                <w:szCs w:val="24"/>
                <w:shd w:val="clear" w:color="auto" w:fill="FFFFFF"/>
              </w:rPr>
              <w:t>00万元）。合同及验收报告齐全，每提供一份得3分，最多得3分，不提供者为0分。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生产厂家提供ISO9001质量管理体系认证证书、ISO13485医疗器械质量管理体系认证证书的，每提供一项得3分，满分</w:t>
            </w:r>
            <w:r>
              <w:rPr>
                <w:rFonts w:cs="仿宋_GB2312" w:asciiTheme="minorEastAsia" w:hAnsiTheme="minorEastAsia"/>
                <w:color w:val="000000"/>
                <w:kern w:val="0"/>
                <w:sz w:val="24"/>
                <w:szCs w:val="24"/>
                <w:shd w:val="clear" w:color="auto" w:fill="FFFFFF"/>
              </w:rPr>
              <w:t>6</w:t>
            </w:r>
            <w:r>
              <w:rPr>
                <w:rFonts w:hint="eastAsia" w:cs="仿宋_GB2312" w:asciiTheme="minorEastAsia" w:hAnsiTheme="minorEastAsia"/>
                <w:color w:val="000000"/>
                <w:kern w:val="0"/>
                <w:sz w:val="24"/>
                <w:szCs w:val="24"/>
                <w:shd w:val="clear" w:color="auto" w:fill="FFFFFF"/>
              </w:rPr>
              <w:t>分，不提供不得分。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投标所有产品通过CE认证证书，并提供资料满足得4分, 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cs="仿宋_GB2312" w:asciiTheme="minorEastAsia" w:hAnsiTheme="minorEastAsia"/>
                <w:color w:val="000000"/>
                <w:kern w:val="0"/>
                <w:sz w:val="24"/>
                <w:szCs w:val="24"/>
                <w:shd w:val="clear" w:color="auto" w:fill="FFFFFF"/>
              </w:rPr>
              <w:t>10</w:t>
            </w:r>
            <w:r>
              <w:rPr>
                <w:rFonts w:hint="eastAsia" w:cs="仿宋_GB2312" w:asciiTheme="minorEastAsia" w:hAnsiTheme="minorEastAsia"/>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售后服务</w:t>
            </w:r>
          </w:p>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及培训</w:t>
            </w:r>
          </w:p>
          <w:p>
            <w:pPr>
              <w:spacing w:line="43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投标文件的规范程度</w:t>
            </w:r>
          </w:p>
          <w:p>
            <w:pPr>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对招标文件的响应程度</w:t>
            </w:r>
          </w:p>
          <w:p>
            <w:pPr>
              <w:spacing w:line="360" w:lineRule="exact"/>
              <w:jc w:val="center"/>
              <w:rPr>
                <w:rFonts w:cs="仿宋_GB2312" w:asciiTheme="minorEastAsia" w:hAnsiTheme="minorEastAsia"/>
                <w:color w:val="000000"/>
                <w:kern w:val="0"/>
                <w:sz w:val="24"/>
                <w:szCs w:val="24"/>
                <w:shd w:val="clear" w:color="auto" w:fill="FFFFFF"/>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①</w:t>
            </w:r>
            <w:r>
              <w:rPr>
                <w:rFonts w:hint="eastAsia" w:cs="仿宋_GB2312" w:asciiTheme="minorEastAsia" w:hAnsiTheme="minorEastAsia"/>
                <w:color w:val="000000"/>
                <w:kern w:val="0"/>
                <w:sz w:val="24"/>
                <w:szCs w:val="24"/>
                <w:shd w:val="clear" w:color="auto" w:fill="FFFFFF"/>
                <w:lang w:eastAsia="zh-CN"/>
              </w:rPr>
              <w:t>未</w:t>
            </w:r>
            <w:r>
              <w:rPr>
                <w:rFonts w:hint="eastAsia" w:cs="仿宋_GB2312" w:asciiTheme="minorEastAsia" w:hAnsiTheme="minorEastAsia"/>
                <w:color w:val="000000"/>
                <w:kern w:val="0"/>
                <w:sz w:val="24"/>
                <w:szCs w:val="24"/>
                <w:shd w:val="clear" w:color="auto" w:fill="FFFFFF"/>
              </w:rPr>
              <w:t>实质性响应招标文件要求的视为无效投标。</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43分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p>
    <w:p>
      <w:pPr>
        <w:widowControl/>
        <w:shd w:val="clear" w:color="auto" w:fill="FFFFFF"/>
        <w:spacing w:line="360" w:lineRule="atLeast"/>
        <w:ind w:firstLine="723" w:firstLineChars="300"/>
        <w:jc w:val="left"/>
        <w:rPr>
          <w:rFonts w:cs="仿宋_GB2312" w:asciiTheme="minorEastAsia" w:hAnsiTheme="minorEastAsia"/>
          <w:b/>
          <w:color w:val="000000"/>
          <w:kern w:val="0"/>
          <w:sz w:val="24"/>
          <w:szCs w:val="24"/>
          <w:shd w:val="clear" w:color="auto" w:fill="FFFFFF"/>
        </w:rPr>
      </w:pP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 xml:space="preserve"> 六、采购资金支付</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2、支付时间及条件：设备安装调试合格使用后付合同总价款的80%，剩余20%满一年无质量问题一次性付清。</w:t>
      </w: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七、联系方式</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采购人：许昌市妇幼保健院      地  址：许昌市光明路中段</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联系人：宋娟                   联系电话：15993613959 </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许昌市妇幼保健院</w:t>
      </w:r>
    </w:p>
    <w:p>
      <w:pPr>
        <w:widowControl/>
        <w:shd w:val="clear" w:color="auto" w:fill="FFFFFF"/>
        <w:spacing w:line="360" w:lineRule="auto"/>
        <w:ind w:firstLine="480" w:firstLineChars="200"/>
        <w:jc w:val="right"/>
        <w:rPr>
          <w:rFonts w:ascii="仿宋" w:hAnsi="仿宋" w:eastAsia="仿宋" w:cs="宋体"/>
          <w:color w:val="000000"/>
          <w:kern w:val="0"/>
          <w:sz w:val="30"/>
          <w:szCs w:val="30"/>
          <w:shd w:val="clear" w:color="auto" w:fill="FFFFFF"/>
        </w:rPr>
      </w:pPr>
      <w:r>
        <w:rPr>
          <w:rFonts w:hint="eastAsia" w:cs="宋体" w:asciiTheme="minorEastAsia" w:hAnsiTheme="minorEastAsia"/>
          <w:color w:val="000000"/>
          <w:kern w:val="0"/>
          <w:sz w:val="24"/>
          <w:szCs w:val="24"/>
          <w:lang w:val="zh-CN"/>
        </w:rPr>
        <w:t>2018年7月</w:t>
      </w:r>
      <w:r>
        <w:rPr>
          <w:rFonts w:hint="eastAsia" w:cs="宋体" w:asciiTheme="minorEastAsia" w:hAnsiTheme="minorEastAsia"/>
          <w:color w:val="000000"/>
          <w:kern w:val="0"/>
          <w:sz w:val="24"/>
          <w:szCs w:val="24"/>
          <w:lang w:val="en-US" w:eastAsia="zh-CN"/>
        </w:rPr>
        <w:t>25</w:t>
      </w:r>
      <w:bookmarkStart w:id="0" w:name="_GoBack"/>
      <w:bookmarkEnd w:id="0"/>
      <w:r>
        <w:rPr>
          <w:rFonts w:hint="eastAsia" w:cs="宋体" w:asciiTheme="minorEastAsia" w:hAnsiTheme="minorEastAsia"/>
          <w:color w:val="000000"/>
          <w:kern w:val="0"/>
          <w:sz w:val="24"/>
          <w:szCs w:val="24"/>
          <w:lang w:val="zh-CN"/>
        </w:rPr>
        <w:t>日</w:t>
      </w:r>
      <w:r>
        <w:rPr>
          <w:rFonts w:hint="eastAsia" w:ascii="仿宋" w:hAnsi="仿宋" w:eastAsia="仿宋" w:cs="宋体"/>
          <w:color w:val="000000"/>
          <w:kern w:val="0"/>
          <w:sz w:val="30"/>
          <w:szCs w:val="30"/>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B2"/>
    <w:rsid w:val="0000674B"/>
    <w:rsid w:val="0005431D"/>
    <w:rsid w:val="0009385B"/>
    <w:rsid w:val="00174554"/>
    <w:rsid w:val="001A0E05"/>
    <w:rsid w:val="001A23FF"/>
    <w:rsid w:val="001A4D77"/>
    <w:rsid w:val="00203D7E"/>
    <w:rsid w:val="00253591"/>
    <w:rsid w:val="002A53B2"/>
    <w:rsid w:val="00312D9A"/>
    <w:rsid w:val="00361251"/>
    <w:rsid w:val="00385BF1"/>
    <w:rsid w:val="00395FA1"/>
    <w:rsid w:val="003C515C"/>
    <w:rsid w:val="003C5D08"/>
    <w:rsid w:val="004D2893"/>
    <w:rsid w:val="0055294B"/>
    <w:rsid w:val="00576222"/>
    <w:rsid w:val="005D42D5"/>
    <w:rsid w:val="00640DDE"/>
    <w:rsid w:val="00777C3F"/>
    <w:rsid w:val="007A38C0"/>
    <w:rsid w:val="007A71B6"/>
    <w:rsid w:val="0080208E"/>
    <w:rsid w:val="008B3866"/>
    <w:rsid w:val="008C4C58"/>
    <w:rsid w:val="008F18DB"/>
    <w:rsid w:val="00A54088"/>
    <w:rsid w:val="00AF1084"/>
    <w:rsid w:val="00BD065C"/>
    <w:rsid w:val="00C03D72"/>
    <w:rsid w:val="00C607E0"/>
    <w:rsid w:val="00CB06C7"/>
    <w:rsid w:val="00CD2027"/>
    <w:rsid w:val="00E21FA1"/>
    <w:rsid w:val="00E2584E"/>
    <w:rsid w:val="00E57476"/>
    <w:rsid w:val="00EA4C75"/>
    <w:rsid w:val="00FB24A1"/>
    <w:rsid w:val="035F062B"/>
    <w:rsid w:val="04A95338"/>
    <w:rsid w:val="04D97418"/>
    <w:rsid w:val="09567F0B"/>
    <w:rsid w:val="0D522F86"/>
    <w:rsid w:val="0E721B97"/>
    <w:rsid w:val="15377105"/>
    <w:rsid w:val="18A5329E"/>
    <w:rsid w:val="19956D8E"/>
    <w:rsid w:val="1A5D51F0"/>
    <w:rsid w:val="1C524BA0"/>
    <w:rsid w:val="1C9B5179"/>
    <w:rsid w:val="1DCF6672"/>
    <w:rsid w:val="274E658F"/>
    <w:rsid w:val="2B4052FD"/>
    <w:rsid w:val="2C291ECD"/>
    <w:rsid w:val="2CB27390"/>
    <w:rsid w:val="2E46196E"/>
    <w:rsid w:val="2E9E32AB"/>
    <w:rsid w:val="323D5D4C"/>
    <w:rsid w:val="3ABF737D"/>
    <w:rsid w:val="3AC86A17"/>
    <w:rsid w:val="41F94C1E"/>
    <w:rsid w:val="437F30EA"/>
    <w:rsid w:val="447706E5"/>
    <w:rsid w:val="47C909DC"/>
    <w:rsid w:val="498E4F54"/>
    <w:rsid w:val="4B362088"/>
    <w:rsid w:val="4D686C0E"/>
    <w:rsid w:val="4EBC17BD"/>
    <w:rsid w:val="4EE75677"/>
    <w:rsid w:val="50AA7097"/>
    <w:rsid w:val="523D68D8"/>
    <w:rsid w:val="5651380D"/>
    <w:rsid w:val="571147E1"/>
    <w:rsid w:val="5A54552F"/>
    <w:rsid w:val="5B905D75"/>
    <w:rsid w:val="5D1B0638"/>
    <w:rsid w:val="5E280B2E"/>
    <w:rsid w:val="68553B47"/>
    <w:rsid w:val="6AB07020"/>
    <w:rsid w:val="6B8500D0"/>
    <w:rsid w:val="6BA36862"/>
    <w:rsid w:val="6D7F3A9A"/>
    <w:rsid w:val="71357CC4"/>
    <w:rsid w:val="717605EA"/>
    <w:rsid w:val="71962929"/>
    <w:rsid w:val="74397BE4"/>
    <w:rsid w:val="754A2418"/>
    <w:rsid w:val="7AA45FD6"/>
    <w:rsid w:val="7AC5313E"/>
    <w:rsid w:val="7AE621CD"/>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0"/>
    </w:rPr>
  </w:style>
  <w:style w:type="paragraph" w:customStyle="1" w:styleId="10">
    <w:name w:val="列出段落1"/>
    <w:basedOn w:val="1"/>
    <w:qFormat/>
    <w:uiPriority w:val="0"/>
    <w:pPr>
      <w:ind w:firstLine="420" w:firstLineChars="200"/>
    </w:pPr>
  </w:style>
  <w:style w:type="paragraph" w:customStyle="1" w:styleId="11">
    <w:name w:val="列出段落11"/>
    <w:basedOn w:val="1"/>
    <w:qFormat/>
    <w:uiPriority w:val="0"/>
    <w:pPr>
      <w:ind w:firstLine="420" w:firstLineChars="200"/>
    </w:pPr>
    <w:rPr>
      <w:rFonts w:ascii="Times New Roman" w:hAnsi="Times New Roman" w:eastAsia="宋体" w:cs="Times New Roman"/>
      <w:szCs w:val="24"/>
    </w:rPr>
  </w:style>
  <w:style w:type="character" w:customStyle="1" w:styleId="12">
    <w:name w:val="font21"/>
    <w:basedOn w:val="5"/>
    <w:qFormat/>
    <w:uiPriority w:val="0"/>
    <w:rPr>
      <w:rFonts w:hint="default" w:ascii="微软雅黑" w:hAnsi="微软雅黑" w:eastAsia="微软雅黑" w:cs="微软雅黑"/>
      <w:color w:val="000000"/>
      <w:sz w:val="24"/>
      <w:szCs w:val="24"/>
      <w:u w:val="none"/>
    </w:rPr>
  </w:style>
  <w:style w:type="character" w:customStyle="1" w:styleId="13">
    <w:name w:val="font11"/>
    <w:basedOn w:val="5"/>
    <w:qFormat/>
    <w:uiPriority w:val="0"/>
    <w:rPr>
      <w:rFonts w:hint="default" w:ascii="微软雅黑" w:hAnsi="微软雅黑" w:eastAsia="微软雅黑" w:cs="微软雅黑"/>
      <w:color w:val="C00000"/>
      <w:sz w:val="24"/>
      <w:szCs w:val="24"/>
      <w:u w:val="none"/>
    </w:rPr>
  </w:style>
  <w:style w:type="character" w:customStyle="1" w:styleId="14">
    <w:name w:val="font01"/>
    <w:basedOn w:val="5"/>
    <w:qFormat/>
    <w:uiPriority w:val="0"/>
    <w:rPr>
      <w:rFonts w:hint="default" w:ascii="微软雅黑" w:hAnsi="微软雅黑" w:eastAsia="微软雅黑" w:cs="微软雅黑"/>
      <w:color w:val="000000"/>
      <w:sz w:val="24"/>
      <w:szCs w:val="24"/>
      <w:u w:val="none"/>
      <w:vertAlign w:val="superscript"/>
    </w:rPr>
  </w:style>
  <w:style w:type="character" w:customStyle="1" w:styleId="15">
    <w:name w:val="font81"/>
    <w:basedOn w:val="5"/>
    <w:qFormat/>
    <w:uiPriority w:val="0"/>
    <w:rPr>
      <w:rFonts w:hint="default" w:ascii="Times New Roman" w:hAnsi="Times New Roman" w:cs="Times New Roman"/>
      <w:color w:val="000000"/>
      <w:sz w:val="14"/>
      <w:szCs w:val="14"/>
      <w:u w:val="none"/>
    </w:rPr>
  </w:style>
  <w:style w:type="character" w:customStyle="1" w:styleId="16">
    <w:name w:val="font41"/>
    <w:basedOn w:val="5"/>
    <w:qFormat/>
    <w:uiPriority w:val="0"/>
    <w:rPr>
      <w:rFonts w:hint="default" w:ascii="微软雅黑" w:hAnsi="微软雅黑" w:eastAsia="微软雅黑" w:cs="微软雅黑"/>
      <w:color w:val="000000"/>
      <w:sz w:val="36"/>
      <w:szCs w:val="36"/>
      <w:u w:val="none"/>
      <w:vertAlign w:val="subscript"/>
    </w:rPr>
  </w:style>
  <w:style w:type="character" w:customStyle="1" w:styleId="17">
    <w:name w:val="font31"/>
    <w:basedOn w:val="5"/>
    <w:qFormat/>
    <w:uiPriority w:val="0"/>
    <w:rPr>
      <w:rFonts w:hint="default" w:ascii="微软雅黑" w:hAnsi="微软雅黑" w:eastAsia="微软雅黑" w:cs="微软雅黑"/>
      <w:color w:val="000000"/>
      <w:sz w:val="24"/>
      <w:szCs w:val="24"/>
      <w:u w:val="none"/>
      <w:vertAlign w:val="subscript"/>
    </w:rPr>
  </w:style>
  <w:style w:type="character" w:customStyle="1" w:styleId="18">
    <w:name w:val="font61"/>
    <w:basedOn w:val="5"/>
    <w:qFormat/>
    <w:uiPriority w:val="0"/>
    <w:rPr>
      <w:rFonts w:hint="default" w:ascii="微软雅黑" w:hAnsi="微软雅黑" w:eastAsia="微软雅黑" w:cs="微软雅黑"/>
      <w:color w:val="000000"/>
      <w:sz w:val="24"/>
      <w:szCs w:val="24"/>
      <w:u w:val="none"/>
    </w:rPr>
  </w:style>
  <w:style w:type="character" w:customStyle="1" w:styleId="19">
    <w:name w:val="font71"/>
    <w:basedOn w:val="5"/>
    <w:qFormat/>
    <w:uiPriority w:val="0"/>
    <w:rPr>
      <w:rFonts w:hint="default" w:ascii="Times New Roman" w:hAnsi="Times New Roman" w:cs="Times New Roman"/>
      <w:color w:val="C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FA227-4DEA-4B94-82C3-E35766449BB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1027</Words>
  <Characters>5857</Characters>
  <Lines>48</Lines>
  <Paragraphs>13</Paragraphs>
  <TotalTime>0</TotalTime>
  <ScaleCrop>false</ScaleCrop>
  <LinksUpToDate>false</LinksUpToDate>
  <CharactersWithSpaces>6871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2018-07-19T23:55:00Z</dcterms:created>
  <dc:creator>AutoBVT</dc:creator>
  <cp:lastModifiedBy>甛╚＞</cp:lastModifiedBy>
  <cp:lastPrinted>2018-07-23T05:16:00Z</cp:lastPrinted>
  <dcterms:modified xsi:type="dcterms:W3CDTF">2018-07-25T02:12:18Z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