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微软雅黑" w:eastAsia="仿宋_GB2312" w:cs="仿宋_GB2312"/>
          <w:b/>
          <w:color w:val="000000"/>
          <w:kern w:val="0"/>
          <w:sz w:val="36"/>
          <w:szCs w:val="36"/>
          <w:shd w:val="clear" w:color="auto" w:fill="FFFFFF"/>
        </w:rPr>
      </w:pPr>
    </w:p>
    <w:p>
      <w:pPr>
        <w:jc w:val="center"/>
        <w:rPr>
          <w:rFonts w:ascii="黑体" w:hAnsi="黑体" w:eastAsia="黑体" w:cs="黑体"/>
          <w:bCs/>
          <w:color w:val="000000"/>
          <w:shd w:val="clear" w:color="auto" w:fill="FFFFFF"/>
        </w:rPr>
      </w:pPr>
      <w:r>
        <w:rPr>
          <w:rFonts w:hint="eastAsia" w:ascii="仿宋_GB2312" w:hAnsi="微软雅黑" w:eastAsia="仿宋_GB2312" w:cs="仿宋_GB2312"/>
          <w:b/>
          <w:color w:val="000000"/>
          <w:kern w:val="0"/>
          <w:sz w:val="36"/>
          <w:szCs w:val="36"/>
          <w:shd w:val="clear" w:color="auto" w:fill="FFFFFF"/>
        </w:rPr>
        <w:t>JZFCG-G2018062号许昌市城乡一体化示范区建设环保局“示范区水系、芙蓉广场、中央公园综合管养项目”采购需求、评标标准等说明</w:t>
      </w:r>
    </w:p>
    <w:p>
      <w:pPr>
        <w:pStyle w:val="12"/>
        <w:widowControl/>
        <w:shd w:val="clear" w:color="auto" w:fill="FFFFFF"/>
        <w:spacing w:line="408" w:lineRule="auto"/>
        <w:contextualSpacing/>
        <w:jc w:val="left"/>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shd w:val="clear" w:color="auto" w:fill="FFFFFF"/>
        </w:rPr>
        <w:t>一、项目基本情况</w:t>
      </w:r>
    </w:p>
    <w:p>
      <w:pPr>
        <w:widowControl/>
        <w:shd w:val="clear" w:color="auto" w:fill="FFFFFF"/>
        <w:spacing w:before="226"/>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（一）项目名称：示范区水系、芙蓉广场、中央公园综合管养项目</w:t>
      </w:r>
    </w:p>
    <w:p>
      <w:pPr>
        <w:pStyle w:val="12"/>
        <w:widowControl/>
        <w:shd w:val="clear" w:color="auto" w:fill="FFFFFF"/>
        <w:spacing w:line="408" w:lineRule="auto"/>
        <w:ind w:firstLine="420"/>
        <w:contextualSpacing/>
        <w:jc w:val="left"/>
        <w:rPr>
          <w:rFonts w:ascii="宋体" w:hAnsi="宋体" w:cs="宋体" w:eastAsiaTheme="minorEastAsia"/>
          <w:kern w:val="0"/>
          <w:shd w:val="clear" w:color="auto" w:fill="FFFFFF"/>
        </w:rPr>
      </w:pPr>
      <w:r>
        <w:rPr>
          <w:rFonts w:hint="eastAsia" w:ascii="宋体" w:hAnsi="宋体" w:cs="宋体" w:eastAsiaTheme="minorEastAsia"/>
          <w:kern w:val="0"/>
          <w:shd w:val="clear" w:color="auto" w:fill="FFFFFF"/>
        </w:rPr>
        <w:t xml:space="preserve">（二）项目编号：JZFCG-G2018062号    </w:t>
      </w:r>
    </w:p>
    <w:p>
      <w:pPr>
        <w:pStyle w:val="12"/>
        <w:widowControl/>
        <w:shd w:val="clear" w:color="auto" w:fill="FFFFFF"/>
        <w:spacing w:line="408" w:lineRule="auto"/>
        <w:ind w:firstLine="420"/>
        <w:contextualSpacing/>
        <w:jc w:val="left"/>
        <w:rPr>
          <w:rFonts w:ascii="宋体" w:hAnsi="宋体" w:cs="宋体" w:eastAsiaTheme="minorEastAsia"/>
          <w:kern w:val="0"/>
          <w:shd w:val="clear" w:color="auto" w:fill="FFFFFF"/>
        </w:rPr>
      </w:pPr>
      <w:r>
        <w:rPr>
          <w:rFonts w:hint="eastAsia" w:ascii="宋体" w:hAnsi="宋体" w:cs="宋体" w:eastAsiaTheme="minorEastAsia"/>
          <w:kern w:val="0"/>
          <w:shd w:val="clear" w:color="auto" w:fill="FFFFFF"/>
        </w:rPr>
        <w:t>（三）采购方式：公开招标</w:t>
      </w:r>
    </w:p>
    <w:p>
      <w:pPr>
        <w:pStyle w:val="12"/>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四）项目主要内容、数量及要求：此服务项目范围包含饮马河景区内设施维修；芙蓉湖设施维修；芙蓉广场设施维修；中央公园设施维修；示范区范围内水面保洁及水生植物运输处置焚烧；饮马河、芙蓉湖、芙蓉广场、中央公园内道路保洁及绿化养护。</w:t>
      </w:r>
    </w:p>
    <w:p>
      <w:pPr>
        <w:pStyle w:val="12"/>
        <w:widowControl/>
        <w:shd w:val="clear" w:color="auto" w:fill="FFFFFF"/>
        <w:spacing w:line="360" w:lineRule="auto"/>
        <w:ind w:firstLine="480" w:firstLineChars="200"/>
        <w:contextualSpacing/>
        <w:jc w:val="left"/>
        <w:rPr>
          <w:rFonts w:ascii="宋体" w:hAnsi="宋体" w:cs="仿宋_GB2312"/>
          <w:color w:val="000000"/>
          <w:shd w:val="clear" w:color="auto" w:fill="FFFFFF"/>
        </w:rPr>
      </w:pPr>
      <w:r>
        <w:rPr>
          <w:rFonts w:hint="eastAsia" w:cs="仿宋_GB2312" w:asciiTheme="minorEastAsia" w:hAnsiTheme="minorEastAsia"/>
          <w:shd w:val="clear" w:color="auto" w:fill="FFFFFF"/>
        </w:rPr>
        <w:t>（五）预算金额（年度费用 /年）：5659700元，最高限价：5659700元</w:t>
      </w:r>
    </w:p>
    <w:p>
      <w:pPr>
        <w:pStyle w:val="12"/>
        <w:widowControl/>
        <w:numPr>
          <w:ilvl w:val="0"/>
          <w:numId w:val="2"/>
        </w:numPr>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交付（服务、完工）时间：</w:t>
      </w:r>
      <w:r>
        <w:rPr>
          <w:rFonts w:hint="eastAsia" w:cs="仿宋_GB2312" w:asciiTheme="minorEastAsia" w:hAnsiTheme="minorEastAsia"/>
          <w:shd w:val="clear" w:color="auto" w:fill="FFFFFF"/>
        </w:rPr>
        <w:t>3年（其中试用期1年）</w:t>
      </w:r>
    </w:p>
    <w:p>
      <w:pPr>
        <w:pStyle w:val="12"/>
        <w:widowControl/>
        <w:numPr>
          <w:ilvl w:val="0"/>
          <w:numId w:val="2"/>
        </w:numPr>
        <w:shd w:val="clear" w:color="auto" w:fill="FFFFFF"/>
        <w:spacing w:line="408"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交付（服务、完工）地点：示范区行政区域内</w:t>
      </w: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hd w:val="clear" w:color="auto" w:fill="FFFFFF"/>
        </w:rPr>
      </w:pPr>
      <w:r>
        <w:rPr>
          <w:rFonts w:hint="eastAsia" w:asciiTheme="minorEastAsia" w:hAnsiTheme="minorEastAsia" w:eastAsiaTheme="minorEastAsia" w:cstheme="minorEastAsia"/>
          <w:b/>
          <w:color w:val="000000"/>
          <w:shd w:val="clear" w:color="auto" w:fill="FFFFFF"/>
        </w:rPr>
        <w:t>二、需要落实的政府采购政策</w:t>
      </w:r>
    </w:p>
    <w:p>
      <w:pPr>
        <w:pStyle w:val="12"/>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本项目落实</w:t>
      </w:r>
      <w:r>
        <w:rPr>
          <w:rFonts w:hint="eastAsia" w:ascii="宋体" w:hAnsi="宋体" w:cs="仿宋_GB2312"/>
          <w:color w:val="000000"/>
          <w:u w:val="single"/>
          <w:shd w:val="clear" w:color="auto" w:fill="FFFFFF"/>
        </w:rPr>
        <w:t>节能环保</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中小微型企业</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残疾人福利性单位</w:t>
      </w:r>
      <w:r>
        <w:rPr>
          <w:rFonts w:hint="eastAsia" w:ascii="宋体" w:hAnsi="宋体" w:cs="仿宋_GB2312"/>
          <w:color w:val="000000"/>
          <w:shd w:val="clear" w:color="auto" w:fill="FFFFFF"/>
        </w:rPr>
        <w:t>扶持等相关政府采购政策。</w:t>
      </w: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hd w:val="clear" w:color="auto" w:fill="FFFFFF"/>
        </w:rPr>
      </w:pPr>
      <w:r>
        <w:rPr>
          <w:rFonts w:hint="eastAsia" w:asciiTheme="minorEastAsia" w:hAnsiTheme="minorEastAsia" w:eastAsiaTheme="minorEastAsia" w:cstheme="minorEastAsia"/>
          <w:b/>
          <w:color w:val="000000"/>
          <w:shd w:val="clear" w:color="auto" w:fill="FFFFFF"/>
        </w:rPr>
        <w:t>三、投标人资格要求</w:t>
      </w:r>
    </w:p>
    <w:p>
      <w:pPr>
        <w:pStyle w:val="12"/>
        <w:widowControl/>
        <w:shd w:val="clear" w:color="auto" w:fill="FFFFFF"/>
        <w:spacing w:line="408" w:lineRule="auto"/>
        <w:ind w:firstLine="240" w:firstLineChars="100"/>
        <w:contextualSpacing/>
        <w:jc w:val="left"/>
        <w:rPr>
          <w:rFonts w:ascii="宋体" w:cs="宋体" w:hAnsiTheme="minorHAnsi" w:eastAsiaTheme="minorEastAsia"/>
          <w:lang w:val="zh-CN"/>
        </w:rPr>
      </w:pPr>
      <w:r>
        <w:rPr>
          <w:rFonts w:hint="eastAsia" w:ascii="宋体" w:cs="宋体" w:hAnsiTheme="minorHAnsi" w:eastAsiaTheme="minorEastAsia"/>
          <w:lang w:val="zh-CN"/>
        </w:rPr>
        <w:t>（一）符合《中华人民共和国政府采购法》第二十二条之规定；</w:t>
      </w:r>
    </w:p>
    <w:p>
      <w:pPr>
        <w:pStyle w:val="12"/>
        <w:widowControl/>
        <w:shd w:val="clear" w:color="auto" w:fill="FFFFFF"/>
        <w:spacing w:line="408" w:lineRule="auto"/>
        <w:ind w:firstLine="240" w:firstLineChars="100"/>
        <w:contextualSpacing/>
        <w:jc w:val="left"/>
        <w:rPr>
          <w:rFonts w:ascii="宋体" w:cs="宋体" w:hAnsiTheme="minorHAnsi" w:eastAsiaTheme="minorEastAsia"/>
          <w:lang w:val="zh-CN"/>
        </w:rPr>
      </w:pPr>
      <w:r>
        <w:rPr>
          <w:rFonts w:hint="eastAsia" w:ascii="宋体" w:cs="宋体" w:hAnsiTheme="minorHAnsi" w:eastAsiaTheme="minorEastAsia"/>
          <w:lang w:val="zh-CN"/>
        </w:rPr>
        <w:t>（二）投标人同时应具有独立法人资格，具备建设行政主管部门颁发的市政公用工程施工总承包叁级及以上（含叁级）资质，且具有有效的安全生产许可证；</w:t>
      </w:r>
    </w:p>
    <w:p>
      <w:pPr>
        <w:pStyle w:val="12"/>
        <w:widowControl/>
        <w:shd w:val="clear" w:color="auto" w:fill="FFFFFF"/>
        <w:spacing w:line="408" w:lineRule="auto"/>
        <w:ind w:firstLine="480" w:firstLineChars="200"/>
        <w:contextualSpacing/>
        <w:jc w:val="left"/>
        <w:rPr>
          <w:rFonts w:ascii="宋体" w:cs="宋体" w:hAnsiTheme="minorHAnsi" w:eastAsiaTheme="minorEastAsia"/>
          <w:lang w:val="zh-CN"/>
        </w:rPr>
      </w:pPr>
      <w:r>
        <w:rPr>
          <w:rFonts w:hint="eastAsia" w:ascii="宋体" w:cs="宋体" w:hAnsiTheme="minorHAnsi" w:eastAsiaTheme="minorEastAsia"/>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12"/>
        <w:widowControl/>
        <w:shd w:val="clear" w:color="auto" w:fill="FFFFFF"/>
        <w:spacing w:line="408" w:lineRule="auto"/>
        <w:ind w:firstLine="240" w:firstLineChars="100"/>
        <w:contextualSpacing/>
        <w:jc w:val="left"/>
        <w:rPr>
          <w:rFonts w:ascii="宋体" w:cs="宋体" w:hAnsiTheme="minorHAnsi" w:eastAsiaTheme="minorEastAsia"/>
          <w:lang w:val="zh-CN"/>
        </w:rPr>
      </w:pPr>
      <w:r>
        <w:rPr>
          <w:rFonts w:hint="eastAsia" w:ascii="宋体" w:cs="宋体" w:hAnsiTheme="minorHAnsi" w:eastAsiaTheme="minorEastAsia"/>
          <w:lang w:val="zh-CN"/>
        </w:rPr>
        <w:t>（四）本次招标不接受联合体投标。</w:t>
      </w: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z w:val="21"/>
          <w:shd w:val="clear" w:color="auto" w:fill="FFFFFF"/>
        </w:rPr>
      </w:pPr>
      <w:r>
        <w:rPr>
          <w:rFonts w:hint="eastAsia" w:asciiTheme="minorEastAsia" w:hAnsiTheme="minorEastAsia" w:eastAsiaTheme="minorEastAsia" w:cstheme="minorEastAsia"/>
          <w:b/>
          <w:color w:val="000000"/>
          <w:shd w:val="clear" w:color="auto" w:fill="FFFFFF"/>
        </w:rPr>
        <w:t>四、项目需求</w:t>
      </w:r>
    </w:p>
    <w:p>
      <w:pPr>
        <w:widowControl/>
        <w:shd w:val="clear" w:color="auto" w:fill="FFFFFF"/>
        <w:spacing w:line="360" w:lineRule="auto"/>
        <w:ind w:firstLine="315" w:firstLineChars="150"/>
        <w:contextualSpacing/>
        <w:jc w:val="left"/>
        <w:rPr>
          <w:rFonts w:ascii="宋体" w:hAnsi="宋体" w:cs="黑体"/>
          <w:b/>
          <w:bCs/>
          <w:color w:val="000000"/>
          <w:sz w:val="24"/>
          <w:shd w:val="clear" w:color="auto" w:fill="FFFFFF"/>
        </w:rPr>
      </w:pPr>
      <w:r>
        <w:rPr>
          <w:rFonts w:hint="eastAsia" w:ascii="宋体" w:hAnsi="宋体" w:cs="仿宋_GB2312"/>
          <w:color w:val="000000"/>
          <w:shd w:val="clear" w:color="auto" w:fill="FFFFFF"/>
        </w:rPr>
        <w:t>（一）</w:t>
      </w:r>
      <w:r>
        <w:rPr>
          <w:rFonts w:hint="eastAsia" w:ascii="宋体" w:hAnsi="宋体" w:cs="黑体"/>
          <w:b/>
          <w:bCs/>
          <w:color w:val="000000"/>
          <w:sz w:val="24"/>
          <w:shd w:val="clear" w:color="auto" w:fill="FFFFFF"/>
        </w:rPr>
        <w:t>本项目需实现的功能或者目标</w:t>
      </w:r>
    </w:p>
    <w:p>
      <w:pPr>
        <w:pStyle w:val="12"/>
        <w:widowControl/>
        <w:shd w:val="clear" w:color="auto" w:fill="FFFFFF"/>
        <w:spacing w:line="360" w:lineRule="auto"/>
        <w:ind w:firstLine="482" w:firstLineChars="200"/>
        <w:contextualSpacing/>
        <w:rPr>
          <w:rFonts w:ascii="宋体" w:hAnsi="宋体" w:eastAsiaTheme="minorEastAsia" w:cstheme="minorBidi"/>
          <w:b/>
          <w:bCs/>
        </w:rPr>
      </w:pPr>
      <w:r>
        <w:rPr>
          <w:rFonts w:hint="eastAsia" w:ascii="宋体" w:hAnsi="宋体" w:eastAsiaTheme="minorEastAsia" w:cstheme="minorBidi"/>
          <w:b/>
          <w:bCs/>
        </w:rPr>
        <w:t>（1）项目概况：</w:t>
      </w:r>
    </w:p>
    <w:p>
      <w:pPr>
        <w:spacing w:line="440" w:lineRule="exact"/>
        <w:ind w:firstLine="480" w:firstLineChars="200"/>
        <w:rPr>
          <w:rFonts w:ascii="宋体" w:hAnsi="宋体"/>
          <w:sz w:val="24"/>
        </w:rPr>
      </w:pPr>
      <w:r>
        <w:rPr>
          <w:rFonts w:hint="eastAsia" w:ascii="宋体" w:hAnsi="宋体"/>
          <w:sz w:val="24"/>
        </w:rPr>
        <w:t>示范区水系、芙蓉广场、中央公园综合管养项目”，包括饮马河景区内设施维修；芙蓉湖设施维修；芙蓉广场设施维修；中央公园设施维修；示范区范围内水面保洁及水生植物运输处置焚烧；饮马河、芙蓉湖、芙蓉广场、中央公园内道路保洁及绿化养护。</w:t>
      </w:r>
    </w:p>
    <w:p>
      <w:pPr>
        <w:spacing w:line="440" w:lineRule="exact"/>
        <w:ind w:firstLine="480" w:firstLineChars="200"/>
        <w:rPr>
          <w:rFonts w:ascii="宋体" w:hAnsi="宋体"/>
          <w:sz w:val="24"/>
        </w:rPr>
      </w:pPr>
      <w:r>
        <w:rPr>
          <w:rFonts w:hint="eastAsia" w:ascii="宋体" w:hAnsi="宋体"/>
          <w:sz w:val="24"/>
        </w:rPr>
        <w:t>根据精细化管理要求，结合服务区域实际情况，保洁人员不低于40人，保安人员不低于40人，打捞船只不低于6条，全天候不间断管护。对于后期增加附属设施双方协商增加费用。配套设备如由施工单位自行提供。本报价为综合报价，中标单位根据采购方要求进行管养。</w:t>
      </w:r>
    </w:p>
    <w:p>
      <w:pPr>
        <w:spacing w:line="440" w:lineRule="exact"/>
        <w:ind w:firstLine="241" w:firstLineChars="100"/>
        <w:rPr>
          <w:rFonts w:ascii="宋体" w:hAnsi="宋体" w:cs="黑体"/>
          <w:b/>
          <w:bCs/>
          <w:color w:val="000000"/>
          <w:sz w:val="24"/>
          <w:shd w:val="clear" w:color="auto" w:fill="FFFFFF"/>
        </w:rPr>
      </w:pPr>
      <w:r>
        <w:rPr>
          <w:rFonts w:hint="eastAsia" w:ascii="宋体" w:hAnsi="宋体" w:cs="黑体"/>
          <w:b/>
          <w:bCs/>
          <w:color w:val="000000"/>
          <w:sz w:val="24"/>
          <w:shd w:val="clear" w:color="auto" w:fill="FFFFFF"/>
        </w:rPr>
        <w:t>（二）采购清单</w:t>
      </w:r>
    </w:p>
    <w:tbl>
      <w:tblPr>
        <w:tblStyle w:val="18"/>
        <w:tblW w:w="9782" w:type="dxa"/>
        <w:jc w:val="center"/>
        <w:tblInd w:w="1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650"/>
        <w:gridCol w:w="327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9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序号</w:t>
            </w:r>
          </w:p>
        </w:tc>
        <w:tc>
          <w:tcPr>
            <w:tcW w:w="2650" w:type="dxa"/>
            <w:vAlign w:val="center"/>
          </w:tcPr>
          <w:p>
            <w:pPr>
              <w:pStyle w:val="12"/>
              <w:widowControl/>
              <w:shd w:val="clear" w:color="auto" w:fill="FFFFFF"/>
              <w:spacing w:line="360" w:lineRule="auto"/>
              <w:ind w:firstLine="420"/>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名称</w:t>
            </w:r>
          </w:p>
        </w:tc>
        <w:tc>
          <w:tcPr>
            <w:tcW w:w="3275"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服务内容</w:t>
            </w:r>
          </w:p>
        </w:tc>
        <w:tc>
          <w:tcPr>
            <w:tcW w:w="2967"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9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w:t>
            </w:r>
          </w:p>
        </w:tc>
        <w:tc>
          <w:tcPr>
            <w:tcW w:w="265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设施维修及保安</w:t>
            </w:r>
          </w:p>
        </w:tc>
        <w:tc>
          <w:tcPr>
            <w:tcW w:w="3275"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967"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0"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w:t>
            </w:r>
          </w:p>
        </w:tc>
        <w:tc>
          <w:tcPr>
            <w:tcW w:w="2650"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饮马河景区内设施维修</w:t>
            </w: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花岗岩广场破损维修</w:t>
            </w:r>
          </w:p>
        </w:tc>
        <w:tc>
          <w:tcPr>
            <w:tcW w:w="2967" w:type="dxa"/>
            <w:vMerge w:val="restart"/>
            <w:vAlign w:val="center"/>
          </w:tcPr>
          <w:p>
            <w:pPr>
              <w:widowControl/>
              <w:shd w:val="clear" w:color="auto" w:fill="FFFFFF"/>
              <w:spacing w:line="360" w:lineRule="auto"/>
              <w:contextualSpacing/>
              <w:jc w:val="center"/>
              <w:rPr>
                <w:rFonts w:cs="仿宋_GB2312" w:asciiTheme="minorEastAsia" w:hAnsiTheme="minorEastAsia"/>
                <w:sz w:val="24"/>
                <w:shd w:val="clear" w:color="auto" w:fill="FFFFFF"/>
              </w:rPr>
            </w:pPr>
            <w:r>
              <w:rPr>
                <w:rFonts w:hint="eastAsia" w:cs="仿宋_GB2312" w:asciiTheme="minorEastAsia" w:hAnsiTheme="minorEastAsia"/>
                <w:sz w:val="24"/>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0" w:type="dxa"/>
            <w:vMerge w:val="continue"/>
            <w:vAlign w:val="center"/>
          </w:tcPr>
          <w:p>
            <w:pPr>
              <w:pStyle w:val="12"/>
              <w:widowControl/>
              <w:shd w:val="clear" w:color="auto" w:fill="FFFFFF"/>
              <w:spacing w:line="360" w:lineRule="auto"/>
              <w:contextualSpacing/>
            </w:pPr>
          </w:p>
        </w:tc>
        <w:tc>
          <w:tcPr>
            <w:tcW w:w="2650" w:type="dxa"/>
            <w:vMerge w:val="continue"/>
            <w:vAlign w:val="center"/>
          </w:tcPr>
          <w:p>
            <w:pPr>
              <w:pStyle w:val="12"/>
              <w:widowControl/>
              <w:shd w:val="clear" w:color="auto" w:fill="FFFFFF"/>
              <w:spacing w:line="360" w:lineRule="auto"/>
              <w:contextualSpacing/>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防腐木栈道破损维修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红色步砖园路破损维修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红色沥青人行道破损维修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铁垃圾箱破损更换</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景观灯检修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公厕维护（疏挖外运）</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管理房维修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游乐健身设施管理</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防腐木栈道破刷漆（两遍）</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w:t>
            </w:r>
          </w:p>
        </w:tc>
        <w:tc>
          <w:tcPr>
            <w:tcW w:w="2650"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芙蓉湖设施维修</w:t>
            </w: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花岗岩园路破损维修</w:t>
            </w:r>
          </w:p>
        </w:tc>
        <w:tc>
          <w:tcPr>
            <w:tcW w:w="2967" w:type="dxa"/>
            <w:vMerge w:val="restart"/>
            <w:vAlign w:val="center"/>
          </w:tcPr>
          <w:p>
            <w:pPr>
              <w:pStyle w:val="2"/>
              <w:ind w:firstLine="240"/>
              <w:rPr>
                <w:rFonts w:cs="仿宋_GB2312" w:asciiTheme="minorEastAsia" w:hAnsiTheme="minorEastAsia" w:eastAsiaTheme="minorEastAsia"/>
                <w:kern w:val="2"/>
                <w:sz w:val="24"/>
                <w:szCs w:val="24"/>
                <w:shd w:val="clear" w:color="auto" w:fill="FFFFFF"/>
              </w:rPr>
            </w:pPr>
            <w:r>
              <w:rPr>
                <w:rFonts w:hint="eastAsia" w:cs="仿宋_GB2312" w:asciiTheme="minorEastAsia" w:hAnsiTheme="minorEastAsia" w:eastAsiaTheme="minorEastAsia"/>
                <w:kern w:val="2"/>
                <w:sz w:val="24"/>
                <w:szCs w:val="24"/>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pPr>
          </w:p>
        </w:tc>
        <w:tc>
          <w:tcPr>
            <w:tcW w:w="2650" w:type="dxa"/>
            <w:vMerge w:val="continue"/>
            <w:vAlign w:val="center"/>
          </w:tcPr>
          <w:p>
            <w:pPr>
              <w:pStyle w:val="12"/>
              <w:widowControl/>
              <w:shd w:val="clear" w:color="auto" w:fill="FFFFFF"/>
              <w:spacing w:line="360" w:lineRule="auto"/>
              <w:contextualSpacing/>
              <w:jc w:val="cente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花岗岩广场破损维修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人行道红色透水砖破损维修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防腐木栈道破损维修（新型材料）</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铁垃圾箱破损更换</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花岗岩道牙破损更换</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砼路面破损维修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防腐木栈道破损维修（新型材料）</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人行道混凝土砖破损维修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人行道花岗岩破损维修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公厕疏挖外运</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防腐木栈道破刷漆（两遍）</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90"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w:t>
            </w:r>
          </w:p>
        </w:tc>
        <w:tc>
          <w:tcPr>
            <w:tcW w:w="2650"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芙蓉广场设施维修及保安</w:t>
            </w: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红色步砖园路破损维修</w:t>
            </w:r>
          </w:p>
        </w:tc>
        <w:tc>
          <w:tcPr>
            <w:tcW w:w="2967" w:type="dxa"/>
            <w:vMerge w:val="restart"/>
            <w:vAlign w:val="center"/>
          </w:tcPr>
          <w:p>
            <w:pPr>
              <w:widowControl/>
              <w:shd w:val="clear" w:color="auto" w:fill="FFFFFF"/>
              <w:spacing w:line="360" w:lineRule="auto"/>
              <w:contextualSpacing/>
              <w:jc w:val="center"/>
              <w:rPr>
                <w:rFonts w:cs="仿宋_GB2312" w:asciiTheme="minorEastAsia" w:hAnsiTheme="minorEastAsia"/>
                <w:sz w:val="24"/>
                <w:shd w:val="clear" w:color="auto" w:fill="FFFFFF"/>
              </w:rPr>
            </w:pPr>
            <w:r>
              <w:rPr>
                <w:rFonts w:hint="eastAsia" w:cs="仿宋_GB2312" w:asciiTheme="minorEastAsia" w:hAnsiTheme="minorEastAsia"/>
                <w:sz w:val="24"/>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90" w:type="dxa"/>
            <w:vMerge w:val="continue"/>
            <w:vAlign w:val="center"/>
          </w:tcPr>
          <w:p>
            <w:pPr>
              <w:pStyle w:val="12"/>
              <w:widowControl/>
              <w:shd w:val="clear" w:color="auto" w:fill="FFFFFF"/>
              <w:spacing w:line="360" w:lineRule="auto"/>
              <w:contextualSpacing/>
            </w:pPr>
          </w:p>
        </w:tc>
        <w:tc>
          <w:tcPr>
            <w:tcW w:w="2650" w:type="dxa"/>
            <w:vMerge w:val="continue"/>
            <w:vAlign w:val="center"/>
          </w:tcPr>
          <w:p>
            <w:pPr>
              <w:pStyle w:val="12"/>
              <w:widowControl/>
              <w:shd w:val="clear" w:color="auto" w:fill="FFFFFF"/>
              <w:spacing w:line="360" w:lineRule="auto"/>
              <w:contextualSpacing/>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铁垃圾箱破损更换</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木垃圾箱破损更换</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花岗岩园路破损维修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黑灯柱，黄灯柱维修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公厕维护（疏挖外运）</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路灯、线路日常检修维护</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喷泉管护及维修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9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管理房维修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90"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4</w:t>
            </w:r>
          </w:p>
        </w:tc>
        <w:tc>
          <w:tcPr>
            <w:tcW w:w="2650" w:type="dxa"/>
            <w:vMerge w:val="restart"/>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中央公园及保安</w:t>
            </w:r>
          </w:p>
        </w:tc>
        <w:tc>
          <w:tcPr>
            <w:tcW w:w="3275" w:type="dxa"/>
            <w:vAlign w:val="center"/>
          </w:tcPr>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红色步砖园路破损维修</w:t>
            </w:r>
          </w:p>
        </w:tc>
        <w:tc>
          <w:tcPr>
            <w:tcW w:w="2967" w:type="dxa"/>
            <w:vMerge w:val="restart"/>
            <w:vAlign w:val="center"/>
          </w:tcPr>
          <w:p>
            <w:pPr>
              <w:widowControl/>
              <w:shd w:val="clear" w:color="auto" w:fill="FFFFFF"/>
              <w:spacing w:line="360" w:lineRule="auto"/>
              <w:contextualSpacing/>
              <w:jc w:val="center"/>
              <w:rPr>
                <w:rFonts w:cs="仿宋_GB2312" w:asciiTheme="minorEastAsia" w:hAnsiTheme="minorEastAsia"/>
                <w:sz w:val="24"/>
                <w:shd w:val="clear" w:color="auto" w:fill="FFFFFF"/>
              </w:rPr>
            </w:pPr>
            <w:r>
              <w:rPr>
                <w:rFonts w:hint="eastAsia" w:cs="仿宋_GB2312" w:asciiTheme="minorEastAsia" w:hAnsiTheme="minorEastAsia"/>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90" w:type="dxa"/>
            <w:vMerge w:val="continue"/>
            <w:vAlign w:val="center"/>
          </w:tcPr>
          <w:p>
            <w:pPr>
              <w:pStyle w:val="12"/>
              <w:widowControl/>
              <w:shd w:val="clear" w:color="auto" w:fill="FFFFFF"/>
              <w:spacing w:line="360" w:lineRule="auto"/>
              <w:contextualSpacing/>
              <w:jc w:val="center"/>
            </w:pPr>
          </w:p>
        </w:tc>
        <w:tc>
          <w:tcPr>
            <w:tcW w:w="2650" w:type="dxa"/>
            <w:vMerge w:val="continue"/>
            <w:vAlign w:val="center"/>
          </w:tcPr>
          <w:p>
            <w:pPr>
              <w:pStyle w:val="12"/>
              <w:widowControl/>
              <w:shd w:val="clear" w:color="auto" w:fill="FFFFFF"/>
              <w:spacing w:line="360" w:lineRule="auto"/>
              <w:contextualSpacing/>
              <w:jc w:val="center"/>
            </w:pPr>
          </w:p>
        </w:tc>
        <w:tc>
          <w:tcPr>
            <w:tcW w:w="3275" w:type="dxa"/>
            <w:vAlign w:val="center"/>
          </w:tcPr>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花岗岩园路破损维修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透水砖破损维修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公厕维护（疏挖外运）</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零星设施维修</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照明设施零星耗材</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路灯、线路日常检修维护</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89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650"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3275" w:type="dxa"/>
            <w:vAlign w:val="center"/>
          </w:tcPr>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中央公园保安</w:t>
            </w:r>
          </w:p>
        </w:tc>
        <w:tc>
          <w:tcPr>
            <w:tcW w:w="2967" w:type="dxa"/>
            <w:vMerge w:val="continue"/>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9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w:t>
            </w:r>
          </w:p>
        </w:tc>
        <w:tc>
          <w:tcPr>
            <w:tcW w:w="265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水面保洁</w:t>
            </w: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967" w:type="dxa"/>
            <w:vAlign w:val="center"/>
          </w:tcPr>
          <w:p>
            <w:pPr>
              <w:widowControl/>
              <w:shd w:val="clear" w:color="auto" w:fill="FFFFFF"/>
              <w:spacing w:line="360" w:lineRule="auto"/>
              <w:contextualSpacing/>
              <w:jc w:val="center"/>
              <w:rPr>
                <w:rFonts w:cs="仿宋_GB2312" w:asciiTheme="minorEastAsia" w:hAnsiTheme="minorEastAsia"/>
                <w:shd w:val="clear" w:color="auto" w:fill="FFFFFF"/>
              </w:rPr>
            </w:pPr>
            <w:r>
              <w:rPr>
                <w:rFonts w:hint="eastAsia" w:cs="仿宋_GB2312" w:asciiTheme="minorEastAsia" w:hAnsiTheme="minorEastAsia"/>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9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w:t>
            </w:r>
          </w:p>
        </w:tc>
        <w:tc>
          <w:tcPr>
            <w:tcW w:w="265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岸上设施保洁</w:t>
            </w:r>
          </w:p>
        </w:tc>
        <w:tc>
          <w:tcPr>
            <w:tcW w:w="3275"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967" w:type="dxa"/>
            <w:vAlign w:val="center"/>
          </w:tcPr>
          <w:p>
            <w:pPr>
              <w:widowControl/>
              <w:shd w:val="clear" w:color="auto" w:fill="FFFFFF"/>
              <w:spacing w:line="360" w:lineRule="auto"/>
              <w:contextualSpacing/>
              <w:jc w:val="center"/>
              <w:rPr>
                <w:rFonts w:cs="仿宋_GB2312" w:asciiTheme="minorEastAsia" w:hAnsiTheme="minorEastAsia"/>
                <w:shd w:val="clear" w:color="auto" w:fill="FFFFFF"/>
              </w:rPr>
            </w:pPr>
            <w:r>
              <w:rPr>
                <w:rFonts w:hint="eastAsia" w:cs="仿宋_GB2312" w:asciiTheme="minorEastAsia" w:hAnsiTheme="minorEastAsia"/>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9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w:t>
            </w:r>
          </w:p>
        </w:tc>
        <w:tc>
          <w:tcPr>
            <w:tcW w:w="265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绿化养护</w:t>
            </w: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967" w:type="dxa"/>
            <w:vAlign w:val="center"/>
          </w:tcPr>
          <w:p>
            <w:pPr>
              <w:widowControl/>
              <w:shd w:val="clear" w:color="auto" w:fill="FFFFFF"/>
              <w:spacing w:line="360" w:lineRule="auto"/>
              <w:contextualSpacing/>
              <w:jc w:val="center"/>
              <w:rPr>
                <w:rFonts w:cs="仿宋_GB2312" w:asciiTheme="minorEastAsia" w:hAnsiTheme="minorEastAsia"/>
                <w:shd w:val="clear" w:color="auto" w:fill="FFFFFF"/>
              </w:rPr>
            </w:pPr>
            <w:r>
              <w:rPr>
                <w:rFonts w:hint="eastAsia" w:cs="仿宋_GB2312" w:asciiTheme="minorEastAsia" w:hAnsiTheme="minorEastAsia"/>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9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w:t>
            </w:r>
          </w:p>
        </w:tc>
        <w:tc>
          <w:tcPr>
            <w:tcW w:w="265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水生植物运输处置焚烧</w:t>
            </w:r>
          </w:p>
        </w:tc>
        <w:tc>
          <w:tcPr>
            <w:tcW w:w="3275"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p>
        </w:tc>
        <w:tc>
          <w:tcPr>
            <w:tcW w:w="2967" w:type="dxa"/>
            <w:vAlign w:val="center"/>
          </w:tcPr>
          <w:p>
            <w:pPr>
              <w:widowControl/>
              <w:shd w:val="clear" w:color="auto" w:fill="FFFFFF"/>
              <w:spacing w:line="360" w:lineRule="auto"/>
              <w:contextualSpacing/>
              <w:jc w:val="center"/>
              <w:rPr>
                <w:rFonts w:cs="仿宋_GB2312" w:asciiTheme="minorEastAsia" w:hAnsiTheme="minorEastAsia"/>
                <w:shd w:val="clear" w:color="auto" w:fill="FFFFFF"/>
              </w:rPr>
            </w:pPr>
            <w:r>
              <w:rPr>
                <w:rFonts w:hint="eastAsia" w:cs="仿宋_GB2312" w:asciiTheme="minorEastAsia" w:hAnsiTheme="minorEastAsia"/>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9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w:t>
            </w:r>
          </w:p>
        </w:tc>
        <w:tc>
          <w:tcPr>
            <w:tcW w:w="2650" w:type="dxa"/>
            <w:vAlign w:val="center"/>
          </w:tcPr>
          <w:p>
            <w:pPr>
              <w:pStyle w:val="12"/>
              <w:widowControl/>
              <w:shd w:val="clear" w:color="auto" w:fill="FFFFFF"/>
              <w:spacing w:line="360" w:lineRule="auto"/>
              <w:contextualSpacing/>
              <w:jc w:val="center"/>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防溺水</w:t>
            </w:r>
          </w:p>
        </w:tc>
        <w:tc>
          <w:tcPr>
            <w:tcW w:w="3275" w:type="dxa"/>
            <w:vAlign w:val="center"/>
          </w:tcPr>
          <w:p>
            <w:pPr>
              <w:pStyle w:val="12"/>
              <w:widowControl/>
              <w:shd w:val="clear" w:color="auto" w:fill="FFFFFF"/>
              <w:spacing w:line="360" w:lineRule="auto"/>
              <w:contextualSpacing/>
              <w:rPr>
                <w:rFonts w:cs="仿宋_GB2312" w:asciiTheme="minorEastAsia" w:hAnsiTheme="minorEastAsia" w:eastAsiaTheme="minorEastAsia"/>
                <w:shd w:val="clear" w:color="auto" w:fill="FFFFFF"/>
              </w:rPr>
            </w:pPr>
          </w:p>
        </w:tc>
        <w:tc>
          <w:tcPr>
            <w:tcW w:w="2967" w:type="dxa"/>
            <w:vAlign w:val="center"/>
          </w:tcPr>
          <w:p>
            <w:pPr>
              <w:widowControl/>
              <w:shd w:val="clear" w:color="auto" w:fill="FFFFFF"/>
              <w:spacing w:line="360" w:lineRule="auto"/>
              <w:contextualSpacing/>
              <w:jc w:val="center"/>
              <w:rPr>
                <w:rFonts w:cs="仿宋_GB2312" w:asciiTheme="minorEastAsia" w:hAnsiTheme="minorEastAsia"/>
                <w:shd w:val="clear" w:color="auto" w:fill="FFFFFF"/>
              </w:rPr>
            </w:pPr>
            <w:r>
              <w:rPr>
                <w:rFonts w:hint="eastAsia" w:cs="仿宋_GB2312" w:asciiTheme="minorEastAsia" w:hAnsiTheme="minorEastAsia"/>
                <w:shd w:val="clear" w:color="auto" w:fill="FFFFFF"/>
              </w:rPr>
              <w:t>3年（其中试用期1年）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782" w:type="dxa"/>
            <w:gridSpan w:val="4"/>
            <w:vAlign w:val="center"/>
          </w:tcPr>
          <w:p>
            <w:pPr>
              <w:pStyle w:val="12"/>
              <w:widowControl/>
              <w:shd w:val="clear" w:color="auto" w:fill="FFFFFF"/>
              <w:spacing w:line="360" w:lineRule="auto"/>
              <w:contextualSpacing/>
              <w:jc w:val="left"/>
              <w:rPr>
                <w:rFonts w:cs="仿宋_GB2312" w:asciiTheme="minorEastAsia" w:hAnsiTheme="minorEastAsia" w:eastAsiaTheme="minorEastAsia"/>
                <w:b/>
                <w:bCs/>
                <w:shd w:val="clear" w:color="auto" w:fill="FFFFFF"/>
              </w:rPr>
            </w:pPr>
            <w:r>
              <w:rPr>
                <w:rFonts w:hint="eastAsia" w:cs="仿宋_GB2312" w:asciiTheme="minorEastAsia" w:hAnsiTheme="minorEastAsia" w:eastAsiaTheme="minorEastAsia"/>
                <w:b/>
                <w:bCs/>
                <w:shd w:val="clear" w:color="auto" w:fill="FFFFFF"/>
              </w:rPr>
              <w:t>注：</w:t>
            </w:r>
          </w:p>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1、上述项目采用政府采购服务，企业负责运营管理。</w:t>
            </w:r>
          </w:p>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2、本表带*的服务项目，当维修费用超出报价金额部分由中标单位承担，在报价金额费用以内的，根据实际维修工程量结算，剩余部分50%作为奖励金额，在实际进驻服务满一年时一并发放。</w:t>
            </w:r>
          </w:p>
          <w:p>
            <w:pPr>
              <w:pStyle w:val="12"/>
              <w:widowControl/>
              <w:shd w:val="clear" w:color="auto" w:fill="FFFFFF"/>
              <w:spacing w:line="360"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3、“路灯、线路日常检修维护”包含整体线路（含水下线路维修）。</w:t>
            </w:r>
          </w:p>
        </w:tc>
      </w:tr>
    </w:tbl>
    <w:p>
      <w:pPr>
        <w:snapToGrid w:val="0"/>
        <w:spacing w:line="360" w:lineRule="auto"/>
        <w:ind w:firstLine="482" w:firstLineChars="200"/>
        <w:rPr>
          <w:rFonts w:asciiTheme="minorEastAsia" w:hAnsiTheme="minorEastAsia"/>
          <w:b/>
          <w:bCs/>
          <w:kern w:val="0"/>
          <w:sz w:val="24"/>
        </w:rPr>
      </w:pPr>
    </w:p>
    <w:p>
      <w:pPr>
        <w:snapToGrid w:val="0"/>
        <w:spacing w:line="360" w:lineRule="auto"/>
        <w:ind w:firstLine="482" w:firstLineChars="200"/>
        <w:rPr>
          <w:rFonts w:asciiTheme="minorEastAsia" w:hAnsiTheme="minorEastAsia"/>
          <w:b/>
          <w:bCs/>
          <w:kern w:val="0"/>
          <w:sz w:val="24"/>
        </w:rPr>
      </w:pPr>
      <w:r>
        <w:rPr>
          <w:rFonts w:hint="eastAsia" w:asciiTheme="minorEastAsia" w:hAnsiTheme="minorEastAsia"/>
          <w:b/>
          <w:bCs/>
          <w:kern w:val="0"/>
          <w:sz w:val="24"/>
        </w:rPr>
        <w:t>注：本采购清单中所列技术规格或主要参数为最低要求，不允许负偏离，否则将承担其投标被视为非实质性响应投标的风险。</w:t>
      </w:r>
    </w:p>
    <w:p>
      <w:pPr>
        <w:numPr>
          <w:ilvl w:val="0"/>
          <w:numId w:val="3"/>
        </w:numPr>
        <w:snapToGrid w:val="0"/>
        <w:spacing w:line="360" w:lineRule="auto"/>
        <w:ind w:firstLine="482" w:firstLineChars="200"/>
        <w:rPr>
          <w:rFonts w:asciiTheme="minorEastAsia" w:hAnsiTheme="minorEastAsia"/>
          <w:b/>
          <w:bCs/>
          <w:kern w:val="0"/>
          <w:sz w:val="24"/>
        </w:rPr>
      </w:pPr>
      <w:r>
        <w:rPr>
          <w:rFonts w:hint="eastAsia" w:asciiTheme="minorEastAsia" w:hAnsiTheme="minorEastAsia"/>
          <w:b/>
          <w:bCs/>
          <w:kern w:val="0"/>
          <w:sz w:val="24"/>
        </w:rPr>
        <w:t>其他采购需求及标准：</w:t>
      </w:r>
    </w:p>
    <w:p>
      <w:pPr>
        <w:snapToGrid w:val="0"/>
        <w:spacing w:line="360" w:lineRule="auto"/>
        <w:ind w:firstLine="482" w:firstLineChars="200"/>
        <w:rPr>
          <w:rFonts w:asciiTheme="minorEastAsia" w:hAnsiTheme="minorEastAsia"/>
          <w:b/>
          <w:bCs/>
          <w:kern w:val="0"/>
          <w:sz w:val="24"/>
        </w:rPr>
      </w:pPr>
      <w:r>
        <w:rPr>
          <w:rFonts w:hint="eastAsia" w:asciiTheme="minorEastAsia" w:hAnsiTheme="minorEastAsia"/>
          <w:b/>
          <w:bCs/>
          <w:kern w:val="0"/>
          <w:sz w:val="24"/>
        </w:rPr>
        <w:t>1.</w:t>
      </w:r>
      <w:r>
        <w:rPr>
          <w:rFonts w:hint="eastAsia" w:cs="宋体" w:asciiTheme="minorEastAsia" w:hAnsiTheme="minorEastAsia"/>
          <w:b/>
          <w:kern w:val="0"/>
          <w:sz w:val="24"/>
          <w:lang w:val="zh-CN"/>
        </w:rPr>
        <w:t>服务</w:t>
      </w:r>
      <w:r>
        <w:rPr>
          <w:rFonts w:hint="eastAsia" w:asciiTheme="minorEastAsia" w:hAnsiTheme="minorEastAsia"/>
          <w:b/>
          <w:bCs/>
          <w:kern w:val="0"/>
          <w:sz w:val="24"/>
        </w:rPr>
        <w:t>质量要求具体如下：</w:t>
      </w:r>
    </w:p>
    <w:p>
      <w:pPr>
        <w:widowControl/>
        <w:shd w:val="clear" w:color="auto" w:fill="FFFFFF"/>
        <w:spacing w:line="360" w:lineRule="auto"/>
        <w:ind w:firstLine="482" w:firstLineChars="200"/>
        <w:rPr>
          <w:rFonts w:ascii="宋体" w:hAnsi="宋体"/>
          <w:b/>
          <w:bCs/>
          <w:sz w:val="24"/>
        </w:rPr>
      </w:pPr>
      <w:r>
        <w:rPr>
          <w:rFonts w:hint="eastAsia" w:ascii="宋体" w:hAnsi="宋体"/>
          <w:b/>
          <w:bCs/>
          <w:sz w:val="24"/>
        </w:rPr>
        <w:t>1.1．</w:t>
      </w:r>
      <w:r>
        <w:rPr>
          <w:rFonts w:ascii="宋体" w:hAnsi="宋体"/>
          <w:b/>
          <w:bCs/>
          <w:sz w:val="24"/>
        </w:rPr>
        <w:t>质量保证</w:t>
      </w:r>
    </w:p>
    <w:p>
      <w:pPr>
        <w:widowControl/>
        <w:shd w:val="clear" w:color="auto" w:fill="FFFFFF"/>
        <w:spacing w:line="360" w:lineRule="auto"/>
        <w:ind w:firstLine="480" w:firstLineChars="200"/>
        <w:rPr>
          <w:rFonts w:ascii="宋体" w:hAnsi="宋体"/>
          <w:sz w:val="24"/>
        </w:rPr>
      </w:pPr>
      <w:r>
        <w:rPr>
          <w:rFonts w:hint="eastAsia" w:ascii="宋体" w:hAnsi="宋体"/>
          <w:sz w:val="24"/>
        </w:rPr>
        <w:t>11.1</w:t>
      </w:r>
      <w:r>
        <w:rPr>
          <w:rFonts w:ascii="宋体" w:hAnsi="宋体"/>
          <w:sz w:val="24"/>
        </w:rPr>
        <w:t>.1 要求满足国家、行业及我</w:t>
      </w:r>
      <w:r>
        <w:rPr>
          <w:rFonts w:hint="eastAsia" w:ascii="宋体" w:hAnsi="宋体"/>
          <w:sz w:val="24"/>
        </w:rPr>
        <w:t>市</w:t>
      </w:r>
      <w:r>
        <w:rPr>
          <w:rFonts w:ascii="宋体" w:hAnsi="宋体"/>
          <w:sz w:val="24"/>
        </w:rPr>
        <w:t>相关安全及文明施工管理要求，进场人员及机械服从相关管理制度。</w:t>
      </w:r>
    </w:p>
    <w:p>
      <w:pPr>
        <w:widowControl/>
        <w:shd w:val="clear" w:color="auto" w:fill="FFFFFF"/>
        <w:spacing w:line="360" w:lineRule="auto"/>
        <w:ind w:firstLine="480" w:firstLineChars="200"/>
        <w:rPr>
          <w:rFonts w:ascii="宋体" w:hAnsi="宋体"/>
          <w:sz w:val="24"/>
        </w:rPr>
      </w:pPr>
      <w:r>
        <w:rPr>
          <w:rFonts w:hint="eastAsia" w:ascii="宋体" w:hAnsi="宋体"/>
          <w:sz w:val="24"/>
        </w:rPr>
        <w:t>11.1</w:t>
      </w:r>
      <w:r>
        <w:rPr>
          <w:rFonts w:ascii="宋体" w:hAnsi="宋体"/>
          <w:sz w:val="24"/>
        </w:rPr>
        <w:t>.2 中标单位认真完成工作标准规定的作业项目，确保卫生质量，达到采购单位满意</w:t>
      </w:r>
      <w:r>
        <w:rPr>
          <w:rFonts w:hint="eastAsia"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rPr>
        <w:t>11.1</w:t>
      </w:r>
      <w:r>
        <w:rPr>
          <w:rFonts w:ascii="宋体" w:hAnsi="宋体"/>
          <w:sz w:val="24"/>
        </w:rPr>
        <w:t>.3中标单位劳务人员数量</w:t>
      </w:r>
      <w:r>
        <w:rPr>
          <w:rFonts w:hint="eastAsia" w:ascii="宋体" w:hAnsi="宋体"/>
          <w:sz w:val="24"/>
        </w:rPr>
        <w:t>应按</w:t>
      </w:r>
      <w:r>
        <w:rPr>
          <w:rFonts w:ascii="宋体" w:hAnsi="宋体"/>
          <w:sz w:val="24"/>
        </w:rPr>
        <w:t>采购单位</w:t>
      </w:r>
      <w:r>
        <w:rPr>
          <w:rFonts w:hint="eastAsia" w:ascii="宋体" w:hAnsi="宋体"/>
          <w:sz w:val="24"/>
        </w:rPr>
        <w:t>的要求，定人定岗</w:t>
      </w:r>
      <w:r>
        <w:rPr>
          <w:rFonts w:ascii="宋体" w:hAnsi="宋体"/>
          <w:sz w:val="24"/>
        </w:rPr>
        <w:t>。</w:t>
      </w:r>
    </w:p>
    <w:p>
      <w:pPr>
        <w:widowControl/>
        <w:shd w:val="clear" w:color="auto" w:fill="FFFFFF"/>
        <w:spacing w:line="360" w:lineRule="auto"/>
        <w:rPr>
          <w:rFonts w:ascii="宋体" w:hAnsi="宋体"/>
          <w:sz w:val="24"/>
        </w:rPr>
      </w:pPr>
      <w:r>
        <w:rPr>
          <w:rFonts w:hint="eastAsia" w:ascii="宋体" w:hAnsi="宋体"/>
          <w:sz w:val="24"/>
        </w:rPr>
        <w:t xml:space="preserve">    11.1</w:t>
      </w:r>
      <w:r>
        <w:rPr>
          <w:rFonts w:ascii="宋体" w:hAnsi="宋体"/>
          <w:sz w:val="24"/>
        </w:rPr>
        <w:t>.</w:t>
      </w:r>
      <w:r>
        <w:rPr>
          <w:rFonts w:hint="eastAsia" w:ascii="宋体" w:hAnsi="宋体"/>
          <w:sz w:val="24"/>
        </w:rPr>
        <w:t>4</w:t>
      </w:r>
      <w:r>
        <w:rPr>
          <w:rFonts w:ascii="宋体" w:hAnsi="宋体"/>
          <w:sz w:val="24"/>
        </w:rPr>
        <w:t xml:space="preserve"> 中标单位员工在工作期间不得随意离开工作岗位，若中标单位主管责任人不在现场，中标单位临时负责人应接受采购单位主管负责人的监督指导，并按采购单位的工作标准进行检查</w:t>
      </w:r>
      <w:r>
        <w:rPr>
          <w:rFonts w:hint="eastAsia"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rPr>
        <w:t>11.1</w:t>
      </w:r>
      <w:r>
        <w:rPr>
          <w:rFonts w:ascii="宋体" w:hAnsi="宋体"/>
          <w:sz w:val="24"/>
        </w:rPr>
        <w:t>.</w:t>
      </w:r>
      <w:r>
        <w:rPr>
          <w:rFonts w:hint="eastAsia" w:ascii="宋体" w:hAnsi="宋体"/>
          <w:sz w:val="24"/>
        </w:rPr>
        <w:t>5</w:t>
      </w:r>
      <w:r>
        <w:rPr>
          <w:rFonts w:ascii="宋体" w:hAnsi="宋体"/>
          <w:sz w:val="24"/>
        </w:rPr>
        <w:t>中标单位派出一名项目负责</w:t>
      </w:r>
      <w:r>
        <w:rPr>
          <w:rFonts w:hint="eastAsia" w:ascii="宋体" w:hAnsi="宋体"/>
          <w:sz w:val="24"/>
        </w:rPr>
        <w:t>人</w:t>
      </w:r>
      <w:r>
        <w:rPr>
          <w:rFonts w:ascii="宋体" w:hAnsi="宋体"/>
          <w:sz w:val="24"/>
        </w:rPr>
        <w:t>工作质量检查和紧急情况的处理</w:t>
      </w:r>
      <w:r>
        <w:rPr>
          <w:rFonts w:hint="eastAsia" w:ascii="宋体" w:hAnsi="宋体"/>
          <w:sz w:val="24"/>
        </w:rPr>
        <w:t>，及时应出现的各种突发事件，及时采取有效措施并报告，因处置不当、不及时造成的严重后果的，中标单位应承担责任。</w:t>
      </w:r>
    </w:p>
    <w:p>
      <w:pPr>
        <w:widowControl/>
        <w:shd w:val="clear" w:color="auto" w:fill="FFFFFF"/>
        <w:spacing w:line="360" w:lineRule="auto"/>
        <w:ind w:firstLine="480" w:firstLineChars="200"/>
        <w:rPr>
          <w:rFonts w:ascii="宋体" w:hAnsi="宋体"/>
          <w:sz w:val="24"/>
        </w:rPr>
      </w:pPr>
      <w:r>
        <w:rPr>
          <w:rFonts w:hint="eastAsia" w:ascii="宋体" w:hAnsi="宋体"/>
          <w:sz w:val="24"/>
        </w:rPr>
        <w:t>11.1</w:t>
      </w:r>
      <w:r>
        <w:rPr>
          <w:rFonts w:ascii="宋体" w:hAnsi="宋体"/>
          <w:sz w:val="24"/>
        </w:rPr>
        <w:t>.</w:t>
      </w:r>
      <w:r>
        <w:rPr>
          <w:rFonts w:hint="eastAsia" w:ascii="宋体" w:hAnsi="宋体"/>
          <w:sz w:val="24"/>
        </w:rPr>
        <w:t>6</w:t>
      </w:r>
      <w:r>
        <w:rPr>
          <w:rFonts w:ascii="宋体" w:hAnsi="宋体"/>
          <w:sz w:val="24"/>
        </w:rPr>
        <w:t>中标单位在作业中应严格要求工作人员，做好各种防护措施，不得擅自挪用采购单位的物品，中标单位应加强管理，安全工作</w:t>
      </w:r>
      <w:r>
        <w:rPr>
          <w:rFonts w:hint="eastAsia"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rPr>
        <w:t>11.1</w:t>
      </w:r>
      <w:r>
        <w:rPr>
          <w:rFonts w:ascii="宋体" w:hAnsi="宋体"/>
          <w:sz w:val="24"/>
        </w:rPr>
        <w:t>.</w:t>
      </w:r>
      <w:r>
        <w:rPr>
          <w:rFonts w:hint="eastAsia" w:ascii="宋体" w:hAnsi="宋体"/>
          <w:sz w:val="24"/>
        </w:rPr>
        <w:t>7</w:t>
      </w:r>
      <w:r>
        <w:rPr>
          <w:rFonts w:ascii="宋体" w:hAnsi="宋体"/>
          <w:sz w:val="24"/>
        </w:rPr>
        <w:t>采购单位承担本管理项目所需能源费用，中标单位服从采购单位能源节约要求。</w:t>
      </w:r>
    </w:p>
    <w:p>
      <w:pPr>
        <w:widowControl/>
        <w:shd w:val="clear" w:color="auto" w:fill="FFFFFF"/>
        <w:spacing w:line="360" w:lineRule="auto"/>
        <w:ind w:firstLine="562" w:firstLineChars="200"/>
        <w:rPr>
          <w:rFonts w:ascii="宋体" w:hAnsi="宋体"/>
          <w:sz w:val="28"/>
        </w:rPr>
      </w:pPr>
      <w:r>
        <w:rPr>
          <w:rFonts w:hint="eastAsia" w:ascii="宋体" w:hAnsi="宋体"/>
          <w:b/>
          <w:bCs/>
          <w:sz w:val="28"/>
        </w:rPr>
        <w:t>1.2.保洁标准</w:t>
      </w:r>
    </w:p>
    <w:p>
      <w:pPr>
        <w:spacing w:line="360" w:lineRule="auto"/>
        <w:ind w:firstLine="480"/>
        <w:rPr>
          <w:rFonts w:ascii="宋体" w:hAnsi="宋体"/>
          <w:b/>
          <w:bCs/>
          <w:sz w:val="24"/>
        </w:rPr>
      </w:pPr>
      <w:r>
        <w:rPr>
          <w:rFonts w:hint="eastAsia" w:ascii="宋体" w:hAnsi="宋体"/>
          <w:b/>
          <w:bCs/>
          <w:sz w:val="24"/>
        </w:rPr>
        <w:t>作业服务质量标准：</w:t>
      </w:r>
    </w:p>
    <w:p>
      <w:pPr>
        <w:widowControl/>
        <w:shd w:val="clear" w:color="auto" w:fill="FFFFFF"/>
        <w:spacing w:line="360" w:lineRule="auto"/>
        <w:ind w:firstLine="480" w:firstLineChars="200"/>
        <w:rPr>
          <w:rFonts w:ascii="宋体" w:hAnsi="宋体"/>
          <w:sz w:val="24"/>
        </w:rPr>
      </w:pPr>
      <w:r>
        <w:rPr>
          <w:rFonts w:hint="eastAsia" w:ascii="宋体" w:hAnsi="宋体"/>
          <w:sz w:val="24"/>
        </w:rPr>
        <w:t>托管范围内主次干道路面及道路两侧、排水沟，达到“三无一规范一眼净”即无垃圾堆放，无污水横流，无杂物挡道；日常生活物品堆放规范；道路两侧环境干净；无垃圾积存；垃圾桶摆放规范标准，表面干净整洁、无垃圾外溢现象；无焚烧垃圾现象。</w:t>
      </w:r>
      <w:r>
        <w:rPr>
          <w:rFonts w:ascii="宋体" w:hAnsi="宋体"/>
          <w:sz w:val="24"/>
        </w:rPr>
        <w:t>公共区域</w:t>
      </w:r>
      <w:r>
        <w:rPr>
          <w:rFonts w:hint="eastAsia" w:ascii="宋体" w:hAnsi="宋体"/>
          <w:sz w:val="24"/>
        </w:rPr>
        <w:t>：定人定岗，全天候对广场及园路不间断保洁，做到地面清洁、光亮、无污迹； 走道保持干净，无垃圾；垃圾桶按指定位置摆放，垃圾袋套在垃圾桶上；四周无散积垃圾，无异味； 走道设施、通风口，保持干净；场地的台阶及地面，做到无垃圾、无烟蒂、无纸屑，使人感到宽广、舒畅。</w:t>
      </w:r>
    </w:p>
    <w:p>
      <w:pPr>
        <w:widowControl/>
        <w:shd w:val="clear" w:color="auto" w:fill="FFFFFF"/>
        <w:spacing w:line="360" w:lineRule="auto"/>
        <w:ind w:firstLine="482" w:firstLineChars="200"/>
        <w:rPr>
          <w:rFonts w:ascii="宋体" w:hAnsi="宋体"/>
          <w:b/>
          <w:bCs/>
          <w:sz w:val="24"/>
        </w:rPr>
      </w:pPr>
      <w:r>
        <w:rPr>
          <w:rFonts w:hint="eastAsia" w:ascii="宋体" w:hAnsi="宋体"/>
          <w:b/>
          <w:bCs/>
          <w:sz w:val="24"/>
        </w:rPr>
        <w:t>垃圾收转运标准：</w:t>
      </w:r>
    </w:p>
    <w:p>
      <w:pPr>
        <w:spacing w:line="360" w:lineRule="auto"/>
        <w:ind w:firstLine="480"/>
        <w:rPr>
          <w:rFonts w:ascii="宋体" w:hAnsi="宋体"/>
          <w:sz w:val="24"/>
        </w:rPr>
      </w:pPr>
      <w:r>
        <w:rPr>
          <w:rFonts w:hint="eastAsia" w:ascii="宋体" w:hAnsi="宋体"/>
          <w:sz w:val="24"/>
        </w:rPr>
        <w:t>作业质量标准：道路两侧、人行道、树坑内，不积存垃圾。及时清理垃圾收集容器里的生活垃圾，确保垃圾不胀桶。密闭运输，在运输过程中无垃圾扬、撒、拖挂和污水滴漏；垃圾应清运至指定的地点，严禁乱倒、乱卸垃圾；垃圾清运车辆运输作业结束，应将车辆清洗干净，保持车容整洁，车体外部无污物、灰垢。</w:t>
      </w:r>
    </w:p>
    <w:p>
      <w:pPr>
        <w:spacing w:line="360" w:lineRule="auto"/>
        <w:ind w:firstLine="480"/>
        <w:rPr>
          <w:rFonts w:ascii="宋体" w:hAnsi="宋体"/>
          <w:sz w:val="24"/>
        </w:rPr>
      </w:pPr>
      <w:r>
        <w:rPr>
          <w:rFonts w:hint="eastAsia" w:ascii="宋体" w:hAnsi="宋体"/>
          <w:sz w:val="24"/>
        </w:rPr>
        <w:t xml:space="preserve">人工清扫、保洁： </w:t>
      </w:r>
    </w:p>
    <w:p>
      <w:pPr>
        <w:spacing w:line="360" w:lineRule="auto"/>
        <w:ind w:firstLine="480"/>
        <w:rPr>
          <w:rFonts w:ascii="宋体" w:hAnsi="宋体"/>
          <w:sz w:val="24"/>
        </w:rPr>
      </w:pPr>
      <w:r>
        <w:rPr>
          <w:rFonts w:hint="eastAsia" w:ascii="宋体" w:hAnsi="宋体"/>
          <w:sz w:val="24"/>
        </w:rPr>
        <w:t>上岗时间：夏季为 5:30，其余季节为 6:00。</w:t>
      </w:r>
    </w:p>
    <w:p>
      <w:pPr>
        <w:spacing w:line="360" w:lineRule="auto"/>
        <w:ind w:firstLine="480"/>
        <w:rPr>
          <w:rFonts w:ascii="宋体" w:hAnsi="宋体"/>
          <w:sz w:val="24"/>
        </w:rPr>
      </w:pPr>
      <w:r>
        <w:rPr>
          <w:rFonts w:hint="eastAsia" w:ascii="宋体" w:hAnsi="宋体"/>
          <w:sz w:val="24"/>
        </w:rPr>
        <w:t>普扫时间：夏季07:00 时之前完成普扫，冬季或无路灯路段推后半小时。</w:t>
      </w:r>
    </w:p>
    <w:p>
      <w:pPr>
        <w:spacing w:line="360" w:lineRule="auto"/>
        <w:ind w:firstLine="480"/>
        <w:rPr>
          <w:rFonts w:ascii="宋体" w:hAnsi="宋体"/>
          <w:sz w:val="24"/>
        </w:rPr>
      </w:pPr>
      <w:r>
        <w:rPr>
          <w:rFonts w:hint="eastAsia" w:ascii="宋体" w:hAnsi="宋体"/>
          <w:sz w:val="24"/>
        </w:rPr>
        <w:t xml:space="preserve">作业频率：一天一普扫，全天候保洁。  </w:t>
      </w:r>
    </w:p>
    <w:p>
      <w:pPr>
        <w:spacing w:line="360" w:lineRule="auto"/>
        <w:ind w:firstLine="480"/>
        <w:rPr>
          <w:rFonts w:ascii="宋体" w:hAnsi="宋体"/>
          <w:sz w:val="24"/>
        </w:rPr>
      </w:pPr>
      <w:r>
        <w:rPr>
          <w:rFonts w:hint="eastAsia" w:ascii="宋体" w:hAnsi="宋体"/>
          <w:sz w:val="24"/>
        </w:rPr>
        <w:t>作业方法：人工清扫道路时做到小心推扫，不漏扫、扬扫，控制扬尘。保洁时，巡回走动，及时清除路面生活垃圾。</w:t>
      </w:r>
    </w:p>
    <w:p>
      <w:pPr>
        <w:widowControl/>
        <w:shd w:val="clear" w:color="auto" w:fill="FFFFFF"/>
        <w:spacing w:line="360" w:lineRule="auto"/>
        <w:ind w:firstLine="562" w:firstLineChars="200"/>
        <w:rPr>
          <w:rFonts w:ascii="宋体" w:hAnsi="宋体"/>
          <w:b/>
          <w:bCs/>
          <w:sz w:val="28"/>
        </w:rPr>
      </w:pPr>
      <w:r>
        <w:rPr>
          <w:rFonts w:hint="eastAsia" w:ascii="宋体" w:hAnsi="宋体"/>
          <w:b/>
          <w:bCs/>
          <w:sz w:val="28"/>
        </w:rPr>
        <w:t>1.3.</w:t>
      </w:r>
      <w:r>
        <w:rPr>
          <w:rFonts w:ascii="宋体" w:hAnsi="宋体"/>
          <w:b/>
          <w:bCs/>
          <w:sz w:val="28"/>
        </w:rPr>
        <w:t>绿化</w:t>
      </w:r>
      <w:r>
        <w:rPr>
          <w:rFonts w:hint="eastAsia" w:ascii="宋体" w:hAnsi="宋体"/>
          <w:b/>
          <w:bCs/>
          <w:sz w:val="28"/>
        </w:rPr>
        <w:t>养护</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结合《许昌市园林绿化精细化作业规范》及《河南省城市园林养护标准》等文件要求，绿化养护工作分为基本工作项目（简称基本工作）和定期工作项目（简称定期工作）两部分。基本工作是指一般的正常维护，即浇水、清理垃圾、打扫卫生、防风防汛、补植和防人为损坏及零星病虫害防治、除杂草和修剪等；定期工作是指全面修剪整形、施肥、除杂草、松土、翻栽和全面病虫害防治。具体作业工作安排如下：</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一月份</w:t>
      </w:r>
      <w:r>
        <w:rPr>
          <w:rFonts w:hint="eastAsia" w:ascii="宋体" w:hAnsi="宋体" w:cs="Arial"/>
          <w:sz w:val="24"/>
        </w:rPr>
        <w:t>：全年中气温最低的月份，树木处于休眠状态。</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1.冬季修剪：全面展开对落叶树木的整形修剪作业：大小乔木上的枯枝、伤残枝、病虫枝及妨碍架空线和建筑物的枝杈进行修剪。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2.行道树检查：及时检查行道树绑扎、立桩情况，发现松绑、铅丝嵌皮、摇桩等情况时立即整改。</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4.绿地养护：绿地、花坛等地要注意清除野草；草坪要及时切边；绿地内要注意防冻浇水。</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二月份</w:t>
      </w:r>
      <w:r>
        <w:rPr>
          <w:rFonts w:hint="eastAsia" w:ascii="宋体" w:hAnsi="宋体" w:cs="Arial"/>
          <w:sz w:val="24"/>
        </w:rPr>
        <w:t>：气温较上月有所回升，树木仍处于休眠状态。</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1.养护基本与1月份相同。</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2.修剪：继续对大小乔木的枯枝、病枝进行修剪。月底以前，把各种树木修剪完。</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3.防治害虫：继续以防刺蛾和蚧壳虫为主。</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三月份</w:t>
      </w:r>
      <w:r>
        <w:rPr>
          <w:rFonts w:hint="eastAsia" w:ascii="宋体" w:hAnsi="宋体" w:cs="Arial"/>
          <w:sz w:val="24"/>
        </w:rPr>
        <w:t>：气温继续上升，中旬以后，树木开始萌芽，下旬有些树木开花。</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植树：春季是植树的有利时机，应立即抓紧时机植树。植大小乔木前作好规划设计，事先挖好树坑，要做到随挖、随运、随种、随浇水。种植灌木时也应做到随挖、随运、随种，并充分浇水，以提高苗木存活率。</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2.春灌：因春季干旱多风，蒸发量大，为防止春旱，对绿地等应及时浇水。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3.施肥：根据植物生长情况对植物施用基肥并灌水。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4.防治病虫害：本月是防治病虫害的关键时刻。应根据植物的病虫害情况采取最佳的治疗方法。</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四月份</w:t>
      </w:r>
      <w:r>
        <w:rPr>
          <w:rFonts w:hint="eastAsia" w:ascii="宋体" w:hAnsi="宋体" w:cs="Arial"/>
          <w:sz w:val="24"/>
        </w:rPr>
        <w:t>：气温继续上升，树木均萌芽开花或展叶开始进入生长旺盛期。</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1.植树：四月上旬应抓紧时间种植萌芽晚的树木，对冬季死亡的乔、灌木应及时拔除补种，对新种植树木要充分浇水。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2.灌水：春旱时继续对养护绿地进行及时的浇水。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3.施肥：对草坪、灌木结合灌水，追施速效氮肥，或者根据需要进行叶面喷施。</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4.修剪：剪除春季干枯的枝条，可以修剪常绿绿篱。</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5.防治病虫害：（1）蚧壳虫在第2次蜕皮后陆续转移到树皮裂缝内、树洞、树干基部、墙角等处分泌白色腊质薄茧化蛹。可以用硬竹扫帚扫除，然后集中深埋或浸泡。或者采用喷洒杀螟松等农药的方法。（2）天牛开始活动了，可以采用嫁接刀或自制钢丝挑除幼虫，但是伤口要做到越小越好。（3）做好其它病虫害发生的防治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6.绿地内养护：注意绿地内的杂草及攀援植物的清除，对草坪也要进行清除杂草及切边工作。</w:t>
      </w:r>
    </w:p>
    <w:p>
      <w:pPr>
        <w:widowControl/>
        <w:shd w:val="clear" w:color="auto" w:fill="FFFFFF"/>
        <w:spacing w:line="360" w:lineRule="auto"/>
        <w:ind w:firstLine="482" w:firstLineChars="200"/>
        <w:jc w:val="left"/>
        <w:rPr>
          <w:rFonts w:ascii="宋体" w:hAnsi="宋体" w:cs="Arial"/>
          <w:b/>
          <w:bCs/>
          <w:sz w:val="24"/>
        </w:rPr>
      </w:pPr>
      <w:r>
        <w:rPr>
          <w:rFonts w:hint="eastAsia" w:ascii="宋体" w:hAnsi="宋体" w:cs="Arial"/>
          <w:b/>
          <w:bCs/>
          <w:sz w:val="24"/>
        </w:rPr>
        <w:t>五月份：</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1.移植常绿树：雨季期间，水分充足，可以移植针叶树和竹类，但要注意天气变化，一旦碰到高温要及时浇水。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2.排涝：大雨过后要及时排涝。</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3.修剪：保留红叶石楠观赏期，及时修剪常绿绿篱</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4.施追肥：在下雨前施氮肥等速效肥。</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5.行道树：进行剥芽修剪，对与电线有矛盾的树枝一律修剪，并对树桩逐个检查，发现松垮、不稳立即扶正绑紧。事先做好劳力组织、物资材料、工具设备等方向的准备，并随时派人检查发现险情及时处理。</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6.防治病虫害：继续对天牛及刺蛾进行防治。防治天牛可以采用50%杀螟松1：50倍液注射，然后封住洞口。</w:t>
      </w:r>
    </w:p>
    <w:p>
      <w:pPr>
        <w:widowControl/>
        <w:shd w:val="clear" w:color="auto" w:fill="FFFFFF"/>
        <w:spacing w:line="360" w:lineRule="auto"/>
        <w:ind w:firstLine="482" w:firstLineChars="200"/>
        <w:jc w:val="left"/>
        <w:rPr>
          <w:rFonts w:ascii="宋体" w:hAnsi="宋体" w:cs="Arial"/>
          <w:b/>
          <w:bCs/>
          <w:sz w:val="24"/>
        </w:rPr>
      </w:pPr>
      <w:r>
        <w:rPr>
          <w:rFonts w:hint="eastAsia" w:ascii="宋体" w:hAnsi="宋体" w:cs="Arial"/>
          <w:b/>
          <w:bCs/>
          <w:sz w:val="24"/>
        </w:rPr>
        <w:t>六月份：</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1.排涝：大雨过后，对低洼积水处要及时排涝。</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2.修剪：除一般树木夏修外，要对绿篱进行造型修剪。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3.中耕、除草：杂草生长旺盛，及时除草，并可结合除草进行施肥。</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4.防治病虫害：捕捉天牛为主，注意根部的天牛捕捉。蚜虫危害、香樟樟巢螟要及时防治。潮湿天气要注意白粉病及腐烂病，要及时采取措施。</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七月份</w:t>
      </w:r>
      <w:r>
        <w:rPr>
          <w:rFonts w:hint="eastAsia" w:ascii="宋体" w:hAnsi="宋体" w:cs="Arial"/>
          <w:sz w:val="24"/>
        </w:rPr>
        <w:t>：气温急骤上升，树木生长迅速。</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1.浇水：树木展叶盛期，需水量很大，应适时浇水。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2.修剪：修剪残花。行道数进行第一次的剥芽修剪。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病虫害：继续以捕捉天牛为主。刺蛾第一代孵化，但尚未达到危害程度，根据养护区内的实际情况做出相应措施。由蚧壳虫、蚜虫等引起的煤污病也进入了盛发期（在紫薇、海桐、夹竹桃等上），在7月中、下旬喷洒10—20倍的松脂合剂及50%三硫磷乳剂1500—2000倍液以防治病害及杀死虫害。（其它可用杀虫素、花保等农药）</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八月份</w:t>
      </w:r>
      <w:r>
        <w:rPr>
          <w:rFonts w:hint="eastAsia" w:ascii="宋体" w:hAnsi="宋体" w:cs="Arial"/>
          <w:sz w:val="24"/>
        </w:rPr>
        <w:t>：气温高。</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1.浇水：植物需水量大，要及时浇水，不能“看天吃饭”。</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2.施肥：结合松土除草、施肥、浇水以达到最好的效果。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3.修剪：继续对行道树进行剥芽除蘖工作。对绿篱、球类及部分花灌木实施修剪。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4.排水工作：有大雨天气时要注意低洼处的排水工作。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5.防治病虫害：8月中、下旬刺蛾进入孵化盛期，应及时采取措施，现基本采用50%杀螟松乳剂500—800倍液喷洒。（或用复合BT乳剂进行喷施）继续对天牛进行人工捕捉。</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6.做好树木防汛防台前的检查工作，对松动、倾斜的树木进行扶正、加固及重新绑扎。</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九月份</w:t>
      </w:r>
      <w:r>
        <w:rPr>
          <w:rFonts w:hint="eastAsia" w:ascii="宋体" w:hAnsi="宋体" w:cs="Arial"/>
          <w:sz w:val="24"/>
        </w:rPr>
        <w:t>：气温有所下降，迎国庆做好相关工作。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1.修剪：绿篱造型修剪。绿地内除草，草坪切边，及时清理死树，做到树木青枝绿叶，绿地干净整齐。</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2.施肥：对一些生长较弱，枝条不够充实的树木，应追施一些磷、钾肥。</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3.防治病虫害；穿孔病为发病高峰，采用500%多菌灵1000倍液防止侵染。天牛开始转向根部危害，注意根部天牛的捕捉。对杨、柳上的木蠹蛾也要及时防治。做好其它病虫害的防治工作。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4.节前做好各类绿化设施的检查工作。</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十月份</w:t>
      </w:r>
      <w:r>
        <w:rPr>
          <w:rFonts w:hint="eastAsia" w:ascii="宋体" w:hAnsi="宋体" w:cs="Arial"/>
          <w:sz w:val="24"/>
        </w:rPr>
        <w:t>：气温有所下降，天气较干旱。</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1.做好冬季植树的准备，下旬耐寒树木落叶后，可以开始栽植。</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2.绿地养护：及时去除死树，及时浇水。绿地、草坪挑草切边工作要做好。草花生长不良的要施肥。</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3.防治病虫害：继续捕捉根部天牛。</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十一月份</w:t>
      </w:r>
      <w:r>
        <w:rPr>
          <w:rFonts w:hint="eastAsia" w:ascii="宋体" w:hAnsi="宋体" w:cs="Arial"/>
          <w:sz w:val="24"/>
        </w:rPr>
        <w:t>：进入干旱季节。</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1.翻土：对绿地土壤翻土，暴露准备越冬的害虫。</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2.浇水：对干、板结的土壤及时浇水。</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3.病虫害防治各种害虫在下旬准备过冬，防治任务相对较轻。</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4.对暖季型草坪做好防火圈和防火带，同时压低草坪高度。</w:t>
      </w:r>
    </w:p>
    <w:p>
      <w:pPr>
        <w:widowControl/>
        <w:shd w:val="clear" w:color="auto" w:fill="FFFFFF"/>
        <w:spacing w:line="360" w:lineRule="auto"/>
        <w:ind w:firstLine="482" w:firstLineChars="200"/>
        <w:jc w:val="left"/>
        <w:rPr>
          <w:rFonts w:ascii="宋体" w:hAnsi="宋体" w:cs="Arial"/>
          <w:sz w:val="24"/>
        </w:rPr>
      </w:pPr>
      <w:r>
        <w:rPr>
          <w:rFonts w:hint="eastAsia" w:ascii="宋体" w:hAnsi="宋体" w:cs="Arial"/>
          <w:b/>
          <w:bCs/>
          <w:sz w:val="24"/>
        </w:rPr>
        <w:t>十二月份</w:t>
      </w:r>
      <w:r>
        <w:rPr>
          <w:rFonts w:hint="eastAsia" w:ascii="宋体" w:hAnsi="宋体" w:cs="Arial"/>
          <w:sz w:val="24"/>
        </w:rPr>
        <w:t>：低气温，开始冬季养护工作。</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1.冬季修剪：对些常绿乔木、灌木进行修剪。</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2.消灭越冬病虫害。</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3.做好明年养护工作的准备。</w:t>
      </w:r>
    </w:p>
    <w:p>
      <w:pPr>
        <w:widowControl/>
        <w:shd w:val="clear" w:color="auto" w:fill="FFFFFF"/>
        <w:spacing w:line="360" w:lineRule="auto"/>
        <w:ind w:firstLine="480" w:firstLineChars="200"/>
        <w:jc w:val="left"/>
        <w:rPr>
          <w:rFonts w:ascii="宋体" w:hAnsi="宋体" w:cs="Arial"/>
          <w:sz w:val="24"/>
        </w:rPr>
      </w:pPr>
      <w:r>
        <w:rPr>
          <w:rFonts w:hint="eastAsia" w:ascii="宋体" w:hAnsi="宋体" w:cs="Arial"/>
          <w:sz w:val="24"/>
        </w:rPr>
        <w:t>4.对暖季型草坪做好防火圈和防火带，同时压低草坪高度。</w:t>
      </w:r>
    </w:p>
    <w:p>
      <w:pPr>
        <w:widowControl/>
        <w:shd w:val="clear" w:color="auto" w:fill="FFFFFF"/>
        <w:spacing w:line="360" w:lineRule="auto"/>
        <w:ind w:firstLine="562" w:firstLineChars="200"/>
        <w:jc w:val="left"/>
        <w:rPr>
          <w:rFonts w:ascii="宋体" w:hAnsi="宋体" w:cs="Arial"/>
          <w:b/>
          <w:bCs/>
          <w:sz w:val="32"/>
          <w:szCs w:val="28"/>
        </w:rPr>
      </w:pPr>
      <w:r>
        <w:rPr>
          <w:rFonts w:hint="eastAsia" w:ascii="宋体" w:hAnsi="宋体" w:cs="Arial"/>
          <w:b/>
          <w:bCs/>
          <w:sz w:val="28"/>
        </w:rPr>
        <w:t>1.3.2作业质量标准：</w:t>
      </w:r>
    </w:p>
    <w:p>
      <w:pPr>
        <w:widowControl/>
        <w:shd w:val="clear" w:color="auto" w:fill="FFFFFF"/>
        <w:ind w:firstLine="241" w:firstLineChars="100"/>
        <w:jc w:val="left"/>
        <w:rPr>
          <w:rFonts w:ascii="宋体" w:hAnsi="宋体" w:cs="Arial"/>
          <w:b/>
          <w:bCs/>
          <w:sz w:val="24"/>
          <w:szCs w:val="22"/>
        </w:rPr>
      </w:pPr>
      <w:r>
        <w:rPr>
          <w:rFonts w:hint="eastAsia" w:ascii="宋体" w:hAnsi="宋体" w:cs="Arial"/>
          <w:b/>
          <w:bCs/>
          <w:sz w:val="24"/>
          <w:szCs w:val="22"/>
        </w:rPr>
        <w:t>A树木</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w:t>
      </w:r>
    </w:p>
    <w:p>
      <w:pPr>
        <w:widowControl/>
        <w:shd w:val="clear" w:color="auto" w:fill="FFFFFF"/>
        <w:ind w:firstLine="480" w:firstLineChars="200"/>
        <w:jc w:val="left"/>
        <w:rPr>
          <w:rFonts w:ascii="宋体" w:hAnsi="宋体" w:cs="Arial"/>
          <w:sz w:val="24"/>
        </w:rPr>
      </w:pPr>
      <w:r>
        <w:rPr>
          <w:rFonts w:hint="eastAsia" w:ascii="宋体" w:hAnsi="宋体" w:cs="Arial"/>
          <w:sz w:val="24"/>
        </w:rPr>
        <w:t>树林.树丛群落结构合理，植株疏密得当，层次分明，林冠线和林缘线清晰饱满；</w:t>
      </w:r>
    </w:p>
    <w:p>
      <w:pPr>
        <w:widowControl/>
        <w:shd w:val="clear" w:color="auto" w:fill="FFFFFF"/>
        <w:ind w:firstLine="480" w:firstLineChars="200"/>
        <w:jc w:val="left"/>
        <w:rPr>
          <w:rFonts w:ascii="宋体" w:hAnsi="宋体" w:cs="Arial"/>
          <w:sz w:val="24"/>
        </w:rPr>
      </w:pPr>
      <w:r>
        <w:rPr>
          <w:rFonts w:hint="eastAsia" w:ascii="宋体" w:hAnsi="宋体" w:cs="Arial"/>
          <w:sz w:val="24"/>
        </w:rPr>
        <w:t>孤植树树形完美，树冠饱满；</w:t>
      </w:r>
    </w:p>
    <w:p>
      <w:pPr>
        <w:widowControl/>
        <w:shd w:val="clear" w:color="auto" w:fill="FFFFFF"/>
        <w:ind w:firstLine="480" w:firstLineChars="200"/>
        <w:jc w:val="left"/>
        <w:rPr>
          <w:rFonts w:ascii="宋体" w:hAnsi="宋体" w:cs="Arial"/>
          <w:sz w:val="24"/>
        </w:rPr>
      </w:pPr>
      <w:r>
        <w:rPr>
          <w:rFonts w:hint="eastAsia" w:ascii="宋体" w:hAnsi="宋体" w:cs="Arial"/>
          <w:sz w:val="24"/>
        </w:rPr>
        <w:t>行道树树冠完整，规格整齐.一致，缺株≤3%，树干挺直；</w:t>
      </w:r>
    </w:p>
    <w:p>
      <w:pPr>
        <w:widowControl/>
        <w:shd w:val="clear" w:color="auto" w:fill="FFFFFF"/>
        <w:ind w:firstLine="480" w:firstLineChars="200"/>
        <w:jc w:val="left"/>
        <w:rPr>
          <w:rFonts w:ascii="宋体" w:hAnsi="宋体" w:cs="Arial"/>
          <w:sz w:val="24"/>
        </w:rPr>
      </w:pPr>
      <w:r>
        <w:rPr>
          <w:rFonts w:hint="eastAsia" w:ascii="宋体" w:hAnsi="宋体" w:cs="Arial"/>
          <w:sz w:val="24"/>
        </w:rPr>
        <w:t>（4）绿篱无缺株，修剪面平整饱满，直线处平直，曲线处弧度圆润；</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w:t>
      </w:r>
    </w:p>
    <w:p>
      <w:pPr>
        <w:widowControl/>
        <w:shd w:val="clear" w:color="auto" w:fill="FFFFFF"/>
        <w:ind w:firstLine="480" w:firstLineChars="200"/>
        <w:jc w:val="left"/>
        <w:rPr>
          <w:rFonts w:ascii="宋体" w:hAnsi="宋体" w:cs="Arial"/>
          <w:sz w:val="24"/>
        </w:rPr>
      </w:pPr>
      <w:r>
        <w:rPr>
          <w:rFonts w:hint="eastAsia" w:ascii="宋体" w:hAnsi="宋体" w:cs="Arial"/>
          <w:sz w:val="24"/>
        </w:rPr>
        <w:t>枝叶生长茂盛，观花.观果树种正常开花结果，彩色树种季相特征明显，无枯枝；</w:t>
      </w:r>
    </w:p>
    <w:p>
      <w:pPr>
        <w:widowControl/>
        <w:shd w:val="clear" w:color="auto" w:fill="FFFFFF"/>
        <w:ind w:firstLine="480" w:firstLineChars="200"/>
        <w:jc w:val="left"/>
        <w:rPr>
          <w:rFonts w:ascii="宋体" w:hAnsi="宋体" w:cs="Arial"/>
          <w:sz w:val="24"/>
        </w:rPr>
      </w:pPr>
      <w:r>
        <w:rPr>
          <w:rFonts w:hint="eastAsia" w:ascii="宋体" w:hAnsi="宋体" w:cs="Arial"/>
          <w:sz w:val="24"/>
        </w:rPr>
        <w:t>排灌：</w:t>
      </w:r>
    </w:p>
    <w:p>
      <w:pPr>
        <w:widowControl/>
        <w:shd w:val="clear" w:color="auto" w:fill="FFFFFF"/>
        <w:ind w:firstLine="480" w:firstLineChars="200"/>
        <w:jc w:val="left"/>
        <w:rPr>
          <w:rFonts w:ascii="宋体" w:hAnsi="宋体" w:cs="Arial"/>
          <w:sz w:val="24"/>
        </w:rPr>
      </w:pPr>
      <w:r>
        <w:rPr>
          <w:rFonts w:hint="eastAsia" w:ascii="宋体" w:hAnsi="宋体" w:cs="Arial"/>
          <w:sz w:val="24"/>
        </w:rPr>
        <w:t>（1）暴雨后2h内无积水；（2）植株未出现失水萎蔫和沥涝现象；</w:t>
      </w:r>
    </w:p>
    <w:p>
      <w:pPr>
        <w:widowControl/>
        <w:shd w:val="clear" w:color="auto" w:fill="FFFFFF"/>
        <w:ind w:firstLine="480" w:firstLineChars="200"/>
        <w:jc w:val="left"/>
        <w:rPr>
          <w:rFonts w:ascii="宋体" w:hAnsi="宋体" w:cs="Arial"/>
          <w:sz w:val="24"/>
        </w:rPr>
      </w:pPr>
      <w:r>
        <w:rPr>
          <w:rFonts w:hint="eastAsia" w:ascii="宋体" w:hAnsi="宋体" w:cs="Arial"/>
          <w:sz w:val="24"/>
        </w:rPr>
        <w:t>病虫害防治：</w:t>
      </w:r>
    </w:p>
    <w:p>
      <w:pPr>
        <w:widowControl/>
        <w:shd w:val="clear" w:color="auto" w:fill="FFFFFF"/>
        <w:ind w:firstLine="480" w:firstLineChars="200"/>
        <w:jc w:val="left"/>
        <w:rPr>
          <w:rFonts w:ascii="宋体" w:hAnsi="宋体" w:cs="Arial"/>
          <w:sz w:val="24"/>
        </w:rPr>
      </w:pPr>
      <w:r>
        <w:rPr>
          <w:rFonts w:hint="eastAsia" w:ascii="宋体" w:hAnsi="宋体" w:cs="Arial"/>
          <w:sz w:val="24"/>
        </w:rPr>
        <w:t>（1）基本无病虫危害状；（2）枝叶受害率≤8%，树干受害率≤5%；</w:t>
      </w:r>
    </w:p>
    <w:p>
      <w:pPr>
        <w:widowControl/>
        <w:shd w:val="clear" w:color="auto" w:fill="FFFFFF"/>
        <w:ind w:firstLine="480" w:firstLineChars="200"/>
        <w:jc w:val="left"/>
        <w:rPr>
          <w:rFonts w:ascii="宋体" w:hAnsi="宋体" w:cs="Arial"/>
          <w:sz w:val="24"/>
        </w:rPr>
      </w:pPr>
      <w:r>
        <w:rPr>
          <w:rFonts w:hint="eastAsia" w:ascii="宋体" w:hAnsi="宋体" w:cs="Arial"/>
          <w:sz w:val="24"/>
        </w:rPr>
        <w:t>补植完成时间≤3天。</w:t>
      </w:r>
    </w:p>
    <w:p>
      <w:pPr>
        <w:widowControl/>
        <w:shd w:val="clear" w:color="auto" w:fill="FFFFFF"/>
        <w:ind w:firstLine="241" w:firstLineChars="100"/>
        <w:jc w:val="left"/>
        <w:rPr>
          <w:rFonts w:ascii="宋体" w:hAnsi="宋体" w:cs="Arial"/>
          <w:b/>
          <w:bCs/>
          <w:sz w:val="24"/>
          <w:szCs w:val="22"/>
        </w:rPr>
      </w:pPr>
      <w:r>
        <w:rPr>
          <w:rFonts w:hint="eastAsia" w:ascii="宋体" w:hAnsi="宋体" w:cs="Arial"/>
          <w:b/>
          <w:bCs/>
          <w:sz w:val="24"/>
          <w:szCs w:val="22"/>
        </w:rPr>
        <w:t>B花卉</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w:t>
      </w:r>
    </w:p>
    <w:p>
      <w:pPr>
        <w:widowControl/>
        <w:shd w:val="clear" w:color="auto" w:fill="FFFFFF"/>
        <w:ind w:firstLine="480" w:firstLineChars="200"/>
        <w:jc w:val="left"/>
        <w:rPr>
          <w:rFonts w:ascii="宋体" w:hAnsi="宋体" w:cs="Arial"/>
          <w:sz w:val="24"/>
        </w:rPr>
      </w:pPr>
      <w:r>
        <w:rPr>
          <w:rFonts w:hint="eastAsia" w:ascii="宋体" w:hAnsi="宋体" w:cs="Arial"/>
          <w:sz w:val="24"/>
        </w:rPr>
        <w:t>（1）缺株倒伏的花苗≤3%；（2）基本无枯枝.残花；（3）花期一致；</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w:t>
      </w:r>
    </w:p>
    <w:p>
      <w:pPr>
        <w:widowControl/>
        <w:shd w:val="clear" w:color="auto" w:fill="FFFFFF"/>
        <w:ind w:firstLine="480" w:firstLineChars="200"/>
        <w:jc w:val="left"/>
        <w:rPr>
          <w:rFonts w:ascii="宋体" w:hAnsi="宋体" w:cs="Arial"/>
          <w:sz w:val="24"/>
        </w:rPr>
      </w:pPr>
      <w:r>
        <w:rPr>
          <w:rFonts w:hint="eastAsia" w:ascii="宋体" w:hAnsi="宋体" w:cs="Arial"/>
          <w:sz w:val="24"/>
        </w:rPr>
        <w:t>（1）植株生长健壮；</w:t>
      </w:r>
    </w:p>
    <w:p>
      <w:pPr>
        <w:widowControl/>
        <w:shd w:val="clear" w:color="auto" w:fill="FFFFFF"/>
        <w:ind w:firstLine="480" w:firstLineChars="200"/>
        <w:jc w:val="left"/>
        <w:rPr>
          <w:rFonts w:ascii="宋体" w:hAnsi="宋体" w:cs="Arial"/>
          <w:sz w:val="24"/>
        </w:rPr>
      </w:pPr>
      <w:r>
        <w:rPr>
          <w:rFonts w:hint="eastAsia" w:ascii="宋体" w:hAnsi="宋体" w:cs="Arial"/>
          <w:sz w:val="24"/>
        </w:rPr>
        <w:t>（2）茎干粗壮，基部分枝强健，蓬径饱满；</w:t>
      </w:r>
    </w:p>
    <w:p>
      <w:pPr>
        <w:widowControl/>
        <w:shd w:val="clear" w:color="auto" w:fill="FFFFFF"/>
        <w:ind w:firstLine="480" w:firstLineChars="200"/>
        <w:jc w:val="left"/>
        <w:rPr>
          <w:rFonts w:ascii="宋体" w:hAnsi="宋体" w:cs="Arial"/>
          <w:sz w:val="24"/>
        </w:rPr>
      </w:pPr>
      <w:r>
        <w:rPr>
          <w:rFonts w:hint="eastAsia" w:ascii="宋体" w:hAnsi="宋体" w:cs="Arial"/>
          <w:sz w:val="24"/>
        </w:rPr>
        <w:t>（3）花型美观，花色鲜艳，株高一致；</w:t>
      </w:r>
    </w:p>
    <w:p>
      <w:pPr>
        <w:widowControl/>
        <w:shd w:val="clear" w:color="auto" w:fill="FFFFFF"/>
        <w:ind w:firstLine="480" w:firstLineChars="200"/>
        <w:jc w:val="left"/>
        <w:rPr>
          <w:rFonts w:ascii="宋体" w:hAnsi="宋体" w:cs="Arial"/>
          <w:sz w:val="24"/>
        </w:rPr>
      </w:pPr>
      <w:r>
        <w:rPr>
          <w:rFonts w:hint="eastAsia" w:ascii="宋体" w:hAnsi="宋体" w:cs="Arial"/>
          <w:sz w:val="24"/>
        </w:rPr>
        <w:t>排灌：</w:t>
      </w:r>
    </w:p>
    <w:p>
      <w:pPr>
        <w:widowControl/>
        <w:shd w:val="clear" w:color="auto" w:fill="FFFFFF"/>
        <w:ind w:firstLine="480" w:firstLineChars="200"/>
        <w:jc w:val="left"/>
        <w:rPr>
          <w:rFonts w:ascii="宋体" w:hAnsi="宋体" w:cs="Arial"/>
          <w:sz w:val="24"/>
        </w:rPr>
      </w:pPr>
      <w:r>
        <w:rPr>
          <w:rFonts w:hint="eastAsia" w:ascii="宋体" w:hAnsi="宋体" w:cs="Arial"/>
          <w:sz w:val="24"/>
        </w:rPr>
        <w:t>（1）排水流畅，暴雨后1h无积水；</w:t>
      </w:r>
    </w:p>
    <w:p>
      <w:pPr>
        <w:widowControl/>
        <w:shd w:val="clear" w:color="auto" w:fill="FFFFFF"/>
        <w:ind w:firstLine="480" w:firstLineChars="200"/>
        <w:jc w:val="left"/>
        <w:rPr>
          <w:rFonts w:ascii="宋体" w:hAnsi="宋体" w:cs="Arial"/>
          <w:sz w:val="24"/>
        </w:rPr>
      </w:pPr>
      <w:r>
        <w:rPr>
          <w:rFonts w:hint="eastAsia" w:ascii="宋体" w:hAnsi="宋体" w:cs="Arial"/>
          <w:sz w:val="24"/>
        </w:rPr>
        <w:t>（2）植株不得出现失水萎蔫现象；</w:t>
      </w:r>
    </w:p>
    <w:p>
      <w:pPr>
        <w:widowControl/>
        <w:shd w:val="clear" w:color="auto" w:fill="FFFFFF"/>
        <w:ind w:firstLine="480" w:firstLineChars="200"/>
        <w:jc w:val="left"/>
        <w:rPr>
          <w:rFonts w:ascii="宋体" w:hAnsi="宋体" w:cs="Arial"/>
          <w:sz w:val="24"/>
        </w:rPr>
      </w:pPr>
      <w:r>
        <w:rPr>
          <w:rFonts w:hint="eastAsia" w:ascii="宋体" w:hAnsi="宋体" w:cs="Arial"/>
          <w:sz w:val="24"/>
        </w:rPr>
        <w:t>病虫害防治:</w:t>
      </w:r>
    </w:p>
    <w:p>
      <w:pPr>
        <w:widowControl/>
        <w:shd w:val="clear" w:color="auto" w:fill="FFFFFF"/>
        <w:ind w:firstLine="480" w:firstLineChars="200"/>
        <w:jc w:val="left"/>
        <w:rPr>
          <w:rFonts w:ascii="宋体" w:hAnsi="宋体" w:cs="Arial"/>
          <w:sz w:val="24"/>
        </w:rPr>
      </w:pPr>
      <w:r>
        <w:rPr>
          <w:rFonts w:hint="eastAsia" w:ascii="宋体" w:hAnsi="宋体" w:cs="Arial"/>
          <w:sz w:val="24"/>
        </w:rPr>
        <w:t>（1）基本无病虫危害状；</w:t>
      </w:r>
    </w:p>
    <w:p>
      <w:pPr>
        <w:widowControl/>
        <w:shd w:val="clear" w:color="auto" w:fill="FFFFFF"/>
        <w:ind w:firstLine="480" w:firstLineChars="200"/>
        <w:jc w:val="left"/>
        <w:rPr>
          <w:rFonts w:ascii="宋体" w:hAnsi="宋体" w:cs="Arial"/>
          <w:sz w:val="24"/>
        </w:rPr>
      </w:pPr>
      <w:r>
        <w:rPr>
          <w:rFonts w:hint="eastAsia" w:ascii="宋体" w:hAnsi="宋体" w:cs="Arial"/>
          <w:sz w:val="24"/>
        </w:rPr>
        <w:t>（2）植株受害率≤5%；</w:t>
      </w:r>
    </w:p>
    <w:p>
      <w:pPr>
        <w:widowControl/>
        <w:shd w:val="clear" w:color="auto" w:fill="FFFFFF"/>
        <w:ind w:firstLine="480" w:firstLineChars="200"/>
        <w:jc w:val="left"/>
        <w:rPr>
          <w:rFonts w:ascii="宋体" w:hAnsi="宋体" w:cs="Arial"/>
          <w:sz w:val="24"/>
        </w:rPr>
      </w:pPr>
      <w:r>
        <w:rPr>
          <w:rFonts w:hint="eastAsia" w:ascii="宋体" w:hAnsi="宋体" w:cs="Arial"/>
          <w:sz w:val="24"/>
        </w:rPr>
        <w:t>杂草率≤2%；补植完成时间≤3天。</w:t>
      </w:r>
    </w:p>
    <w:p>
      <w:pPr>
        <w:widowControl/>
        <w:shd w:val="clear" w:color="auto" w:fill="FFFFFF"/>
        <w:ind w:firstLine="241" w:firstLineChars="100"/>
        <w:jc w:val="left"/>
        <w:rPr>
          <w:rFonts w:ascii="宋体" w:hAnsi="宋体" w:cs="Arial"/>
          <w:b/>
          <w:bCs/>
          <w:sz w:val="24"/>
          <w:szCs w:val="22"/>
        </w:rPr>
      </w:pPr>
      <w:r>
        <w:rPr>
          <w:rFonts w:hint="eastAsia" w:ascii="宋体" w:hAnsi="宋体" w:cs="Arial"/>
          <w:b/>
          <w:bCs/>
          <w:sz w:val="24"/>
          <w:szCs w:val="22"/>
        </w:rPr>
        <w:t>C 草坪</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w:t>
      </w:r>
    </w:p>
    <w:p>
      <w:pPr>
        <w:widowControl/>
        <w:shd w:val="clear" w:color="auto" w:fill="FFFFFF"/>
        <w:ind w:firstLine="480" w:firstLineChars="200"/>
        <w:jc w:val="left"/>
        <w:rPr>
          <w:rFonts w:ascii="宋体" w:hAnsi="宋体" w:cs="Arial"/>
          <w:sz w:val="24"/>
        </w:rPr>
      </w:pPr>
      <w:r>
        <w:rPr>
          <w:rFonts w:hint="eastAsia" w:ascii="宋体" w:hAnsi="宋体" w:cs="Arial"/>
          <w:sz w:val="24"/>
        </w:rPr>
        <w:t>（1）草坪高度符合要求，平坦整洁；</w:t>
      </w:r>
    </w:p>
    <w:p>
      <w:pPr>
        <w:widowControl/>
        <w:shd w:val="clear" w:color="auto" w:fill="FFFFFF"/>
        <w:ind w:firstLine="480" w:firstLineChars="200"/>
        <w:jc w:val="left"/>
        <w:rPr>
          <w:rFonts w:ascii="宋体" w:hAnsi="宋体" w:cs="Arial"/>
          <w:sz w:val="24"/>
        </w:rPr>
      </w:pPr>
      <w:r>
        <w:rPr>
          <w:rFonts w:hint="eastAsia" w:ascii="宋体" w:hAnsi="宋体" w:cs="Arial"/>
          <w:sz w:val="24"/>
        </w:rPr>
        <w:t>（2）修剪后无残留草屑，剪口无焦枯、撕裂现象；</w:t>
      </w:r>
    </w:p>
    <w:p>
      <w:pPr>
        <w:widowControl/>
        <w:shd w:val="clear" w:color="auto" w:fill="FFFFFF"/>
        <w:ind w:firstLine="480" w:firstLineChars="200"/>
        <w:jc w:val="left"/>
        <w:rPr>
          <w:rFonts w:ascii="宋体" w:hAnsi="宋体" w:cs="Arial"/>
          <w:sz w:val="24"/>
        </w:rPr>
      </w:pPr>
      <w:r>
        <w:rPr>
          <w:rFonts w:hint="eastAsia" w:ascii="宋体" w:hAnsi="宋体" w:cs="Arial"/>
          <w:sz w:val="24"/>
        </w:rPr>
        <w:t>（3）生长茂盛；</w:t>
      </w:r>
    </w:p>
    <w:p>
      <w:pPr>
        <w:widowControl/>
        <w:shd w:val="clear" w:color="auto" w:fill="FFFFFF"/>
        <w:ind w:firstLine="480" w:firstLineChars="200"/>
        <w:jc w:val="left"/>
        <w:rPr>
          <w:rFonts w:ascii="宋体" w:hAnsi="宋体" w:cs="Arial"/>
          <w:sz w:val="24"/>
        </w:rPr>
      </w:pPr>
      <w:r>
        <w:rPr>
          <w:rFonts w:hint="eastAsia" w:ascii="宋体" w:hAnsi="宋体" w:cs="Arial"/>
          <w:sz w:val="24"/>
        </w:rPr>
        <w:t>排灌：（1）暴雨后2h无积水；（2）草坪无明显失水萎蔫现象；</w:t>
      </w:r>
    </w:p>
    <w:p>
      <w:pPr>
        <w:widowControl/>
        <w:shd w:val="clear" w:color="auto" w:fill="FFFFFF"/>
        <w:ind w:firstLine="480" w:firstLineChars="200"/>
        <w:jc w:val="left"/>
        <w:rPr>
          <w:rFonts w:ascii="宋体" w:hAnsi="宋体" w:cs="Arial"/>
          <w:sz w:val="24"/>
        </w:rPr>
      </w:pPr>
      <w:r>
        <w:rPr>
          <w:rFonts w:hint="eastAsia" w:ascii="宋体" w:hAnsi="宋体" w:cs="Arial"/>
          <w:sz w:val="24"/>
        </w:rPr>
        <w:t>有害生物防治：（1）草坪草受害度5%以下；（2）杂草率2%以下；</w:t>
      </w:r>
    </w:p>
    <w:p>
      <w:pPr>
        <w:widowControl/>
        <w:shd w:val="clear" w:color="auto" w:fill="FFFFFF"/>
        <w:ind w:firstLine="480" w:firstLineChars="200"/>
        <w:jc w:val="left"/>
        <w:rPr>
          <w:rFonts w:ascii="宋体" w:hAnsi="宋体" w:cs="Arial"/>
          <w:sz w:val="24"/>
        </w:rPr>
      </w:pPr>
      <w:r>
        <w:rPr>
          <w:rFonts w:hint="eastAsia" w:ascii="宋体" w:hAnsi="宋体" w:cs="Arial"/>
          <w:sz w:val="24"/>
        </w:rPr>
        <w:t>覆盖度：应符合 95%要求；补植完成时间≤3天。</w:t>
      </w:r>
    </w:p>
    <w:p>
      <w:pPr>
        <w:widowControl/>
        <w:shd w:val="clear" w:color="auto" w:fill="FFFFFF"/>
        <w:ind w:firstLine="241" w:firstLineChars="100"/>
        <w:jc w:val="left"/>
        <w:rPr>
          <w:rFonts w:ascii="宋体" w:hAnsi="宋体" w:cs="Arial"/>
          <w:b/>
          <w:bCs/>
          <w:sz w:val="24"/>
          <w:szCs w:val="22"/>
        </w:rPr>
      </w:pPr>
      <w:r>
        <w:rPr>
          <w:rFonts w:hint="eastAsia" w:ascii="宋体" w:hAnsi="宋体" w:cs="Arial"/>
          <w:b/>
          <w:bCs/>
          <w:sz w:val="24"/>
          <w:szCs w:val="22"/>
        </w:rPr>
        <w:t>D 地被</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整体效果：（1）植株规格一致；（2）无死株，群体景观效果好；</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生长势：生长茂盛；</w:t>
      </w:r>
    </w:p>
    <w:p>
      <w:pPr>
        <w:widowControl/>
        <w:shd w:val="clear" w:color="auto" w:fill="FFFFFF"/>
        <w:ind w:firstLine="480" w:firstLineChars="200"/>
        <w:jc w:val="left"/>
        <w:rPr>
          <w:rFonts w:ascii="宋体" w:hAnsi="宋体" w:cs="Arial"/>
          <w:sz w:val="24"/>
        </w:rPr>
      </w:pPr>
      <w:r>
        <w:rPr>
          <w:rFonts w:hint="eastAsia" w:ascii="宋体" w:hAnsi="宋体" w:cs="Arial"/>
          <w:sz w:val="24"/>
        </w:rPr>
        <w:t>排灌：</w:t>
      </w:r>
    </w:p>
    <w:p>
      <w:pPr>
        <w:widowControl/>
        <w:shd w:val="clear" w:color="auto" w:fill="FFFFFF"/>
        <w:ind w:firstLine="480" w:firstLineChars="200"/>
        <w:jc w:val="left"/>
        <w:rPr>
          <w:rFonts w:ascii="宋体" w:hAnsi="宋体" w:cs="Arial"/>
          <w:sz w:val="24"/>
        </w:rPr>
      </w:pPr>
      <w:r>
        <w:rPr>
          <w:rFonts w:hint="eastAsia" w:ascii="宋体" w:hAnsi="宋体" w:cs="Arial"/>
          <w:sz w:val="24"/>
        </w:rPr>
        <w:t>（1）木本地被暴雨后2h内无积水；草本地被雨后1h无积水；</w:t>
      </w:r>
    </w:p>
    <w:p>
      <w:pPr>
        <w:widowControl/>
        <w:shd w:val="clear" w:color="auto" w:fill="FFFFFF"/>
        <w:ind w:firstLine="480" w:firstLineChars="200"/>
        <w:jc w:val="left"/>
        <w:rPr>
          <w:rFonts w:ascii="宋体" w:hAnsi="宋体" w:cs="Arial"/>
          <w:sz w:val="24"/>
        </w:rPr>
      </w:pPr>
      <w:r>
        <w:rPr>
          <w:rFonts w:hint="eastAsia" w:ascii="宋体" w:hAnsi="宋体" w:cs="Arial"/>
          <w:sz w:val="24"/>
        </w:rPr>
        <w:t>（2）植株无失水萎蔫现象；</w:t>
      </w:r>
    </w:p>
    <w:p>
      <w:pPr>
        <w:widowControl/>
        <w:shd w:val="clear" w:color="auto" w:fill="FFFFFF"/>
        <w:ind w:firstLine="480" w:firstLineChars="200"/>
        <w:jc w:val="left"/>
        <w:rPr>
          <w:rFonts w:ascii="宋体" w:hAnsi="宋体" w:cs="Arial"/>
          <w:sz w:val="24"/>
        </w:rPr>
      </w:pPr>
      <w:r>
        <w:rPr>
          <w:rFonts w:hint="eastAsia" w:ascii="宋体" w:hAnsi="宋体" w:cs="Arial"/>
          <w:sz w:val="24"/>
        </w:rPr>
        <w:t>有害生物防治：</w:t>
      </w:r>
    </w:p>
    <w:p>
      <w:pPr>
        <w:widowControl/>
        <w:shd w:val="clear" w:color="auto" w:fill="FFFFFF"/>
        <w:ind w:firstLine="480" w:firstLineChars="200"/>
        <w:jc w:val="left"/>
        <w:rPr>
          <w:rFonts w:ascii="宋体" w:hAnsi="宋体" w:cs="Arial"/>
          <w:sz w:val="24"/>
        </w:rPr>
      </w:pPr>
      <w:r>
        <w:rPr>
          <w:rFonts w:hint="eastAsia" w:ascii="宋体" w:hAnsi="宋体" w:cs="Arial"/>
          <w:sz w:val="24"/>
        </w:rPr>
        <w:t>（1）基本无病虫危害状；</w:t>
      </w:r>
    </w:p>
    <w:p>
      <w:pPr>
        <w:widowControl/>
        <w:shd w:val="clear" w:color="auto" w:fill="FFFFFF"/>
        <w:ind w:firstLine="480" w:firstLineChars="200"/>
        <w:jc w:val="left"/>
        <w:rPr>
          <w:rFonts w:ascii="宋体" w:hAnsi="宋体" w:cs="Arial"/>
          <w:sz w:val="24"/>
        </w:rPr>
      </w:pPr>
      <w:r>
        <w:rPr>
          <w:rFonts w:hint="eastAsia" w:ascii="宋体" w:hAnsi="宋体" w:cs="Arial"/>
          <w:sz w:val="24"/>
        </w:rPr>
        <w:t>（2）受害率≤10%；</w:t>
      </w:r>
    </w:p>
    <w:p>
      <w:pPr>
        <w:widowControl/>
        <w:shd w:val="clear" w:color="auto" w:fill="FFFFFF"/>
        <w:ind w:firstLine="480" w:firstLineChars="200"/>
        <w:jc w:val="left"/>
        <w:rPr>
          <w:rFonts w:ascii="宋体" w:hAnsi="宋体" w:cs="Arial"/>
          <w:sz w:val="24"/>
        </w:rPr>
      </w:pPr>
      <w:r>
        <w:rPr>
          <w:rFonts w:hint="eastAsia" w:ascii="宋体" w:hAnsi="宋体" w:cs="Arial"/>
          <w:sz w:val="24"/>
        </w:rPr>
        <w:t>（3）无影响景观杂草；</w:t>
      </w:r>
    </w:p>
    <w:p>
      <w:pPr>
        <w:widowControl/>
        <w:shd w:val="clear" w:color="auto" w:fill="FFFFFF"/>
        <w:ind w:firstLine="480" w:firstLineChars="200"/>
        <w:jc w:val="left"/>
        <w:rPr>
          <w:rFonts w:ascii="宋体" w:hAnsi="宋体" w:cs="Arial"/>
          <w:sz w:val="24"/>
        </w:rPr>
      </w:pPr>
      <w:r>
        <w:rPr>
          <w:rFonts w:hint="eastAsia" w:ascii="宋体" w:hAnsi="宋体" w:cs="Arial"/>
          <w:sz w:val="24"/>
        </w:rPr>
        <w:t>覆盖率≥95%；补植完成时间≤3天。</w:t>
      </w:r>
    </w:p>
    <w:p>
      <w:pPr>
        <w:widowControl/>
        <w:shd w:val="clear" w:color="auto" w:fill="FFFFFF"/>
        <w:ind w:firstLine="482" w:firstLineChars="200"/>
        <w:jc w:val="left"/>
        <w:rPr>
          <w:rFonts w:ascii="宋体" w:hAnsi="宋体" w:cs="Arial"/>
          <w:sz w:val="24"/>
        </w:rPr>
      </w:pPr>
      <w:r>
        <w:rPr>
          <w:rFonts w:hint="eastAsia" w:ascii="宋体" w:hAnsi="宋体" w:cs="Arial"/>
          <w:b/>
          <w:bCs/>
          <w:sz w:val="24"/>
          <w:szCs w:val="22"/>
        </w:rPr>
        <w:t>E 水生植物</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整体效果：景观效果美观，无残花败叶漂浮。</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w:t>
      </w:r>
    </w:p>
    <w:p>
      <w:pPr>
        <w:widowControl/>
        <w:shd w:val="clear" w:color="auto" w:fill="FFFFFF"/>
        <w:ind w:firstLine="480" w:firstLineChars="200"/>
        <w:jc w:val="left"/>
        <w:rPr>
          <w:rFonts w:ascii="宋体" w:hAnsi="宋体" w:cs="Arial"/>
          <w:sz w:val="24"/>
        </w:rPr>
      </w:pPr>
      <w:r>
        <w:rPr>
          <w:rFonts w:hint="eastAsia" w:ascii="宋体" w:hAnsi="宋体" w:cs="Arial"/>
          <w:sz w:val="24"/>
        </w:rPr>
        <w:t>（1）植株生长健壮。</w:t>
      </w:r>
    </w:p>
    <w:p>
      <w:pPr>
        <w:widowControl/>
        <w:shd w:val="clear" w:color="auto" w:fill="FFFFFF"/>
        <w:ind w:firstLine="480" w:firstLineChars="200"/>
        <w:jc w:val="left"/>
        <w:rPr>
          <w:rFonts w:ascii="宋体" w:hAnsi="宋体" w:cs="Arial"/>
          <w:sz w:val="24"/>
        </w:rPr>
      </w:pPr>
      <w:r>
        <w:rPr>
          <w:rFonts w:hint="eastAsia" w:ascii="宋体" w:hAnsi="宋体" w:cs="Arial"/>
          <w:sz w:val="24"/>
        </w:rPr>
        <w:t>（2）叶色正常；观花.观果植株正常开花结果；花开艳丽；</w:t>
      </w:r>
    </w:p>
    <w:p>
      <w:pPr>
        <w:widowControl/>
        <w:shd w:val="clear" w:color="auto" w:fill="FFFFFF"/>
        <w:ind w:firstLine="480" w:firstLineChars="200"/>
        <w:jc w:val="left"/>
        <w:rPr>
          <w:rFonts w:ascii="宋体" w:hAnsi="宋体" w:cs="Arial"/>
          <w:sz w:val="24"/>
        </w:rPr>
      </w:pPr>
      <w:r>
        <w:rPr>
          <w:rFonts w:hint="eastAsia" w:ascii="宋体" w:hAnsi="宋体" w:cs="Arial"/>
          <w:sz w:val="24"/>
        </w:rPr>
        <w:t>（3）枯死植株≤5%；</w:t>
      </w:r>
    </w:p>
    <w:p>
      <w:pPr>
        <w:widowControl/>
        <w:shd w:val="clear" w:color="auto" w:fill="FFFFFF"/>
        <w:ind w:firstLine="480" w:firstLineChars="200"/>
        <w:jc w:val="left"/>
        <w:rPr>
          <w:rFonts w:ascii="宋体" w:hAnsi="宋体" w:cs="Arial"/>
          <w:sz w:val="24"/>
        </w:rPr>
      </w:pPr>
      <w:r>
        <w:rPr>
          <w:rFonts w:hint="eastAsia" w:ascii="宋体" w:hAnsi="宋体" w:cs="Arial"/>
          <w:sz w:val="24"/>
        </w:rPr>
        <w:t>排灌：暴雨后4h 恢复常水位；</w:t>
      </w:r>
    </w:p>
    <w:p>
      <w:pPr>
        <w:widowControl/>
        <w:shd w:val="clear" w:color="auto" w:fill="FFFFFF"/>
        <w:ind w:firstLine="480" w:firstLineChars="200"/>
        <w:jc w:val="left"/>
        <w:rPr>
          <w:rFonts w:ascii="宋体" w:hAnsi="宋体" w:cs="Arial"/>
          <w:sz w:val="24"/>
        </w:rPr>
      </w:pPr>
      <w:r>
        <w:rPr>
          <w:rFonts w:hint="eastAsia" w:ascii="宋体" w:hAnsi="宋体" w:cs="Arial"/>
          <w:sz w:val="24"/>
        </w:rPr>
        <w:t>有害生物防治：基本无病虫危害状，无杂草；</w:t>
      </w:r>
    </w:p>
    <w:p>
      <w:pPr>
        <w:widowControl/>
        <w:shd w:val="clear" w:color="auto" w:fill="FFFFFF"/>
        <w:ind w:firstLine="480" w:firstLineChars="200"/>
        <w:jc w:val="left"/>
        <w:rPr>
          <w:rFonts w:ascii="宋体" w:hAnsi="宋体" w:cs="Arial"/>
          <w:sz w:val="24"/>
        </w:rPr>
      </w:pPr>
      <w:r>
        <w:rPr>
          <w:rFonts w:hint="eastAsia" w:ascii="宋体" w:hAnsi="宋体" w:cs="Arial"/>
          <w:sz w:val="24"/>
        </w:rPr>
        <w:t>覆盖率≥95%；补植完成时间≤3天。</w:t>
      </w:r>
    </w:p>
    <w:p>
      <w:pPr>
        <w:widowControl/>
        <w:shd w:val="clear" w:color="auto" w:fill="FFFFFF"/>
        <w:ind w:firstLine="482" w:firstLineChars="200"/>
        <w:jc w:val="left"/>
        <w:rPr>
          <w:rFonts w:ascii="宋体" w:hAnsi="宋体" w:cs="Arial"/>
          <w:b/>
          <w:bCs/>
          <w:sz w:val="24"/>
          <w:szCs w:val="22"/>
        </w:rPr>
      </w:pPr>
      <w:r>
        <w:rPr>
          <w:rFonts w:hint="eastAsia" w:ascii="宋体" w:hAnsi="宋体" w:cs="Arial"/>
          <w:b/>
          <w:bCs/>
          <w:sz w:val="24"/>
          <w:szCs w:val="22"/>
        </w:rPr>
        <w:t>F 竹类</w:t>
      </w:r>
    </w:p>
    <w:p>
      <w:pPr>
        <w:widowControl/>
        <w:shd w:val="clear" w:color="auto" w:fill="FFFFFF"/>
        <w:ind w:firstLine="480" w:firstLineChars="200"/>
        <w:jc w:val="left"/>
        <w:rPr>
          <w:rFonts w:ascii="宋体" w:hAnsi="宋体" w:cs="Arial"/>
          <w:sz w:val="24"/>
        </w:rPr>
      </w:pPr>
      <w:r>
        <w:rPr>
          <w:rFonts w:hint="eastAsia" w:ascii="宋体" w:hAnsi="宋体" w:cs="Arial"/>
          <w:sz w:val="24"/>
        </w:rPr>
        <w:t>整体效果：</w:t>
      </w:r>
    </w:p>
    <w:p>
      <w:pPr>
        <w:widowControl/>
        <w:shd w:val="clear" w:color="auto" w:fill="FFFFFF"/>
        <w:ind w:firstLine="480" w:firstLineChars="200"/>
        <w:jc w:val="left"/>
        <w:rPr>
          <w:rFonts w:ascii="宋体" w:hAnsi="宋体" w:cs="Arial"/>
          <w:sz w:val="24"/>
        </w:rPr>
      </w:pPr>
      <w:r>
        <w:rPr>
          <w:rFonts w:hint="eastAsia" w:ascii="宋体" w:hAnsi="宋体" w:cs="Arial"/>
          <w:sz w:val="24"/>
        </w:rPr>
        <w:t>（1）竹竿挺直，枝叶青翠；</w:t>
      </w:r>
    </w:p>
    <w:p>
      <w:pPr>
        <w:widowControl/>
        <w:shd w:val="clear" w:color="auto" w:fill="FFFFFF"/>
        <w:ind w:firstLine="480" w:firstLineChars="200"/>
        <w:jc w:val="left"/>
        <w:rPr>
          <w:rFonts w:ascii="宋体" w:hAnsi="宋体" w:cs="Arial"/>
          <w:sz w:val="24"/>
        </w:rPr>
      </w:pPr>
      <w:r>
        <w:rPr>
          <w:rFonts w:hint="eastAsia" w:ascii="宋体" w:hAnsi="宋体" w:cs="Arial"/>
          <w:sz w:val="24"/>
        </w:rPr>
        <w:t>（2）死竹及枯竹≤3%；</w:t>
      </w:r>
    </w:p>
    <w:p>
      <w:pPr>
        <w:widowControl/>
        <w:shd w:val="clear" w:color="auto" w:fill="FFFFFF"/>
        <w:ind w:firstLine="480" w:firstLineChars="200"/>
        <w:jc w:val="left"/>
        <w:rPr>
          <w:rFonts w:ascii="宋体" w:hAnsi="宋体" w:cs="Arial"/>
          <w:sz w:val="24"/>
        </w:rPr>
      </w:pPr>
      <w:r>
        <w:rPr>
          <w:rFonts w:hint="eastAsia" w:ascii="宋体" w:hAnsi="宋体" w:cs="Arial"/>
          <w:sz w:val="24"/>
        </w:rPr>
        <w:t>（3）有完整的林相；</w:t>
      </w:r>
    </w:p>
    <w:p>
      <w:pPr>
        <w:widowControl/>
        <w:shd w:val="clear" w:color="auto" w:fill="FFFFFF"/>
        <w:ind w:firstLine="480" w:firstLineChars="200"/>
        <w:jc w:val="left"/>
        <w:rPr>
          <w:rFonts w:ascii="宋体" w:hAnsi="宋体" w:cs="Arial"/>
          <w:sz w:val="24"/>
        </w:rPr>
      </w:pPr>
      <w:r>
        <w:rPr>
          <w:rFonts w:hint="eastAsia" w:ascii="宋体" w:hAnsi="宋体" w:cs="Arial"/>
          <w:sz w:val="24"/>
        </w:rPr>
        <w:t>生长势：</w:t>
      </w:r>
    </w:p>
    <w:p>
      <w:pPr>
        <w:widowControl/>
        <w:shd w:val="clear" w:color="auto" w:fill="FFFFFF"/>
        <w:ind w:firstLine="480" w:firstLineChars="200"/>
        <w:jc w:val="left"/>
        <w:rPr>
          <w:rFonts w:ascii="宋体" w:hAnsi="宋体" w:cs="Arial"/>
          <w:sz w:val="24"/>
        </w:rPr>
      </w:pPr>
      <w:r>
        <w:rPr>
          <w:rFonts w:hint="eastAsia" w:ascii="宋体" w:hAnsi="宋体" w:cs="Arial"/>
          <w:sz w:val="24"/>
        </w:rPr>
        <w:t>（1）竹丛通风透光，植株生长健壮；</w:t>
      </w:r>
    </w:p>
    <w:p>
      <w:pPr>
        <w:widowControl/>
        <w:shd w:val="clear" w:color="auto" w:fill="FFFFFF"/>
        <w:ind w:firstLine="480" w:firstLineChars="200"/>
        <w:jc w:val="left"/>
        <w:rPr>
          <w:rFonts w:ascii="宋体" w:hAnsi="宋体" w:cs="Arial"/>
          <w:sz w:val="24"/>
        </w:rPr>
      </w:pPr>
      <w:r>
        <w:rPr>
          <w:rFonts w:hint="eastAsia" w:ascii="宋体" w:hAnsi="宋体" w:cs="Arial"/>
          <w:sz w:val="24"/>
        </w:rPr>
        <w:t>（2）新、老竹生长比例适当；</w:t>
      </w:r>
    </w:p>
    <w:p>
      <w:pPr>
        <w:widowControl/>
        <w:shd w:val="clear" w:color="auto" w:fill="FFFFFF"/>
        <w:ind w:firstLine="480" w:firstLineChars="200"/>
        <w:jc w:val="left"/>
        <w:rPr>
          <w:rFonts w:ascii="宋体" w:hAnsi="宋体" w:cs="Arial"/>
          <w:sz w:val="24"/>
        </w:rPr>
      </w:pPr>
      <w:r>
        <w:rPr>
          <w:rFonts w:hint="eastAsia" w:ascii="宋体" w:hAnsi="宋体" w:cs="Arial"/>
          <w:sz w:val="24"/>
        </w:rPr>
        <w:t>（3）竹鞭无裸露；</w:t>
      </w:r>
    </w:p>
    <w:p>
      <w:pPr>
        <w:widowControl/>
        <w:shd w:val="clear" w:color="auto" w:fill="FFFFFF"/>
        <w:ind w:firstLine="480" w:firstLineChars="200"/>
        <w:jc w:val="left"/>
        <w:rPr>
          <w:rFonts w:ascii="宋体" w:hAnsi="宋体" w:cs="Arial"/>
          <w:sz w:val="24"/>
        </w:rPr>
      </w:pPr>
      <w:r>
        <w:rPr>
          <w:rFonts w:hint="eastAsia" w:ascii="宋体" w:hAnsi="宋体" w:cs="Arial"/>
          <w:sz w:val="24"/>
        </w:rPr>
        <w:t>排灌:</w:t>
      </w:r>
    </w:p>
    <w:p>
      <w:pPr>
        <w:widowControl/>
        <w:shd w:val="clear" w:color="auto" w:fill="FFFFFF"/>
        <w:ind w:firstLine="480" w:firstLineChars="200"/>
        <w:jc w:val="left"/>
        <w:rPr>
          <w:rFonts w:ascii="宋体" w:hAnsi="宋体" w:cs="Arial"/>
          <w:sz w:val="24"/>
        </w:rPr>
      </w:pPr>
      <w:r>
        <w:rPr>
          <w:rFonts w:hint="eastAsia" w:ascii="宋体" w:hAnsi="宋体" w:cs="Arial"/>
          <w:sz w:val="24"/>
        </w:rPr>
        <w:t>（1）暴雨后2h内无积水；</w:t>
      </w:r>
    </w:p>
    <w:p>
      <w:pPr>
        <w:widowControl/>
        <w:shd w:val="clear" w:color="auto" w:fill="FFFFFF"/>
        <w:ind w:firstLine="480" w:firstLineChars="200"/>
        <w:jc w:val="left"/>
        <w:rPr>
          <w:rFonts w:ascii="宋体" w:hAnsi="宋体" w:cs="Arial"/>
          <w:sz w:val="24"/>
        </w:rPr>
      </w:pPr>
      <w:r>
        <w:rPr>
          <w:rFonts w:hint="eastAsia" w:ascii="宋体" w:hAnsi="宋体" w:cs="Arial"/>
          <w:sz w:val="24"/>
        </w:rPr>
        <w:t>（2）植株无失水萎蔫现象;</w:t>
      </w:r>
    </w:p>
    <w:p>
      <w:pPr>
        <w:widowControl/>
        <w:shd w:val="clear" w:color="auto" w:fill="FFFFFF"/>
        <w:ind w:firstLine="480" w:firstLineChars="200"/>
        <w:jc w:val="left"/>
        <w:rPr>
          <w:rFonts w:ascii="宋体" w:hAnsi="宋体" w:cs="Arial"/>
          <w:sz w:val="24"/>
        </w:rPr>
      </w:pPr>
      <w:r>
        <w:rPr>
          <w:rFonts w:hint="eastAsia" w:ascii="宋体" w:hAnsi="宋体" w:cs="Arial"/>
          <w:sz w:val="24"/>
        </w:rPr>
        <w:t>病虫害防治:</w:t>
      </w:r>
    </w:p>
    <w:p>
      <w:pPr>
        <w:widowControl/>
        <w:shd w:val="clear" w:color="auto" w:fill="FFFFFF"/>
        <w:ind w:firstLine="480" w:firstLineChars="200"/>
        <w:jc w:val="left"/>
        <w:rPr>
          <w:rFonts w:ascii="宋体" w:hAnsi="宋体" w:cs="Arial"/>
          <w:sz w:val="24"/>
        </w:rPr>
      </w:pPr>
      <w:r>
        <w:rPr>
          <w:rFonts w:hint="eastAsia" w:ascii="宋体" w:hAnsi="宋体" w:cs="Arial"/>
          <w:sz w:val="24"/>
        </w:rPr>
        <w:t>（1）基本无病虫危害状；</w:t>
      </w:r>
    </w:p>
    <w:p>
      <w:pPr>
        <w:widowControl/>
        <w:shd w:val="clear" w:color="auto" w:fill="FFFFFF"/>
        <w:ind w:firstLine="480" w:firstLineChars="200"/>
        <w:jc w:val="left"/>
        <w:rPr>
          <w:rFonts w:ascii="宋体" w:hAnsi="宋体" w:cs="Arial"/>
          <w:sz w:val="24"/>
        </w:rPr>
      </w:pPr>
      <w:r>
        <w:rPr>
          <w:rFonts w:hint="eastAsia" w:ascii="宋体" w:hAnsi="宋体" w:cs="Arial"/>
          <w:sz w:val="24"/>
        </w:rPr>
        <w:t>（2）竹叶、竹梢、竹竿受害率控制在≤5%以下;</w:t>
      </w:r>
    </w:p>
    <w:p>
      <w:pPr>
        <w:widowControl/>
        <w:shd w:val="clear" w:color="auto" w:fill="FFFFFF"/>
        <w:spacing w:line="420" w:lineRule="auto"/>
        <w:ind w:firstLine="480" w:firstLineChars="200"/>
        <w:jc w:val="left"/>
        <w:rPr>
          <w:rFonts w:ascii="宋体" w:hAnsi="宋体" w:cs="Arial"/>
          <w:sz w:val="24"/>
        </w:rPr>
      </w:pPr>
      <w:r>
        <w:rPr>
          <w:rFonts w:hint="eastAsia" w:ascii="宋体" w:hAnsi="宋体" w:cs="Arial"/>
          <w:sz w:val="24"/>
        </w:rPr>
        <w:t>补植完成时间≤3天。</w:t>
      </w:r>
    </w:p>
    <w:p>
      <w:pPr>
        <w:widowControl/>
        <w:shd w:val="clear" w:color="auto" w:fill="FFFFFF"/>
        <w:spacing w:line="420" w:lineRule="auto"/>
        <w:ind w:firstLine="562" w:firstLineChars="200"/>
        <w:jc w:val="left"/>
        <w:rPr>
          <w:rFonts w:ascii="宋体" w:hAnsi="宋体"/>
          <w:b/>
          <w:bCs/>
          <w:sz w:val="28"/>
        </w:rPr>
      </w:pPr>
      <w:r>
        <w:rPr>
          <w:rFonts w:hint="eastAsia" w:ascii="宋体" w:hAnsi="宋体"/>
          <w:b/>
          <w:bCs/>
          <w:sz w:val="28"/>
        </w:rPr>
        <w:t>1.4设施维护维修</w:t>
      </w:r>
    </w:p>
    <w:p>
      <w:pPr>
        <w:widowControl/>
        <w:shd w:val="clear" w:color="auto" w:fill="FFFFFF"/>
        <w:spacing w:line="420" w:lineRule="auto"/>
        <w:ind w:firstLine="480" w:firstLineChars="200"/>
        <w:jc w:val="left"/>
        <w:rPr>
          <w:rFonts w:ascii="宋体" w:hAnsi="宋体" w:cs="宋体"/>
          <w:color w:val="000000"/>
          <w:sz w:val="24"/>
        </w:rPr>
      </w:pPr>
      <w:r>
        <w:rPr>
          <w:rFonts w:hint="eastAsia" w:ascii="宋体" w:hAnsi="宋体" w:cs="宋体"/>
          <w:sz w:val="24"/>
        </w:rPr>
        <w:t>应按照许昌市数字城市管理案件处理的质量、时间等标准对采购人交代的案件问题保质保量规范施工（施工人员必须持证上岗）及时予以解决，同时</w:t>
      </w:r>
      <w:r>
        <w:rPr>
          <w:rFonts w:hint="eastAsia" w:ascii="宋体" w:hAnsi="宋体" w:cs="Arial"/>
          <w:sz w:val="24"/>
        </w:rPr>
        <w:t>确保建筑设施和基础设施完整，无破</w:t>
      </w:r>
      <w:r>
        <w:rPr>
          <w:rFonts w:hint="eastAsia" w:ascii="宋体" w:hAnsi="宋体" w:cs="宋体"/>
          <w:color w:val="000000"/>
          <w:sz w:val="24"/>
        </w:rPr>
        <w:t>损现象，若有损坏必须承担由此产生的相关费用。</w:t>
      </w:r>
    </w:p>
    <w:p>
      <w:pPr>
        <w:widowControl/>
        <w:shd w:val="clear" w:color="auto" w:fill="FFFFFF"/>
        <w:spacing w:line="360" w:lineRule="auto"/>
        <w:ind w:firstLine="480" w:firstLineChars="200"/>
        <w:rPr>
          <w:rFonts w:ascii="宋体" w:hAnsi="宋体"/>
          <w:sz w:val="24"/>
        </w:rPr>
      </w:pPr>
      <w:r>
        <w:rPr>
          <w:rFonts w:ascii="宋体" w:hAnsi="宋体"/>
          <w:sz w:val="24"/>
        </w:rPr>
        <w:t>水电维护</w:t>
      </w:r>
    </w:p>
    <w:p>
      <w:pPr>
        <w:widowControl/>
        <w:shd w:val="clear" w:color="auto" w:fill="FFFFFF"/>
        <w:spacing w:line="360" w:lineRule="auto"/>
        <w:ind w:firstLine="480" w:firstLineChars="200"/>
        <w:rPr>
          <w:rFonts w:ascii="宋体" w:hAnsi="宋体"/>
          <w:sz w:val="24"/>
        </w:rPr>
      </w:pPr>
      <w:r>
        <w:rPr>
          <w:rFonts w:ascii="宋体" w:hAnsi="宋体"/>
          <w:sz w:val="24"/>
        </w:rPr>
        <w:t>负责服务范围内水、电等维护工作</w:t>
      </w:r>
      <w:r>
        <w:rPr>
          <w:rFonts w:hint="eastAsia" w:ascii="宋体" w:hAnsi="宋体"/>
          <w:sz w:val="24"/>
        </w:rPr>
        <w:t>，及时检查是否完好，始终保持正常状态，坚决杜绝事故发生</w:t>
      </w:r>
      <w:r>
        <w:rPr>
          <w:rFonts w:ascii="宋体" w:hAnsi="宋体"/>
          <w:sz w:val="24"/>
        </w:rPr>
        <w:t>。特殊、重大维修超出中标单位承担范围的，中标单位须书面出具维修建议书。</w:t>
      </w:r>
      <w:r>
        <w:rPr>
          <w:rFonts w:hint="eastAsia" w:ascii="宋体" w:hAnsi="宋体"/>
          <w:sz w:val="24"/>
        </w:rPr>
        <w:t>要经常检查办公区域内的电灯是否正常，及时发现问题，及时处理。关键岗位中标单位应坚持值班制度，不得脱岗漏岗，随时处置突发事件。</w:t>
      </w:r>
    </w:p>
    <w:p>
      <w:pPr>
        <w:pStyle w:val="39"/>
        <w:spacing w:before="156" w:after="156"/>
        <w:ind w:left="0"/>
        <w:jc w:val="both"/>
        <w:rPr>
          <w:rFonts w:ascii="宋体" w:hAnsi="宋体" w:eastAsiaTheme="minorEastAsia" w:cstheme="minorBidi"/>
          <w:sz w:val="24"/>
          <w:szCs w:val="22"/>
        </w:rPr>
      </w:pPr>
      <w:r>
        <w:rPr>
          <w:rFonts w:hint="eastAsia" w:ascii="宋体" w:hAnsi="宋体" w:eastAsiaTheme="minorEastAsia" w:cstheme="minorBidi"/>
          <w:sz w:val="24"/>
          <w:szCs w:val="22"/>
        </w:rPr>
        <w:t>1、对于建筑及构筑物的管理工作应符合下列要求：</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1.1应保持外观整洁，构件和各项设施完好无损。</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1.2室内陈设应合理，并保持清洁、完好。</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1.3应保持室内地面干燥，内外环境应整洁、卫生，并进行定期消毒。</w:t>
      </w:r>
    </w:p>
    <w:p>
      <w:pPr>
        <w:pStyle w:val="39"/>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1.4应消除结构、装修和设施的安全隐患。</w:t>
      </w:r>
    </w:p>
    <w:p>
      <w:pPr>
        <w:pStyle w:val="39"/>
        <w:spacing w:before="156" w:after="156"/>
        <w:ind w:left="0"/>
        <w:jc w:val="both"/>
        <w:rPr>
          <w:rFonts w:ascii="宋体" w:hAnsi="宋体" w:eastAsiaTheme="minorEastAsia" w:cstheme="minorBidi"/>
          <w:sz w:val="24"/>
          <w:szCs w:val="22"/>
        </w:rPr>
      </w:pPr>
      <w:r>
        <w:rPr>
          <w:rFonts w:hint="eastAsia" w:ascii="宋体" w:hAnsi="宋体" w:eastAsiaTheme="minorEastAsia" w:cstheme="minorBidi"/>
          <w:sz w:val="24"/>
          <w:szCs w:val="22"/>
        </w:rPr>
        <w:t>2、道路和铺装广场的管理工作应符合下列要求：</w:t>
      </w:r>
    </w:p>
    <w:p>
      <w:pPr>
        <w:pStyle w:val="39"/>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2.1铺装面、侧石、台阶、斜坡等应保持平整，无积水。</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2.2应保持铺装面清洁、防滑，无障碍设施完好。</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2.3损坏部分应及时修补，消除安全隐患。</w:t>
      </w:r>
    </w:p>
    <w:p>
      <w:pPr>
        <w:pStyle w:val="39"/>
        <w:spacing w:before="156" w:after="156"/>
        <w:ind w:left="0"/>
        <w:jc w:val="both"/>
        <w:rPr>
          <w:rFonts w:ascii="宋体" w:hAnsi="宋体" w:eastAsiaTheme="minorEastAsia" w:cstheme="minorBidi"/>
          <w:sz w:val="24"/>
          <w:szCs w:val="22"/>
        </w:rPr>
      </w:pPr>
      <w:r>
        <w:rPr>
          <w:rFonts w:hint="eastAsia" w:ascii="宋体" w:hAnsi="宋体" w:eastAsiaTheme="minorEastAsia" w:cstheme="minorBidi"/>
          <w:sz w:val="24"/>
          <w:szCs w:val="22"/>
        </w:rPr>
        <w:t>3、假山、叠石的管理工作应符合下列要求：</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3.1假山、叠石应保证完整、稳固、安全。不适于攀爬的叠石应配备醒目提示标志和防护设备。</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3.2假山四周及石缝不得有影响安全和景观的杂草、杂物。</w:t>
      </w:r>
    </w:p>
    <w:p>
      <w:pPr>
        <w:pStyle w:val="39"/>
        <w:spacing w:before="156" w:after="156"/>
        <w:ind w:left="0" w:firstLine="240" w:firstLineChars="100"/>
        <w:jc w:val="both"/>
        <w:rPr>
          <w:rFonts w:ascii="宋体" w:hAnsi="宋体" w:eastAsiaTheme="minorEastAsia" w:cstheme="minorBidi"/>
          <w:sz w:val="24"/>
          <w:szCs w:val="22"/>
        </w:rPr>
      </w:pPr>
      <w:r>
        <w:rPr>
          <w:rFonts w:hint="eastAsia" w:ascii="宋体" w:hAnsi="宋体" w:eastAsiaTheme="minorEastAsia" w:cstheme="minorBidi"/>
          <w:sz w:val="24"/>
          <w:szCs w:val="22"/>
        </w:rPr>
        <w:t>4、娱乐健身设施应明确使用要求、操作规程，并符合《游乐设施安全规范》GB8408的规定。</w:t>
      </w:r>
    </w:p>
    <w:p>
      <w:pPr>
        <w:pStyle w:val="39"/>
        <w:spacing w:before="156" w:after="156"/>
        <w:ind w:left="0" w:firstLine="240" w:firstLineChars="100"/>
        <w:jc w:val="both"/>
        <w:rPr>
          <w:rFonts w:ascii="宋体" w:hAnsi="宋体" w:eastAsiaTheme="minorEastAsia" w:cstheme="minorBidi"/>
          <w:sz w:val="24"/>
          <w:szCs w:val="22"/>
        </w:rPr>
      </w:pPr>
      <w:r>
        <w:rPr>
          <w:rFonts w:hint="eastAsia" w:ascii="宋体" w:hAnsi="宋体" w:eastAsiaTheme="minorEastAsia" w:cstheme="minorBidi"/>
          <w:sz w:val="24"/>
          <w:szCs w:val="22"/>
        </w:rPr>
        <w:t>5、给水、排水设施的管理工作应符合下列要求：</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5.1应保持管道畅通，无污染。</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5.2外露的窨井、进水口、给水口、喷灌等设施应随时保持清洁、完整无损，寒冷地区冬季应采取防冻裂保护措施。</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 xml:space="preserve">5.3防汛、消防等设备应保持完好、有效。  </w:t>
      </w:r>
    </w:p>
    <w:p>
      <w:pPr>
        <w:pStyle w:val="39"/>
        <w:spacing w:before="156" w:after="156"/>
        <w:ind w:left="0"/>
        <w:jc w:val="both"/>
        <w:rPr>
          <w:rFonts w:ascii="宋体" w:hAnsi="宋体" w:eastAsiaTheme="minorEastAsia" w:cstheme="minorBidi"/>
          <w:sz w:val="24"/>
          <w:szCs w:val="22"/>
        </w:rPr>
      </w:pPr>
      <w:r>
        <w:rPr>
          <w:rFonts w:hint="eastAsia" w:ascii="宋体" w:hAnsi="宋体" w:eastAsiaTheme="minorEastAsia" w:cstheme="minorBidi"/>
          <w:sz w:val="24"/>
          <w:szCs w:val="22"/>
        </w:rPr>
        <w:t>6、输配电、照明的管理工作应符合下列要求：</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6.1应定期检测，并保持常年完整、运转正常。</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6.2照明设施应保持清洁、有足够照度，无带电裸露部分。</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6.3各类管线设施应保持完整、安全。</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6.4太阳能设施应确保完整无损，运行正常。</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6.5应确保安全警示标志位于明显位置。</w:t>
      </w:r>
    </w:p>
    <w:p>
      <w:pPr>
        <w:pStyle w:val="39"/>
        <w:spacing w:before="156" w:after="156"/>
        <w:ind w:left="0"/>
        <w:jc w:val="both"/>
        <w:rPr>
          <w:rFonts w:ascii="宋体" w:hAnsi="宋体" w:eastAsiaTheme="minorEastAsia" w:cstheme="minorBidi"/>
          <w:sz w:val="24"/>
          <w:szCs w:val="22"/>
        </w:rPr>
      </w:pPr>
      <w:r>
        <w:rPr>
          <w:rFonts w:hint="eastAsia" w:ascii="宋体" w:hAnsi="宋体" w:eastAsiaTheme="minorEastAsia" w:cstheme="minorBidi"/>
          <w:sz w:val="24"/>
          <w:szCs w:val="22"/>
        </w:rPr>
        <w:t>7、园凳、园椅的管理工作应符合下列要求：</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7.1应保持园凳、圆椅的外观整洁美观，坐靠舒适、稳固，无损坏。</w:t>
      </w:r>
    </w:p>
    <w:p>
      <w:pPr>
        <w:pStyle w:val="42"/>
        <w:spacing w:before="156" w:after="156"/>
        <w:ind w:left="0" w:firstLine="352" w:firstLineChars="147"/>
        <w:jc w:val="both"/>
        <w:rPr>
          <w:rFonts w:ascii="宋体" w:hAnsi="宋体" w:eastAsiaTheme="minorEastAsia" w:cstheme="minorBidi"/>
          <w:sz w:val="24"/>
          <w:szCs w:val="22"/>
        </w:rPr>
      </w:pPr>
      <w:r>
        <w:rPr>
          <w:rFonts w:hint="eastAsia" w:ascii="宋体" w:hAnsi="宋体" w:eastAsiaTheme="minorEastAsia" w:cstheme="minorBidi"/>
          <w:sz w:val="24"/>
          <w:szCs w:val="22"/>
        </w:rPr>
        <w:t>7.2维修与油漆未干时，应有明显标志。</w:t>
      </w:r>
    </w:p>
    <w:p>
      <w:pPr>
        <w:pStyle w:val="39"/>
        <w:spacing w:before="156" w:after="156" w:line="360" w:lineRule="auto"/>
        <w:ind w:left="0" w:firstLine="480" w:firstLineChars="200"/>
        <w:jc w:val="both"/>
        <w:rPr>
          <w:rFonts w:ascii="宋体" w:hAnsi="宋体" w:eastAsiaTheme="minorEastAsia" w:cstheme="minorBidi"/>
          <w:sz w:val="24"/>
          <w:szCs w:val="22"/>
        </w:rPr>
      </w:pPr>
      <w:r>
        <w:rPr>
          <w:rFonts w:hint="eastAsia" w:ascii="宋体" w:hAnsi="宋体" w:eastAsiaTheme="minorEastAsia" w:cstheme="minorBidi"/>
          <w:sz w:val="24"/>
          <w:szCs w:val="22"/>
        </w:rPr>
        <w:t>8、垃圾桶外观应保持整洁完整，无污垢陈渍；箱内无沉积垃圾，无异味、无蚊蝇孳生。果皮箱每天彻底擦拭一遍，日常随脏随擦；箱内垃圾随满随掏，清掏作业后掏净、盖好（锁好），复位好。</w:t>
      </w:r>
    </w:p>
    <w:p>
      <w:pPr>
        <w:pStyle w:val="39"/>
        <w:spacing w:before="156" w:after="156"/>
        <w:ind w:left="0" w:firstLine="480" w:firstLineChars="200"/>
        <w:jc w:val="both"/>
        <w:rPr>
          <w:rFonts w:ascii="宋体" w:hAnsi="宋体" w:eastAsiaTheme="minorEastAsia" w:cstheme="minorBidi"/>
          <w:sz w:val="24"/>
          <w:szCs w:val="22"/>
        </w:rPr>
      </w:pPr>
      <w:r>
        <w:rPr>
          <w:rFonts w:hint="eastAsia" w:ascii="宋体" w:hAnsi="宋体" w:eastAsiaTheme="minorEastAsia" w:cstheme="minorBidi"/>
          <w:sz w:val="24"/>
          <w:szCs w:val="22"/>
        </w:rPr>
        <w:t>9、应确保牌示的外观整洁，构件完整，指示清晰明显。对破损的牌示应及时修补或更换。</w:t>
      </w:r>
    </w:p>
    <w:p>
      <w:pPr>
        <w:pStyle w:val="39"/>
        <w:spacing w:before="156" w:after="156"/>
        <w:ind w:left="0" w:firstLine="480" w:firstLineChars="200"/>
        <w:jc w:val="both"/>
        <w:rPr>
          <w:rFonts w:ascii="宋体" w:hAnsi="宋体" w:eastAsiaTheme="minorEastAsia" w:cstheme="minorBidi"/>
          <w:sz w:val="24"/>
          <w:szCs w:val="22"/>
        </w:rPr>
      </w:pPr>
      <w:r>
        <w:rPr>
          <w:rFonts w:hint="eastAsia" w:ascii="宋体" w:hAnsi="宋体" w:eastAsiaTheme="minorEastAsia" w:cstheme="minorBidi"/>
          <w:sz w:val="24"/>
          <w:szCs w:val="22"/>
        </w:rPr>
        <w:t>10、雨水收集设施应确保雨水收集设施的外观整洁，设施通畅、完整无损，运行正常。</w:t>
      </w:r>
    </w:p>
    <w:p>
      <w:pPr>
        <w:widowControl/>
        <w:shd w:val="clear" w:color="auto" w:fill="FFFFFF"/>
        <w:ind w:firstLine="480" w:firstLineChars="200"/>
      </w:pPr>
      <w:r>
        <w:rPr>
          <w:rFonts w:hint="eastAsia" w:ascii="宋体" w:hAnsi="宋体"/>
          <w:sz w:val="24"/>
          <w:szCs w:val="22"/>
        </w:rPr>
        <w:t>11、应确保监控设施的外观整洁，设施完整无损，运行正常。</w:t>
      </w:r>
    </w:p>
    <w:p>
      <w:pPr>
        <w:spacing w:line="360" w:lineRule="auto"/>
        <w:ind w:firstLine="480"/>
        <w:rPr>
          <w:rFonts w:ascii="宋体" w:hAnsi="宋体"/>
          <w:b/>
          <w:bCs/>
          <w:sz w:val="24"/>
        </w:rPr>
      </w:pPr>
      <w:r>
        <w:rPr>
          <w:rFonts w:hint="eastAsia" w:ascii="宋体" w:hAnsi="宋体"/>
          <w:b/>
          <w:bCs/>
          <w:sz w:val="24"/>
        </w:rPr>
        <w:t>注：（1）强风天气过后，组织人员对区域内环境卫生公用设施损坏情况进行勘察，并将损坏情况形成书面报告上报甲方单位。</w:t>
      </w:r>
    </w:p>
    <w:p>
      <w:pPr>
        <w:numPr>
          <w:ilvl w:val="0"/>
          <w:numId w:val="4"/>
        </w:numPr>
        <w:spacing w:line="360" w:lineRule="auto"/>
        <w:ind w:firstLine="480"/>
        <w:rPr>
          <w:rFonts w:ascii="宋体" w:hAnsi="宋体"/>
          <w:b/>
          <w:bCs/>
          <w:sz w:val="24"/>
        </w:rPr>
      </w:pPr>
      <w:r>
        <w:rPr>
          <w:rFonts w:hint="eastAsia" w:ascii="宋体" w:hAnsi="宋体"/>
          <w:b/>
          <w:bCs/>
          <w:sz w:val="24"/>
        </w:rPr>
        <w:t>遇六级以上大风以及雷暴雨、冰雹等恶劣天气时，停止室外作业。特殊情况下，确需在恶劣天气进行抢修时，应组织应急人员充分讨论必要的安全措施，经主管领导批准后方可进行。</w:t>
      </w:r>
    </w:p>
    <w:p>
      <w:pPr>
        <w:spacing w:line="360" w:lineRule="auto"/>
        <w:ind w:firstLine="562" w:firstLineChars="200"/>
        <w:jc w:val="left"/>
        <w:rPr>
          <w:rFonts w:ascii="宋体" w:hAnsi="宋体"/>
          <w:b/>
          <w:bCs/>
          <w:sz w:val="28"/>
        </w:rPr>
      </w:pPr>
      <w:r>
        <w:rPr>
          <w:rFonts w:hint="eastAsia" w:ascii="宋体" w:hAnsi="宋体"/>
          <w:b/>
          <w:bCs/>
          <w:sz w:val="28"/>
        </w:rPr>
        <w:t>1.5水面保洁及防溺水管理标准</w:t>
      </w:r>
    </w:p>
    <w:p>
      <w:pPr>
        <w:spacing w:line="360" w:lineRule="auto"/>
        <w:ind w:firstLine="480" w:firstLineChars="200"/>
        <w:jc w:val="left"/>
        <w:rPr>
          <w:rFonts w:ascii="宋体" w:hAnsi="宋体"/>
          <w:sz w:val="24"/>
          <w:szCs w:val="22"/>
        </w:rPr>
      </w:pPr>
      <w:r>
        <w:rPr>
          <w:rFonts w:hint="eastAsia" w:ascii="宋体" w:hAnsi="宋体"/>
          <w:sz w:val="24"/>
          <w:szCs w:val="22"/>
        </w:rPr>
        <w:t>14.5.1安全管理</w:t>
      </w:r>
    </w:p>
    <w:p>
      <w:pPr>
        <w:spacing w:line="360" w:lineRule="auto"/>
        <w:ind w:firstLine="480" w:firstLineChars="200"/>
        <w:jc w:val="left"/>
        <w:rPr>
          <w:rFonts w:ascii="宋体" w:hAnsi="宋体"/>
          <w:sz w:val="24"/>
          <w:szCs w:val="22"/>
        </w:rPr>
      </w:pPr>
      <w:r>
        <w:rPr>
          <w:rFonts w:hint="eastAsia" w:ascii="宋体" w:hAnsi="宋体"/>
          <w:sz w:val="24"/>
          <w:szCs w:val="22"/>
        </w:rPr>
        <w:t>a.及时劝阻游人，严禁近距离接触水面。</w:t>
      </w:r>
    </w:p>
    <w:p>
      <w:pPr>
        <w:spacing w:line="360" w:lineRule="auto"/>
        <w:ind w:firstLine="480" w:firstLineChars="200"/>
        <w:jc w:val="left"/>
        <w:rPr>
          <w:rFonts w:ascii="宋体" w:hAnsi="宋体"/>
          <w:sz w:val="24"/>
          <w:szCs w:val="22"/>
        </w:rPr>
      </w:pPr>
      <w:r>
        <w:rPr>
          <w:rFonts w:hint="eastAsia" w:ascii="宋体" w:hAnsi="宋体"/>
          <w:sz w:val="24"/>
          <w:szCs w:val="22"/>
        </w:rPr>
        <w:t>b.及时劝阻游人，严禁在湖内游泳、溜冰戏耍。</w:t>
      </w:r>
    </w:p>
    <w:p>
      <w:pPr>
        <w:spacing w:line="360" w:lineRule="auto"/>
        <w:ind w:firstLine="480" w:firstLineChars="200"/>
        <w:jc w:val="left"/>
        <w:rPr>
          <w:rFonts w:ascii="宋体" w:hAnsi="宋体"/>
          <w:sz w:val="24"/>
          <w:szCs w:val="22"/>
        </w:rPr>
      </w:pPr>
      <w:r>
        <w:rPr>
          <w:rFonts w:hint="eastAsia" w:ascii="宋体" w:hAnsi="宋体"/>
          <w:sz w:val="24"/>
          <w:szCs w:val="22"/>
        </w:rPr>
        <w:t>c.为确保人身安全，未成年儿童在湖边玩耍须由成人陪同。</w:t>
      </w:r>
    </w:p>
    <w:p>
      <w:pPr>
        <w:spacing w:line="360" w:lineRule="auto"/>
        <w:ind w:firstLine="480" w:firstLineChars="200"/>
        <w:jc w:val="left"/>
        <w:rPr>
          <w:rFonts w:ascii="宋体" w:hAnsi="宋体"/>
          <w:sz w:val="24"/>
          <w:szCs w:val="22"/>
        </w:rPr>
      </w:pPr>
      <w:r>
        <w:rPr>
          <w:rFonts w:hint="eastAsia" w:ascii="宋体" w:hAnsi="宋体"/>
          <w:sz w:val="24"/>
          <w:szCs w:val="22"/>
        </w:rPr>
        <w:t>d.保护好湖周边景观的一草一木。</w:t>
      </w:r>
    </w:p>
    <w:p>
      <w:pPr>
        <w:pStyle w:val="2"/>
        <w:ind w:firstLine="480" w:firstLineChars="200"/>
        <w:rPr>
          <w:rFonts w:hAnsi="宋体" w:eastAsiaTheme="minorEastAsia" w:cstheme="minorBidi"/>
          <w:kern w:val="2"/>
          <w:sz w:val="24"/>
          <w:szCs w:val="22"/>
        </w:rPr>
      </w:pPr>
      <w:r>
        <w:rPr>
          <w:rFonts w:hint="eastAsia" w:hAnsi="宋体" w:eastAsiaTheme="minorEastAsia" w:cstheme="minorBidi"/>
          <w:kern w:val="2"/>
          <w:sz w:val="24"/>
          <w:szCs w:val="22"/>
        </w:rPr>
        <w:t>e.确保驳岸安全稳固，无缺损，整洁美观；确保安全提示标志明显，位置合理。</w:t>
      </w:r>
    </w:p>
    <w:p>
      <w:pPr>
        <w:spacing w:line="360" w:lineRule="auto"/>
        <w:ind w:firstLine="480" w:firstLineChars="200"/>
        <w:jc w:val="left"/>
        <w:rPr>
          <w:rFonts w:ascii="宋体" w:hAnsi="宋体"/>
          <w:sz w:val="24"/>
          <w:szCs w:val="22"/>
        </w:rPr>
      </w:pPr>
      <w:r>
        <w:rPr>
          <w:rFonts w:hint="eastAsia" w:ascii="宋体" w:hAnsi="宋体"/>
          <w:sz w:val="24"/>
          <w:szCs w:val="22"/>
        </w:rPr>
        <w:t>14.5.2保洁管理</w:t>
      </w:r>
    </w:p>
    <w:p>
      <w:pPr>
        <w:spacing w:line="360" w:lineRule="auto"/>
        <w:ind w:firstLine="480" w:firstLineChars="200"/>
        <w:jc w:val="left"/>
        <w:rPr>
          <w:rFonts w:ascii="宋体" w:hAnsi="宋体"/>
          <w:sz w:val="24"/>
          <w:szCs w:val="22"/>
        </w:rPr>
      </w:pPr>
      <w:r>
        <w:rPr>
          <w:rFonts w:hint="eastAsia" w:ascii="宋体" w:hAnsi="宋体"/>
          <w:sz w:val="24"/>
          <w:szCs w:val="22"/>
        </w:rPr>
        <w:t>a.及时对湖周边的环境卫生责任区路面、湖面漂浮物、绿化带进行保洁。上班期间做到保洁区内无果皮、纸屑、烟头、树叶和明显尘土等杂物。</w:t>
      </w:r>
    </w:p>
    <w:p>
      <w:pPr>
        <w:spacing w:line="360" w:lineRule="auto"/>
        <w:ind w:firstLine="480" w:firstLineChars="200"/>
        <w:jc w:val="left"/>
        <w:rPr>
          <w:rFonts w:ascii="宋体" w:hAnsi="宋体"/>
          <w:sz w:val="24"/>
          <w:szCs w:val="22"/>
        </w:rPr>
      </w:pPr>
      <w:r>
        <w:rPr>
          <w:rFonts w:hint="eastAsia" w:ascii="宋体" w:hAnsi="宋体"/>
          <w:sz w:val="24"/>
          <w:szCs w:val="22"/>
        </w:rPr>
        <w:t>b.中午和傍晚时环境卫生效果保持好。</w:t>
      </w:r>
    </w:p>
    <w:p>
      <w:pPr>
        <w:spacing w:line="360" w:lineRule="auto"/>
        <w:ind w:firstLine="480" w:firstLineChars="200"/>
        <w:jc w:val="left"/>
        <w:rPr>
          <w:rFonts w:ascii="宋体" w:hAnsi="宋体"/>
          <w:sz w:val="24"/>
          <w:szCs w:val="22"/>
        </w:rPr>
      </w:pPr>
      <w:r>
        <w:rPr>
          <w:rFonts w:hint="eastAsia" w:ascii="宋体" w:hAnsi="宋体"/>
          <w:sz w:val="24"/>
          <w:szCs w:val="22"/>
        </w:rPr>
        <w:t>c.清扫收集的垃圾不随意堆放,及时倒入果皮箱内。</w:t>
      </w:r>
    </w:p>
    <w:p>
      <w:pPr>
        <w:spacing w:line="360" w:lineRule="auto"/>
        <w:ind w:firstLine="480" w:firstLineChars="200"/>
        <w:jc w:val="left"/>
        <w:rPr>
          <w:rFonts w:ascii="宋体" w:hAnsi="宋体"/>
          <w:sz w:val="24"/>
          <w:szCs w:val="22"/>
        </w:rPr>
      </w:pPr>
      <w:r>
        <w:rPr>
          <w:rFonts w:hint="eastAsia" w:ascii="宋体" w:hAnsi="宋体"/>
          <w:sz w:val="24"/>
          <w:szCs w:val="22"/>
        </w:rPr>
        <w:t>d.每天对湖周边各项附属设施（如湖标志牌、警示牌、垃圾箱等）进行保洁。附属设施上清洁，无乱贴乱画，无浮尘。</w:t>
      </w:r>
    </w:p>
    <w:p>
      <w:pPr>
        <w:spacing w:line="360" w:lineRule="auto"/>
        <w:ind w:firstLine="480" w:firstLineChars="200"/>
        <w:jc w:val="left"/>
        <w:rPr>
          <w:rFonts w:ascii="宋体" w:hAnsi="宋体"/>
          <w:sz w:val="24"/>
          <w:szCs w:val="22"/>
        </w:rPr>
      </w:pPr>
      <w:r>
        <w:rPr>
          <w:rFonts w:hint="eastAsia" w:ascii="宋体" w:hAnsi="宋体"/>
          <w:sz w:val="24"/>
          <w:szCs w:val="22"/>
        </w:rPr>
        <w:t>14.5.3水体管理</w:t>
      </w:r>
    </w:p>
    <w:p>
      <w:pPr>
        <w:spacing w:line="360" w:lineRule="auto"/>
        <w:ind w:firstLine="480" w:firstLineChars="200"/>
        <w:jc w:val="left"/>
        <w:rPr>
          <w:rFonts w:ascii="宋体" w:hAnsi="宋体"/>
          <w:sz w:val="24"/>
          <w:szCs w:val="22"/>
        </w:rPr>
      </w:pPr>
      <w:r>
        <w:rPr>
          <w:rFonts w:hint="eastAsia" w:ascii="宋体" w:hAnsi="宋体"/>
          <w:sz w:val="24"/>
          <w:szCs w:val="22"/>
        </w:rPr>
        <w:t>a.严禁在湖中取水清洗车辆及各种衣服物件，严禁将各种污水直接排入湖内。</w:t>
      </w:r>
    </w:p>
    <w:p>
      <w:pPr>
        <w:spacing w:line="360" w:lineRule="auto"/>
        <w:ind w:firstLine="480" w:firstLineChars="200"/>
        <w:jc w:val="left"/>
        <w:rPr>
          <w:rFonts w:ascii="宋体" w:hAnsi="宋体"/>
          <w:sz w:val="24"/>
          <w:szCs w:val="22"/>
        </w:rPr>
      </w:pPr>
      <w:r>
        <w:rPr>
          <w:rFonts w:hint="eastAsia" w:ascii="宋体" w:hAnsi="宋体"/>
          <w:sz w:val="24"/>
          <w:szCs w:val="22"/>
        </w:rPr>
        <w:t>b.严禁向湖内倾倒垃圾、果皮、纸屑、石头、泥土等废弃物。</w:t>
      </w:r>
    </w:p>
    <w:p>
      <w:pPr>
        <w:spacing w:line="360" w:lineRule="auto"/>
        <w:ind w:firstLine="480" w:firstLineChars="200"/>
        <w:jc w:val="left"/>
        <w:rPr>
          <w:rFonts w:ascii="宋体" w:hAnsi="宋体"/>
          <w:sz w:val="24"/>
          <w:szCs w:val="22"/>
        </w:rPr>
      </w:pPr>
      <w:r>
        <w:rPr>
          <w:rFonts w:hint="eastAsia" w:ascii="宋体" w:hAnsi="宋体"/>
          <w:sz w:val="24"/>
          <w:szCs w:val="22"/>
        </w:rPr>
        <w:t>c.实时关注水体情况，做到及时补水、换水、消毒、除草、除藻，防止湖水污染变质。</w:t>
      </w:r>
    </w:p>
    <w:p>
      <w:pPr>
        <w:spacing w:line="360" w:lineRule="auto"/>
        <w:ind w:firstLine="480" w:firstLineChars="200"/>
        <w:jc w:val="left"/>
        <w:rPr>
          <w:rFonts w:ascii="宋体" w:hAnsi="宋体"/>
          <w:sz w:val="24"/>
          <w:szCs w:val="22"/>
        </w:rPr>
      </w:pPr>
      <w:r>
        <w:rPr>
          <w:rFonts w:hint="eastAsia" w:ascii="宋体" w:hAnsi="宋体"/>
          <w:sz w:val="24"/>
          <w:szCs w:val="22"/>
        </w:rPr>
        <w:t>d.杜绝人为破坏，污染水质。</w:t>
      </w:r>
    </w:p>
    <w:p>
      <w:pPr>
        <w:spacing w:line="360" w:lineRule="auto"/>
        <w:ind w:firstLine="480" w:firstLineChars="200"/>
        <w:jc w:val="left"/>
        <w:rPr>
          <w:rFonts w:ascii="宋体" w:hAnsi="宋体"/>
          <w:sz w:val="24"/>
          <w:szCs w:val="22"/>
        </w:rPr>
      </w:pPr>
      <w:r>
        <w:rPr>
          <w:rFonts w:hint="eastAsia" w:ascii="宋体" w:hAnsi="宋体"/>
          <w:sz w:val="24"/>
          <w:szCs w:val="22"/>
        </w:rPr>
        <w:t>f.定人定岗全天候对水面、水草漂浮物（</w:t>
      </w:r>
      <w:r>
        <w:rPr>
          <w:rFonts w:hint="eastAsia"/>
        </w:rPr>
        <w:t>绿萍、水葫芦</w:t>
      </w:r>
      <w:r>
        <w:rPr>
          <w:rFonts w:hint="eastAsia" w:ascii="宋体" w:hAnsi="宋体"/>
          <w:sz w:val="24"/>
          <w:szCs w:val="22"/>
        </w:rPr>
        <w:t>）、垃圾进行及时清理，垃圾须及时清运，针对水生植物按照有关规定处置焚烧。</w:t>
      </w:r>
    </w:p>
    <w:p>
      <w:pPr>
        <w:spacing w:line="360" w:lineRule="auto"/>
        <w:ind w:firstLine="480" w:firstLineChars="200"/>
        <w:jc w:val="left"/>
        <w:rPr>
          <w:rFonts w:ascii="宋体" w:hAnsi="宋体"/>
          <w:sz w:val="24"/>
          <w:szCs w:val="22"/>
        </w:rPr>
      </w:pPr>
      <w:r>
        <w:rPr>
          <w:rFonts w:hint="eastAsia" w:ascii="宋体" w:hAnsi="宋体"/>
          <w:sz w:val="24"/>
          <w:szCs w:val="22"/>
        </w:rPr>
        <w:t>g.冬季水面结冰，对游人及时劝阻，严禁游人在冰面戏耍，禁止游人向湖面投抛石块等垃圾。</w:t>
      </w:r>
    </w:p>
    <w:p>
      <w:pPr>
        <w:spacing w:line="360" w:lineRule="auto"/>
        <w:ind w:firstLine="480" w:firstLineChars="200"/>
        <w:jc w:val="left"/>
        <w:rPr>
          <w:rFonts w:ascii="宋体" w:hAnsi="宋体"/>
          <w:sz w:val="24"/>
          <w:szCs w:val="22"/>
        </w:rPr>
      </w:pPr>
      <w:r>
        <w:rPr>
          <w:rFonts w:hint="eastAsia" w:ascii="宋体" w:hAnsi="宋体"/>
          <w:sz w:val="24"/>
          <w:szCs w:val="22"/>
        </w:rPr>
        <w:t>14.8.4设备管理</w:t>
      </w:r>
    </w:p>
    <w:p>
      <w:pPr>
        <w:spacing w:line="360" w:lineRule="auto"/>
        <w:ind w:firstLine="480" w:firstLineChars="200"/>
        <w:jc w:val="left"/>
        <w:rPr>
          <w:rFonts w:ascii="宋体" w:hAnsi="宋体"/>
          <w:sz w:val="24"/>
          <w:szCs w:val="22"/>
        </w:rPr>
      </w:pPr>
      <w:r>
        <w:rPr>
          <w:rFonts w:hint="eastAsia" w:ascii="宋体" w:hAnsi="宋体"/>
          <w:sz w:val="24"/>
          <w:szCs w:val="22"/>
        </w:rPr>
        <w:t>a.保管好救生衣、救生圈等救生设备，做到完好无损随时可用。</w:t>
      </w:r>
    </w:p>
    <w:p>
      <w:pPr>
        <w:spacing w:line="360" w:lineRule="auto"/>
        <w:ind w:firstLine="480" w:firstLineChars="200"/>
        <w:jc w:val="left"/>
        <w:rPr>
          <w:rFonts w:ascii="宋体" w:hAnsi="宋体"/>
          <w:sz w:val="24"/>
          <w:szCs w:val="22"/>
        </w:rPr>
      </w:pPr>
      <w:r>
        <w:rPr>
          <w:rFonts w:hint="eastAsia" w:ascii="宋体" w:hAnsi="宋体"/>
          <w:sz w:val="24"/>
          <w:szCs w:val="22"/>
        </w:rPr>
        <w:t>b.保管好使用好橡皮船等水面用具，随时做好溺水救护及打捞救援等措施。</w:t>
      </w:r>
    </w:p>
    <w:p>
      <w:pPr>
        <w:spacing w:line="360" w:lineRule="auto"/>
        <w:ind w:firstLine="480" w:firstLineChars="200"/>
        <w:jc w:val="left"/>
        <w:rPr>
          <w:rFonts w:ascii="宋体" w:hAnsi="宋体"/>
          <w:sz w:val="24"/>
          <w:szCs w:val="22"/>
        </w:rPr>
      </w:pPr>
      <w:r>
        <w:rPr>
          <w:rFonts w:hint="eastAsia" w:ascii="宋体" w:hAnsi="宋体"/>
          <w:sz w:val="24"/>
          <w:szCs w:val="22"/>
        </w:rPr>
        <w:t>14.9保安</w:t>
      </w:r>
    </w:p>
    <w:p>
      <w:pPr>
        <w:numPr>
          <w:ilvl w:val="0"/>
          <w:numId w:val="5"/>
        </w:numPr>
        <w:spacing w:line="360" w:lineRule="auto"/>
        <w:ind w:firstLine="480" w:firstLineChars="200"/>
        <w:jc w:val="left"/>
        <w:rPr>
          <w:rFonts w:ascii="宋体" w:hAnsi="宋体"/>
          <w:sz w:val="24"/>
          <w:szCs w:val="22"/>
        </w:rPr>
      </w:pPr>
      <w:r>
        <w:rPr>
          <w:rFonts w:hint="eastAsia" w:ascii="宋体" w:hAnsi="宋体"/>
          <w:sz w:val="24"/>
          <w:szCs w:val="22"/>
        </w:rPr>
        <w:t>全天24小时值班。</w:t>
      </w:r>
    </w:p>
    <w:p>
      <w:pPr>
        <w:numPr>
          <w:ilvl w:val="0"/>
          <w:numId w:val="5"/>
        </w:numPr>
        <w:spacing w:line="360" w:lineRule="auto"/>
        <w:ind w:firstLine="480" w:firstLineChars="200"/>
        <w:jc w:val="left"/>
        <w:rPr>
          <w:rFonts w:ascii="宋体" w:hAnsi="宋体"/>
          <w:sz w:val="24"/>
          <w:szCs w:val="22"/>
        </w:rPr>
      </w:pPr>
      <w:r>
        <w:rPr>
          <w:rFonts w:hint="eastAsia" w:ascii="宋体" w:hAnsi="宋体"/>
          <w:sz w:val="24"/>
          <w:szCs w:val="22"/>
        </w:rPr>
        <w:t>对景区内各个进出口定人定岗，负责进出车辆的管控。对进出口周边车辆进行疏导，保证畅通。对进出景区不文明现象及时制止（如：遛狗、小商小贩、发放宣传页），对一些存在安全隐患的现象及时发现及时制止并报告监控室。</w:t>
      </w:r>
    </w:p>
    <w:p>
      <w:pPr>
        <w:numPr>
          <w:ilvl w:val="0"/>
          <w:numId w:val="5"/>
        </w:numPr>
        <w:spacing w:line="360" w:lineRule="auto"/>
        <w:ind w:firstLine="480" w:firstLineChars="200"/>
        <w:jc w:val="left"/>
        <w:rPr>
          <w:rFonts w:ascii="宋体" w:hAnsi="宋体"/>
          <w:sz w:val="24"/>
          <w:szCs w:val="22"/>
        </w:rPr>
      </w:pPr>
      <w:r>
        <w:rPr>
          <w:rFonts w:hint="eastAsia" w:ascii="宋体" w:hAnsi="宋体"/>
          <w:sz w:val="24"/>
          <w:szCs w:val="22"/>
        </w:rPr>
        <w:t>巡逻车辆不间断在景区范围内巡逻，对乱停乱放车辆及时疏导。对安全隐患及时发现及时处理。</w:t>
      </w:r>
    </w:p>
    <w:p>
      <w:pPr>
        <w:spacing w:line="360" w:lineRule="auto"/>
        <w:ind w:firstLine="562" w:firstLineChars="200"/>
        <w:jc w:val="left"/>
        <w:rPr>
          <w:rFonts w:ascii="宋体" w:hAnsi="宋体"/>
          <w:b/>
          <w:bCs/>
          <w:sz w:val="28"/>
        </w:rPr>
      </w:pPr>
      <w:r>
        <w:rPr>
          <w:rFonts w:hint="eastAsia" w:ascii="宋体" w:hAnsi="宋体"/>
          <w:b/>
          <w:bCs/>
          <w:sz w:val="28"/>
        </w:rPr>
        <w:t>1.6安全标准</w:t>
      </w:r>
    </w:p>
    <w:p>
      <w:pPr>
        <w:spacing w:line="500" w:lineRule="exact"/>
        <w:ind w:firstLine="480" w:firstLineChars="200"/>
        <w:rPr>
          <w:rFonts w:ascii="宋体" w:hAnsi="宋体" w:cs="宋体"/>
          <w:sz w:val="24"/>
        </w:rPr>
      </w:pPr>
      <w:r>
        <w:rPr>
          <w:rFonts w:hint="eastAsia" w:ascii="宋体" w:hAnsi="宋体" w:cs="宋体"/>
          <w:sz w:val="24"/>
        </w:rPr>
        <w:t>（1）在机动车道、人员流动的场地作业时，要摆放安全锥桶。</w:t>
      </w:r>
    </w:p>
    <w:p>
      <w:pPr>
        <w:spacing w:line="500" w:lineRule="exact"/>
        <w:ind w:firstLine="480" w:firstLineChars="200"/>
        <w:rPr>
          <w:rFonts w:ascii="宋体" w:hAnsi="宋体" w:cs="宋体"/>
          <w:sz w:val="24"/>
        </w:rPr>
      </w:pPr>
      <w:r>
        <w:rPr>
          <w:rFonts w:hint="eastAsia" w:ascii="宋体" w:hAnsi="宋体" w:cs="宋体"/>
          <w:sz w:val="24"/>
        </w:rPr>
        <w:t>（2）登高作业时，架梯要支架牢固。</w:t>
      </w:r>
    </w:p>
    <w:p>
      <w:pPr>
        <w:spacing w:line="500" w:lineRule="exact"/>
        <w:ind w:firstLine="480" w:firstLineChars="200"/>
        <w:rPr>
          <w:rFonts w:ascii="宋体" w:hAnsi="宋体" w:cs="宋体"/>
          <w:sz w:val="24"/>
        </w:rPr>
      </w:pPr>
      <w:r>
        <w:rPr>
          <w:rFonts w:hint="eastAsia" w:ascii="宋体" w:hAnsi="宋体" w:cs="宋体"/>
          <w:sz w:val="24"/>
        </w:rPr>
        <w:t>（3）行车时，遵守交通法规，文明行车。</w:t>
      </w:r>
    </w:p>
    <w:p>
      <w:pPr>
        <w:spacing w:line="500" w:lineRule="exact"/>
        <w:ind w:firstLine="480" w:firstLineChars="200"/>
        <w:rPr>
          <w:rFonts w:ascii="宋体" w:hAnsi="宋体" w:cs="宋体"/>
          <w:sz w:val="24"/>
        </w:rPr>
      </w:pPr>
      <w:r>
        <w:rPr>
          <w:rFonts w:hint="eastAsia" w:ascii="宋体" w:hAnsi="宋体" w:cs="宋体"/>
          <w:sz w:val="24"/>
        </w:rPr>
        <w:t>（4）人员作业时，佩戴好防护用品，穿戴安全服。</w:t>
      </w:r>
    </w:p>
    <w:p>
      <w:pPr>
        <w:pStyle w:val="2"/>
        <w:ind w:firstLine="281"/>
        <w:rPr>
          <w:rFonts w:hAnsi="宋体" w:eastAsiaTheme="minorEastAsia" w:cstheme="minorBidi"/>
          <w:b/>
          <w:bCs/>
          <w:kern w:val="2"/>
          <w:sz w:val="28"/>
          <w:szCs w:val="24"/>
        </w:rPr>
      </w:pPr>
      <w:r>
        <w:rPr>
          <w:rFonts w:hint="eastAsia" w:hAnsi="宋体" w:eastAsiaTheme="minorEastAsia" w:cstheme="minorBidi"/>
          <w:b/>
          <w:bCs/>
          <w:kern w:val="2"/>
          <w:sz w:val="28"/>
          <w:szCs w:val="24"/>
        </w:rPr>
        <w:t>1.7应急保障</w:t>
      </w:r>
    </w:p>
    <w:p>
      <w:pPr>
        <w:spacing w:line="500" w:lineRule="exact"/>
        <w:ind w:firstLine="482" w:firstLineChars="200"/>
        <w:rPr>
          <w:rFonts w:ascii="宋体" w:hAnsi="宋体" w:cs="宋体"/>
          <w:b/>
          <w:bCs/>
          <w:sz w:val="24"/>
        </w:rPr>
      </w:pPr>
      <w:r>
        <w:rPr>
          <w:rFonts w:hint="eastAsia" w:ascii="宋体" w:hAnsi="宋体" w:cs="宋体"/>
          <w:b/>
          <w:bCs/>
          <w:sz w:val="24"/>
        </w:rPr>
        <w:t>1.7.1应急工作领导组织</w:t>
      </w:r>
    </w:p>
    <w:p>
      <w:pPr>
        <w:spacing w:line="500" w:lineRule="exact"/>
        <w:ind w:firstLine="480" w:firstLineChars="200"/>
        <w:rPr>
          <w:rFonts w:ascii="宋体" w:hAnsi="宋体" w:cs="宋体"/>
          <w:sz w:val="24"/>
        </w:rPr>
      </w:pPr>
      <w:r>
        <w:rPr>
          <w:rFonts w:hint="eastAsia" w:ascii="宋体" w:hAnsi="宋体" w:cs="宋体"/>
          <w:sz w:val="24"/>
        </w:rPr>
        <w:t>成立专门的应急工作领导组,负责应急工作的整体调度、指挥,保证车辆、人员的及时供应及正常运作;成立道路保洁、机械保洁生活垃圾清运、应急保障小分队及后备队伍,按要求完成应急任务。</w:t>
      </w:r>
    </w:p>
    <w:p>
      <w:pPr>
        <w:spacing w:line="500" w:lineRule="exact"/>
        <w:ind w:firstLine="482" w:firstLineChars="200"/>
        <w:rPr>
          <w:rFonts w:ascii="宋体" w:hAnsi="宋体" w:cs="宋体"/>
          <w:b/>
          <w:bCs/>
          <w:sz w:val="24"/>
        </w:rPr>
      </w:pPr>
      <w:r>
        <w:rPr>
          <w:rFonts w:hint="eastAsia" w:ascii="宋体" w:hAnsi="宋体" w:cs="宋体"/>
          <w:b/>
          <w:bCs/>
          <w:sz w:val="24"/>
        </w:rPr>
        <w:t>1.7.2“110”应急作业</w:t>
      </w:r>
    </w:p>
    <w:p>
      <w:pPr>
        <w:spacing w:line="500" w:lineRule="exact"/>
        <w:ind w:firstLine="480" w:firstLineChars="200"/>
        <w:rPr>
          <w:rFonts w:ascii="宋体" w:hAnsi="宋体" w:cs="宋体"/>
          <w:sz w:val="24"/>
        </w:rPr>
      </w:pPr>
      <w:r>
        <w:rPr>
          <w:rFonts w:hint="eastAsia" w:ascii="宋体" w:hAnsi="宋体" w:cs="宋体"/>
          <w:sz w:val="24"/>
        </w:rPr>
        <w:t>10.2.1接到应急指令后,人员于15分钟内到达现场。</w:t>
      </w:r>
    </w:p>
    <w:p>
      <w:pPr>
        <w:spacing w:line="500" w:lineRule="exact"/>
        <w:ind w:firstLine="480" w:firstLineChars="200"/>
        <w:rPr>
          <w:rFonts w:ascii="宋体" w:hAnsi="宋体" w:cs="宋体"/>
          <w:sz w:val="24"/>
        </w:rPr>
      </w:pPr>
      <w:r>
        <w:rPr>
          <w:rFonts w:hint="eastAsia" w:ascii="宋体" w:hAnsi="宋体" w:cs="宋体"/>
          <w:sz w:val="24"/>
        </w:rPr>
        <w:t>10.2.2当场直接解决的的问题,由接件人员快速办结完毕后,30分钟内向110应急联动中心回复上报处理结果。</w:t>
      </w:r>
    </w:p>
    <w:p>
      <w:pPr>
        <w:spacing w:line="500" w:lineRule="exact"/>
        <w:ind w:firstLine="480" w:firstLineChars="200"/>
        <w:rPr>
          <w:rFonts w:ascii="宋体" w:hAnsi="宋体" w:cs="宋体"/>
          <w:sz w:val="24"/>
        </w:rPr>
      </w:pPr>
      <w:r>
        <w:rPr>
          <w:rFonts w:hint="eastAsia" w:ascii="宋体" w:hAnsi="宋体" w:cs="宋体"/>
          <w:sz w:val="24"/>
        </w:rPr>
        <w:t>10.23不能当时立即办结的问题,首先向负责领导汇报详细情况,同时向派件中心解释案件办理详细情况、大概所需时间,在处置完毕后及时向派件中心上报。</w:t>
      </w:r>
    </w:p>
    <w:p>
      <w:pPr>
        <w:spacing w:line="500" w:lineRule="exact"/>
        <w:ind w:firstLine="482" w:firstLineChars="200"/>
        <w:rPr>
          <w:rFonts w:ascii="宋体" w:hAnsi="宋体" w:cs="宋体"/>
          <w:b/>
          <w:bCs/>
          <w:sz w:val="24"/>
        </w:rPr>
      </w:pPr>
      <w:r>
        <w:rPr>
          <w:rFonts w:hint="eastAsia" w:ascii="宋体" w:hAnsi="宋体" w:cs="宋体"/>
          <w:b/>
          <w:bCs/>
          <w:sz w:val="24"/>
        </w:rPr>
        <w:t>1.7.3道路污染作业</w:t>
      </w:r>
    </w:p>
    <w:p>
      <w:pPr>
        <w:spacing w:line="500" w:lineRule="exact"/>
        <w:ind w:firstLine="480" w:firstLineChars="200"/>
        <w:rPr>
          <w:rFonts w:ascii="宋体" w:hAnsi="宋体" w:cs="宋体"/>
          <w:sz w:val="24"/>
        </w:rPr>
      </w:pPr>
      <w:r>
        <w:rPr>
          <w:rFonts w:hint="eastAsia" w:ascii="宋体" w:hAnsi="宋体" w:cs="宋体"/>
          <w:sz w:val="24"/>
        </w:rPr>
        <w:t>1.7.3.1严格执行道路机械化作业时间、频率,环卫作业车辆就近停放、随时待命(酒水车应确保箱体内水源充足),确保第一时间处理道路污染。</w:t>
      </w:r>
    </w:p>
    <w:p>
      <w:pPr>
        <w:spacing w:line="500" w:lineRule="exact"/>
        <w:ind w:firstLine="480" w:firstLineChars="200"/>
        <w:rPr>
          <w:rFonts w:ascii="宋体" w:hAnsi="宋体" w:cs="宋体"/>
          <w:sz w:val="24"/>
        </w:rPr>
      </w:pPr>
      <w:r>
        <w:rPr>
          <w:rFonts w:hint="eastAsia" w:ascii="宋体" w:hAnsi="宋体" w:cs="宋体"/>
          <w:sz w:val="24"/>
        </w:rPr>
        <w:t>1.7.3.2保洁时发现的普通渣土污染,污染面积较小时,保保洁人员快速自主处置:面面积较大的及时上报数字化城市管理中心采集下派,对责任单位清理后未达到到环卫作业要求的,由所辖清扫单位进行善后冲刷,确确保及时清理路面污染。</w:t>
      </w:r>
    </w:p>
    <w:p>
      <w:pPr>
        <w:spacing w:line="500" w:lineRule="exact"/>
        <w:ind w:firstLine="480" w:firstLineChars="200"/>
        <w:rPr>
          <w:rFonts w:ascii="宋体" w:hAnsi="宋体" w:cs="宋体"/>
          <w:sz w:val="24"/>
        </w:rPr>
      </w:pPr>
      <w:r>
        <w:rPr>
          <w:rFonts w:hint="eastAsia" w:ascii="宋体" w:hAnsi="宋体" w:cs="宋体"/>
          <w:sz w:val="24"/>
        </w:rPr>
        <w:t>1.7.3.3如遇混凝土污染时,第一时间向数字化城市管理中心反映,由中心安排人员采集、立案、下派责任单位进行整改。</w:t>
      </w:r>
    </w:p>
    <w:p>
      <w:pPr>
        <w:spacing w:line="500" w:lineRule="exact"/>
        <w:ind w:firstLine="482" w:firstLineChars="200"/>
        <w:rPr>
          <w:rFonts w:ascii="宋体" w:hAnsi="宋体" w:cs="宋体"/>
          <w:b/>
          <w:bCs/>
          <w:sz w:val="24"/>
        </w:rPr>
      </w:pPr>
      <w:r>
        <w:rPr>
          <w:rFonts w:hint="eastAsia" w:ascii="宋体" w:hAnsi="宋体" w:cs="宋体"/>
          <w:b/>
          <w:bCs/>
          <w:sz w:val="24"/>
        </w:rPr>
        <w:t>1.7.4重特大活动及节假日作业</w:t>
      </w:r>
    </w:p>
    <w:p>
      <w:pPr>
        <w:spacing w:line="500" w:lineRule="exact"/>
        <w:ind w:firstLine="480" w:firstLineChars="200"/>
        <w:rPr>
          <w:rFonts w:ascii="宋体" w:hAnsi="宋体" w:cs="宋体"/>
          <w:sz w:val="24"/>
        </w:rPr>
      </w:pPr>
      <w:r>
        <w:rPr>
          <w:rFonts w:hint="eastAsia" w:ascii="宋体" w:hAnsi="宋体" w:cs="宋体"/>
          <w:sz w:val="24"/>
        </w:rPr>
        <w:t>1.7.4.1负责道路清保潜的单位要安排保人员轮流上全或全员上岗进行清扫保洁,抽调空挡班人员或背街人员增加重要路段、重点部位(如如商场超市、广场游园周边等)的保洁力度,增加重要路段、重点部位(如商场超市、广场游园周边等)的保洁力度,增加机械作业频次,确确保路面干净整洁。</w:t>
      </w:r>
    </w:p>
    <w:p>
      <w:pPr>
        <w:spacing w:line="500" w:lineRule="exact"/>
        <w:ind w:firstLine="480" w:firstLineChars="200"/>
        <w:rPr>
          <w:rFonts w:ascii="宋体" w:hAnsi="宋体" w:cs="宋体"/>
          <w:sz w:val="24"/>
        </w:rPr>
      </w:pPr>
      <w:r>
        <w:rPr>
          <w:rFonts w:hint="eastAsia" w:ascii="宋体" w:hAnsi="宋体" w:cs="宋体"/>
          <w:sz w:val="24"/>
        </w:rPr>
        <w:t>1.7.4.2公厕及中转站管理单位适当延长站厕开放时间,增加站厕打扫频率,全面作好站厕保洁。</w:t>
      </w:r>
    </w:p>
    <w:p>
      <w:pPr>
        <w:spacing w:line="500" w:lineRule="exact"/>
        <w:ind w:firstLine="480" w:firstLineChars="200"/>
        <w:rPr>
          <w:rFonts w:ascii="宋体" w:hAnsi="宋体" w:cs="宋体"/>
          <w:sz w:val="24"/>
        </w:rPr>
      </w:pPr>
      <w:r>
        <w:rPr>
          <w:rFonts w:hint="eastAsia" w:ascii="宋体" w:hAnsi="宋体" w:cs="宋体"/>
          <w:sz w:val="24"/>
        </w:rPr>
        <w:t>1.7.5站厕故障应急作业</w:t>
      </w:r>
    </w:p>
    <w:p>
      <w:pPr>
        <w:spacing w:line="500" w:lineRule="exact"/>
        <w:ind w:firstLine="480" w:firstLineChars="200"/>
        <w:rPr>
          <w:rFonts w:ascii="宋体" w:hAnsi="宋体" w:cs="宋体"/>
          <w:sz w:val="24"/>
        </w:rPr>
      </w:pPr>
      <w:r>
        <w:rPr>
          <w:rFonts w:hint="eastAsia" w:ascii="宋体" w:hAnsi="宋体" w:cs="宋体"/>
          <w:sz w:val="24"/>
        </w:rPr>
        <w:t>1.7.5.1中转站应急:出现停水、停电或设备故障报修后,维修人员需在30分钟内迅速到达现场抢修,在抢修的同时,需悬挂中转站故障温馨提示牌,争取在最短时间内解决故障,使中转站恢复正常运转。在抢修过程中,看站人员需向垃圾倾倒户做好解释工作,并告知其垃圾分流的周边中转站位置,同时应急人员要提前与周边中转站做好沟通,确保垃圾能够顺利分流。</w:t>
      </w:r>
    </w:p>
    <w:p>
      <w:pPr>
        <w:spacing w:line="500" w:lineRule="exact"/>
        <w:ind w:firstLine="480" w:firstLineChars="200"/>
        <w:rPr>
          <w:rFonts w:ascii="宋体" w:hAnsi="宋体" w:cs="宋体"/>
          <w:sz w:val="24"/>
        </w:rPr>
      </w:pPr>
      <w:r>
        <w:rPr>
          <w:rFonts w:hint="eastAsia" w:ascii="宋体" w:hAnsi="宋体" w:cs="宋体"/>
          <w:sz w:val="24"/>
        </w:rPr>
        <w:t>1.7.5.2公厕应急:公厕出现设施损坏报修时,维修人员要在40分钟内赶到现场,并及时处理,处理后将结果反馈给负责维修的主管人员;对无法现场处理的,需将具体情况上报责任队主要领导,由队内领导安排解决。在接到群众投诉或公厕发生漫溢时,接线人员要做好耐心解释工作,清掏车队要在1个小时内安排清掏车辆进行清掏,及时消消除影响。</w:t>
      </w:r>
    </w:p>
    <w:p>
      <w:pPr>
        <w:spacing w:line="500" w:lineRule="exact"/>
        <w:ind w:firstLine="482" w:firstLineChars="200"/>
        <w:rPr>
          <w:rFonts w:ascii="宋体" w:hAnsi="宋体" w:cs="宋体"/>
          <w:b/>
          <w:bCs/>
          <w:sz w:val="24"/>
        </w:rPr>
      </w:pPr>
      <w:r>
        <w:rPr>
          <w:rFonts w:hint="eastAsia" w:ascii="宋体" w:hAnsi="宋体" w:cs="宋体"/>
          <w:b/>
          <w:bCs/>
          <w:sz w:val="24"/>
        </w:rPr>
        <w:t>1.7.6车辆故障、事故应急作业</w:t>
      </w:r>
    </w:p>
    <w:p>
      <w:pPr>
        <w:spacing w:line="500" w:lineRule="exact"/>
        <w:ind w:firstLine="480" w:firstLineChars="200"/>
        <w:rPr>
          <w:rFonts w:ascii="宋体" w:hAnsi="宋体" w:cs="宋体"/>
          <w:sz w:val="24"/>
        </w:rPr>
      </w:pPr>
      <w:r>
        <w:rPr>
          <w:rFonts w:hint="eastAsia" w:ascii="宋体" w:hAnsi="宋体" w:cs="宋体"/>
          <w:sz w:val="24"/>
        </w:rPr>
        <w:t>1.7.6.1车辆故障应急。各类作业车辆在工作过程中出现故障时,驾驶员能自行排除故障的,要快速检修并恢复作业;无法排除故障的,驾驶人员要第一时间上报队内负责人,由负责人安排其它作业车辆接替事故车辆完成工作任务;如清扫车故障需通知路长及时展开人工作业,确保路面排扫作业不受影响。</w:t>
      </w:r>
    </w:p>
    <w:p>
      <w:pPr>
        <w:spacing w:line="500" w:lineRule="exact"/>
        <w:ind w:firstLine="480" w:firstLineChars="200"/>
        <w:rPr>
          <w:rFonts w:ascii="宋体" w:hAnsi="宋体" w:cs="宋体"/>
          <w:sz w:val="24"/>
        </w:rPr>
      </w:pPr>
      <w:r>
        <w:rPr>
          <w:rFonts w:hint="eastAsia" w:ascii="宋体" w:hAnsi="宋体" w:cs="宋体"/>
          <w:sz w:val="24"/>
        </w:rPr>
        <w:t>1.7.6.2交通事故应急。如遇职工或车辆发生意外后后,责任单位负责人应在30分钟内赶到现场,积极协调解决。同时要尽快通知单位分管领导和负责安保工作的科室或人员尽快妥善解决突发事件。在接到事故通知后,负责安保工作的责任人要第一时间赶赴事故现场,了解伤亡等相关情况,积极安抚受害方情绪,与责任单位负责人及时沟通,配合警方做好事故处理善后工作,并适时向上级领导汇报工作进展</w:t>
      </w:r>
    </w:p>
    <w:p>
      <w:pPr>
        <w:spacing w:line="500" w:lineRule="exact"/>
        <w:ind w:firstLine="482" w:firstLineChars="200"/>
        <w:rPr>
          <w:rFonts w:ascii="宋体" w:hAnsi="宋体" w:cs="宋体"/>
          <w:b/>
          <w:bCs/>
          <w:sz w:val="24"/>
        </w:rPr>
      </w:pPr>
      <w:r>
        <w:rPr>
          <w:rFonts w:hint="eastAsia" w:ascii="宋体" w:hAnsi="宋体" w:cs="宋体"/>
          <w:b/>
          <w:bCs/>
          <w:sz w:val="24"/>
        </w:rPr>
        <w:t>1.7.7来电、来件、来访应急作业</w:t>
      </w:r>
    </w:p>
    <w:p>
      <w:pPr>
        <w:spacing w:line="500" w:lineRule="exact"/>
        <w:ind w:firstLine="480" w:firstLineChars="200"/>
        <w:rPr>
          <w:rFonts w:ascii="宋体" w:hAnsi="宋体" w:cs="宋体"/>
          <w:sz w:val="24"/>
        </w:rPr>
      </w:pPr>
      <w:r>
        <w:rPr>
          <w:rFonts w:hint="eastAsia" w:ascii="宋体" w:hAnsi="宋体" w:cs="宋体"/>
          <w:sz w:val="24"/>
        </w:rPr>
        <w:t>1.7..71责任单位办公人员需做好各类来电的接听及记录工作。</w:t>
      </w:r>
    </w:p>
    <w:p>
      <w:pPr>
        <w:spacing w:line="500" w:lineRule="exact"/>
        <w:ind w:firstLine="480" w:firstLineChars="200"/>
        <w:rPr>
          <w:rFonts w:ascii="宋体" w:hAnsi="宋体" w:cs="宋体"/>
          <w:sz w:val="24"/>
        </w:rPr>
      </w:pPr>
      <w:r>
        <w:rPr>
          <w:rFonts w:hint="eastAsia" w:ascii="宋体" w:hAnsi="宋体" w:cs="宋体"/>
          <w:sz w:val="24"/>
        </w:rPr>
        <w:t>1.7.7.2接到来信来函及批示件时,接件人员要及时上报单位领导,具体工作由单位领导安排解决,办公室人员做好反映问题处理结果的文字上报工作。</w:t>
      </w:r>
    </w:p>
    <w:p>
      <w:pPr>
        <w:spacing w:line="500" w:lineRule="exact"/>
        <w:ind w:firstLine="480" w:firstLineChars="200"/>
        <w:rPr>
          <w:rFonts w:ascii="宋体" w:hAnsi="宋体" w:cs="宋体"/>
          <w:sz w:val="24"/>
        </w:rPr>
      </w:pPr>
      <w:r>
        <w:rPr>
          <w:rFonts w:hint="eastAsia" w:ascii="宋体" w:hAnsi="宋体" w:cs="宋体"/>
          <w:sz w:val="24"/>
        </w:rPr>
        <w:t>1.7.7.3有职工上访或越级上访的,接待人员要认真、热情对待来访人员,针对来访人员提出的问题,做到合理、合情解释,争取缓解来访人员不良情绪,并第一时间向单位领导报告。单位领导在接到电话30分钟内赶到现场协调解决,同时将来访情况及处理结果上报环卫部门主要领导。</w:t>
      </w:r>
    </w:p>
    <w:p>
      <w:pPr>
        <w:spacing w:line="500" w:lineRule="exact"/>
        <w:ind w:firstLine="480" w:firstLineChars="200"/>
        <w:rPr>
          <w:rFonts w:ascii="宋体" w:hAnsi="宋体" w:cs="宋体"/>
          <w:sz w:val="24"/>
        </w:rPr>
      </w:pPr>
      <w:r>
        <w:rPr>
          <w:rFonts w:hint="eastAsia" w:ascii="宋体" w:hAnsi="宋体" w:cs="宋体"/>
          <w:sz w:val="24"/>
        </w:rPr>
        <w:t>1.7.7.4、各单位抽调相应数量有能力、有见识的人员,形成内部信访稳定和安全生产互助小组,认真学习信访稳定和安全生产的相关知识,在日常生产中协助单位做好安全教育工作,积极收集日常工作中存在的各类异常因素,迅速向单位领导反映,确保各单位能提前做好有此项苗头人群的思想政治工作,及时化解信访维稳突出问题。</w:t>
      </w:r>
    </w:p>
    <w:p>
      <w:pPr>
        <w:spacing w:line="500" w:lineRule="exact"/>
        <w:ind w:firstLine="480" w:firstLineChars="200"/>
        <w:rPr>
          <w:rFonts w:ascii="宋体" w:hAnsi="宋体" w:cs="宋体"/>
          <w:sz w:val="24"/>
        </w:rPr>
      </w:pPr>
      <w:r>
        <w:rPr>
          <w:rFonts w:hint="eastAsia" w:ascii="宋体" w:hAnsi="宋体" w:cs="宋体"/>
          <w:sz w:val="24"/>
        </w:rPr>
        <w:t>1.7.7.5在发现有不稳定因素时,各互助小组要积极进行劝解说服教育,维护护单位的信访稳定,尤其在有人员到上级主管部门进行上访时,及时前往进行适当处理,将不稳定因素降至最低甚至消失,为安全生产奠定基础。</w:t>
      </w:r>
    </w:p>
    <w:p>
      <w:pPr>
        <w:spacing w:line="500" w:lineRule="exact"/>
        <w:ind w:firstLine="482" w:firstLineChars="200"/>
        <w:rPr>
          <w:rFonts w:ascii="宋体" w:hAnsi="宋体" w:cs="宋体"/>
          <w:b/>
          <w:bCs/>
          <w:sz w:val="24"/>
        </w:rPr>
      </w:pPr>
      <w:r>
        <w:rPr>
          <w:rFonts w:hint="eastAsia" w:ascii="宋体" w:hAnsi="宋体" w:cs="宋体"/>
          <w:b/>
          <w:bCs/>
          <w:sz w:val="24"/>
        </w:rPr>
        <w:t>1.7.8突发事件应急作业</w:t>
      </w:r>
    </w:p>
    <w:p>
      <w:pPr>
        <w:spacing w:line="500" w:lineRule="exact"/>
        <w:ind w:firstLine="480" w:firstLineChars="200"/>
        <w:rPr>
          <w:rFonts w:ascii="宋体" w:hAnsi="宋体" w:cs="宋体"/>
          <w:sz w:val="24"/>
        </w:rPr>
      </w:pPr>
      <w:r>
        <w:rPr>
          <w:rFonts w:hint="eastAsia" w:ascii="宋体" w:hAnsi="宋体" w:cs="宋体"/>
          <w:sz w:val="24"/>
        </w:rPr>
        <w:t>1.7.8.1在处置各类突发问题时,发生突发问题的单位应急组如遇需要其它单位应急组帮助的情况,应急组长之间要及时电话沟通,快速出动人员、车辆,认真听从上级领导安排,积极配合其它应急组开展协作,圆满完成各项工作任务。</w:t>
      </w:r>
    </w:p>
    <w:p>
      <w:pPr>
        <w:spacing w:line="500" w:lineRule="exact"/>
        <w:ind w:firstLine="480" w:firstLineChars="200"/>
      </w:pPr>
      <w:r>
        <w:rPr>
          <w:rFonts w:hint="eastAsia" w:ascii="宋体" w:hAnsi="宋体" w:cs="宋体"/>
          <w:sz w:val="24"/>
        </w:rPr>
        <w:t>1.7.8.2如遇突发事件,各应急组在接到上级下达的临时任务后,要在最短时间内调集人员、车辆到达现场,并听从现场领导指挥,快速开展工作,及时完成领导交办的临时任务。</w:t>
      </w:r>
    </w:p>
    <w:p>
      <w:pPr>
        <w:spacing w:line="360" w:lineRule="auto"/>
        <w:ind w:firstLine="482" w:firstLineChars="200"/>
        <w:contextualSpacing/>
        <w:rPr>
          <w:rFonts w:cs="宋体" w:asciiTheme="minorEastAsia" w:hAnsiTheme="minorEastAsia"/>
          <w:b/>
          <w:color w:val="000000"/>
          <w:kern w:val="0"/>
          <w:sz w:val="24"/>
          <w:lang w:val="zh-CN"/>
        </w:rPr>
      </w:pPr>
      <w:r>
        <w:rPr>
          <w:rFonts w:hint="eastAsia" w:cs="微软雅黑" w:asciiTheme="minorEastAsia" w:hAnsiTheme="minorEastAsia"/>
          <w:b/>
          <w:color w:val="FF0000"/>
          <w:sz w:val="24"/>
        </w:rPr>
        <w:t>★</w:t>
      </w:r>
      <w:r>
        <w:rPr>
          <w:rFonts w:hint="eastAsia" w:cs="宋体" w:asciiTheme="minorEastAsia" w:hAnsiTheme="minorEastAsia"/>
          <w:b/>
          <w:color w:val="000000"/>
          <w:kern w:val="0"/>
          <w:sz w:val="24"/>
          <w:lang w:val="zh-CN"/>
        </w:rPr>
        <w:t>五、采购标的执行标准</w:t>
      </w:r>
    </w:p>
    <w:p>
      <w:pPr>
        <w:spacing w:line="360" w:lineRule="auto"/>
        <w:ind w:firstLine="480" w:firstLineChars="200"/>
        <w:contextualSpacing/>
        <w:rPr>
          <w:rFonts w:cs="宋体" w:asciiTheme="minorEastAsia" w:hAnsiTheme="minorEastAsia"/>
          <w:kern w:val="0"/>
          <w:sz w:val="24"/>
        </w:rPr>
      </w:pPr>
      <w:r>
        <w:rPr>
          <w:rFonts w:hint="eastAsia" w:cs="宋体" w:asciiTheme="minorEastAsia" w:hAnsiTheme="minorEastAsia"/>
          <w:kern w:val="0"/>
          <w:sz w:val="24"/>
        </w:rPr>
        <w:t>本项目需按照《城市环境卫生质量标准》《许昌市农村生活垃圾收集处理市场化工作考核标准》、《许昌市环卫精细化作业标准》、《河南省城市园林养护标准》、《许昌市园林绿化精细化作业规范》等相关的要求。</w:t>
      </w:r>
    </w:p>
    <w:p>
      <w:pPr>
        <w:spacing w:line="360" w:lineRule="auto"/>
        <w:ind w:firstLine="482" w:firstLineChars="200"/>
        <w:contextualSpacing/>
        <w:rPr>
          <w:rFonts w:cs="微软雅黑" w:asciiTheme="minorEastAsia" w:hAnsiTheme="minorEastAsia"/>
          <w:b/>
          <w:color w:val="FF0000"/>
          <w:sz w:val="24"/>
          <w:lang w:val="zh-CN"/>
        </w:rPr>
      </w:pPr>
      <w:r>
        <w:rPr>
          <w:rFonts w:hint="eastAsia" w:cs="微软雅黑" w:asciiTheme="minorEastAsia" w:hAnsiTheme="minorEastAsia"/>
          <w:b/>
          <w:color w:val="FF0000"/>
          <w:sz w:val="24"/>
        </w:rPr>
        <w:t>★</w:t>
      </w:r>
      <w:r>
        <w:rPr>
          <w:rFonts w:hint="eastAsia" w:cs="宋体" w:asciiTheme="minorEastAsia" w:hAnsiTheme="minorEastAsia"/>
          <w:b/>
          <w:color w:val="000000"/>
          <w:kern w:val="0"/>
          <w:sz w:val="24"/>
          <w:lang w:val="zh-CN"/>
        </w:rPr>
        <w:t>六、采购标的的服务标准、期限、效率等要求</w:t>
      </w:r>
    </w:p>
    <w:p>
      <w:pPr>
        <w:autoSpaceDE w:val="0"/>
        <w:autoSpaceDN w:val="0"/>
        <w:adjustRightInd w:val="0"/>
        <w:snapToGrid w:val="0"/>
        <w:spacing w:line="360" w:lineRule="auto"/>
        <w:ind w:firstLine="480" w:firstLineChars="200"/>
        <w:rPr>
          <w:rFonts w:cs="宋体" w:asciiTheme="minorEastAsia" w:hAnsiTheme="minorEastAsia"/>
          <w:kern w:val="0"/>
          <w:sz w:val="24"/>
        </w:rPr>
      </w:pPr>
      <w:r>
        <w:rPr>
          <w:rFonts w:hint="eastAsia" w:ascii="宋体" w:hAnsi="宋体"/>
          <w:sz w:val="24"/>
        </w:rPr>
        <w:t>1、服</w:t>
      </w:r>
      <w:r>
        <w:rPr>
          <w:rFonts w:hint="eastAsia" w:cs="宋体" w:asciiTheme="minorEastAsia" w:hAnsiTheme="minorEastAsia"/>
          <w:kern w:val="0"/>
          <w:sz w:val="24"/>
        </w:rPr>
        <w:t>务期限：3年（其中试用期1年）。</w:t>
      </w:r>
    </w:p>
    <w:p>
      <w:pPr>
        <w:autoSpaceDE w:val="0"/>
        <w:autoSpaceDN w:val="0"/>
        <w:adjustRightInd w:val="0"/>
        <w:snapToGrid w:val="0"/>
        <w:spacing w:line="360" w:lineRule="auto"/>
        <w:ind w:firstLine="480" w:firstLineChars="200"/>
        <w:rPr>
          <w:rFonts w:ascii="宋体" w:hAnsi="宋体"/>
          <w:b/>
          <w:sz w:val="24"/>
        </w:rPr>
      </w:pPr>
      <w:r>
        <w:rPr>
          <w:rFonts w:hint="eastAsia" w:ascii="宋体" w:hAnsi="宋体" w:cs="宋体"/>
          <w:sz w:val="24"/>
        </w:rPr>
        <w:t>2、</w:t>
      </w:r>
      <w:r>
        <w:rPr>
          <w:rFonts w:hint="eastAsia" w:ascii="宋体" w:hAnsi="宋体"/>
          <w:sz w:val="24"/>
        </w:rPr>
        <w:t>招标文件中所列要求为最低要求，对招标文件中没有列出而对本项目必不可少的其它要求，供应商必须给予实现，</w:t>
      </w:r>
      <w:r>
        <w:rPr>
          <w:rFonts w:hint="eastAsia" w:ascii="宋体" w:hAnsi="宋体"/>
          <w:b/>
          <w:sz w:val="24"/>
        </w:rPr>
        <w:t>否则为无效投标。</w:t>
      </w:r>
    </w:p>
    <w:p>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3</w:t>
      </w:r>
      <w:r>
        <w:rPr>
          <w:rFonts w:hint="eastAsia" w:ascii="宋体" w:hAnsi="宋体" w:cs="宋体"/>
          <w:sz w:val="24"/>
        </w:rPr>
        <w:t>、投标人须提供完整可行的保洁及绿化养护、安保、设施维护服务管理方案</w:t>
      </w:r>
      <w:r>
        <w:rPr>
          <w:rFonts w:hint="eastAsia" w:ascii="宋体" w:hAnsi="宋体" w:cs="宋体"/>
          <w:sz w:val="24"/>
          <w:lang w:val="zh-CN"/>
        </w:rPr>
        <w:t>，</w:t>
      </w:r>
      <w:r>
        <w:rPr>
          <w:rFonts w:hint="eastAsia" w:ascii="宋体" w:hAnsi="宋体"/>
          <w:b/>
          <w:sz w:val="24"/>
        </w:rPr>
        <w:t>否则为无效投标。</w:t>
      </w:r>
    </w:p>
    <w:p>
      <w:pPr>
        <w:autoSpaceDE w:val="0"/>
        <w:autoSpaceDN w:val="0"/>
        <w:adjustRightInd w:val="0"/>
        <w:snapToGrid w:val="0"/>
        <w:spacing w:line="360" w:lineRule="auto"/>
        <w:ind w:firstLine="470" w:firstLineChars="196"/>
        <w:rPr>
          <w:rFonts w:ascii="宋体" w:hAnsi="宋体" w:cs="宋体"/>
          <w:sz w:val="24"/>
          <w:lang w:val="zh-CN"/>
        </w:rPr>
      </w:pPr>
      <w:r>
        <w:rPr>
          <w:rFonts w:hint="eastAsia" w:ascii="宋体" w:hAnsi="宋体" w:cs="宋体"/>
          <w:sz w:val="24"/>
          <w:lang w:val="zh-CN"/>
        </w:rPr>
        <w:t>4</w:t>
      </w:r>
      <w:r>
        <w:rPr>
          <w:rFonts w:hint="eastAsia" w:ascii="宋体" w:hAnsi="宋体" w:cs="宋体"/>
          <w:sz w:val="24"/>
        </w:rPr>
        <w:t>、</w:t>
      </w:r>
      <w:r>
        <w:rPr>
          <w:rFonts w:hint="eastAsia" w:ascii="宋体" w:hAnsi="宋体" w:cs="宋体"/>
          <w:sz w:val="24"/>
          <w:lang w:val="zh-CN"/>
        </w:rPr>
        <w:t>投标人有提供虚假材料的，</w:t>
      </w:r>
      <w:r>
        <w:rPr>
          <w:rFonts w:hint="eastAsia" w:ascii="宋体" w:hAnsi="宋体" w:cs="宋体"/>
          <w:b/>
          <w:bCs/>
          <w:sz w:val="24"/>
          <w:lang w:val="zh-CN"/>
        </w:rPr>
        <w:t>取消其中标资格。</w:t>
      </w:r>
    </w:p>
    <w:p>
      <w:pPr>
        <w:autoSpaceDE w:val="0"/>
        <w:autoSpaceDN w:val="0"/>
        <w:adjustRightInd w:val="0"/>
        <w:snapToGrid w:val="0"/>
        <w:spacing w:line="360" w:lineRule="auto"/>
        <w:ind w:firstLine="470" w:firstLineChars="196"/>
        <w:rPr>
          <w:rFonts w:ascii="宋体" w:hAnsi="宋体" w:cs="宋体"/>
          <w:sz w:val="24"/>
          <w:lang w:val="zh-CN"/>
        </w:rPr>
      </w:pPr>
      <w:r>
        <w:rPr>
          <w:rFonts w:hint="eastAsia" w:ascii="宋体" w:hAnsi="宋体" w:cs="宋体"/>
          <w:sz w:val="24"/>
        </w:rPr>
        <w:t>5、</w:t>
      </w:r>
      <w:r>
        <w:rPr>
          <w:rFonts w:hint="eastAsia" w:ascii="宋体" w:hAnsi="宋体" w:cs="宋体"/>
          <w:sz w:val="24"/>
          <w:lang w:val="zh-CN"/>
        </w:rPr>
        <w:t>投标人应就该项目完整投标，</w:t>
      </w:r>
      <w:r>
        <w:rPr>
          <w:rFonts w:hint="eastAsia" w:ascii="宋体" w:hAnsi="宋体" w:cs="宋体"/>
          <w:b/>
          <w:sz w:val="24"/>
          <w:lang w:val="zh-CN"/>
        </w:rPr>
        <w:t>否则为无效投标。</w:t>
      </w:r>
    </w:p>
    <w:p>
      <w:pPr>
        <w:snapToGrid w:val="0"/>
        <w:spacing w:line="360" w:lineRule="auto"/>
        <w:ind w:firstLine="480" w:firstLineChars="200"/>
        <w:rPr>
          <w:rFonts w:ascii="宋体" w:hAnsi="宋体"/>
          <w:sz w:val="24"/>
          <w:lang w:val="zh-CN"/>
        </w:rPr>
      </w:pPr>
      <w:r>
        <w:rPr>
          <w:rFonts w:hint="eastAsia" w:ascii="宋体" w:hAnsi="宋体" w:cs="宋体"/>
          <w:sz w:val="24"/>
        </w:rPr>
        <w:t>6、中标</w:t>
      </w:r>
      <w:r>
        <w:rPr>
          <w:rFonts w:hint="eastAsia" w:ascii="宋体" w:hAnsi="宋体" w:cs="宋体"/>
          <w:sz w:val="24"/>
          <w:lang w:val="zh-CN"/>
        </w:rPr>
        <w:t>人</w:t>
      </w:r>
      <w:r>
        <w:rPr>
          <w:rFonts w:hint="eastAsia" w:ascii="宋体" w:hAnsi="宋体"/>
          <w:sz w:val="24"/>
        </w:rPr>
        <w:t>自备管理服务等项目所需的物资装备。如：公共卫生及绿化养护、公共秩序、公共维修所需设施设备及日常办公用品、作业车辆及其它基础设备。</w:t>
      </w:r>
    </w:p>
    <w:p>
      <w:pPr>
        <w:snapToGrid w:val="0"/>
        <w:spacing w:line="360" w:lineRule="auto"/>
        <w:rPr>
          <w:rFonts w:ascii="宋体" w:hAnsi="宋体" w:cs="宋体"/>
          <w:sz w:val="24"/>
          <w:lang w:val="zh-CN"/>
        </w:rPr>
      </w:pPr>
      <w:r>
        <w:rPr>
          <w:rFonts w:hint="eastAsia" w:ascii="宋体" w:hAnsi="宋体" w:cs="宋体"/>
          <w:sz w:val="24"/>
        </w:rPr>
        <w:t xml:space="preserve">    7、</w:t>
      </w:r>
      <w:r>
        <w:rPr>
          <w:rFonts w:hint="eastAsia" w:ascii="宋体" w:hAnsi="宋体" w:cs="宋体"/>
          <w:sz w:val="24"/>
          <w:lang w:val="zh-CN"/>
        </w:rPr>
        <w:t>管理人员有较高的政治思想素养和业务水平，受过专门的物业管理培训。</w:t>
      </w:r>
    </w:p>
    <w:p>
      <w:pPr>
        <w:snapToGrid w:val="0"/>
        <w:spacing w:line="360" w:lineRule="auto"/>
        <w:ind w:firstLine="480"/>
        <w:rPr>
          <w:rFonts w:ascii="宋体" w:hAnsi="宋体" w:cs="宋体"/>
          <w:sz w:val="24"/>
          <w:lang w:val="zh-CN"/>
        </w:rPr>
      </w:pPr>
      <w:r>
        <w:rPr>
          <w:rFonts w:hint="eastAsia" w:ascii="宋体" w:hAnsi="宋体" w:cs="宋体"/>
          <w:sz w:val="24"/>
        </w:rPr>
        <w:t>8、中标</w:t>
      </w:r>
      <w:r>
        <w:rPr>
          <w:rFonts w:hint="eastAsia" w:ascii="宋体" w:hAnsi="宋体" w:cs="宋体"/>
          <w:sz w:val="24"/>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napToGrid w:val="0"/>
        <w:spacing w:line="360" w:lineRule="auto"/>
        <w:ind w:firstLine="480" w:firstLineChars="200"/>
        <w:rPr>
          <w:rFonts w:ascii="宋体" w:hAnsi="宋体" w:cs="宋体"/>
          <w:sz w:val="24"/>
          <w:lang w:val="zh-CN"/>
        </w:rPr>
      </w:pPr>
      <w:r>
        <w:rPr>
          <w:rFonts w:hint="eastAsia" w:ascii="宋体" w:hAnsi="宋体" w:cs="宋体"/>
          <w:sz w:val="24"/>
        </w:rPr>
        <w:t>9、中标</w:t>
      </w:r>
      <w:r>
        <w:rPr>
          <w:rFonts w:hint="eastAsia" w:ascii="宋体" w:hAnsi="宋体" w:cs="宋体"/>
          <w:sz w:val="24"/>
          <w:lang w:val="zh-CN"/>
        </w:rPr>
        <w:t>人须定期对管理服务人员进行岗位再培训。经营服务所需用工必须符合《劳动合同法》要求，依法用工。如发生用工纠纷，由经营方自行承担责任。</w:t>
      </w:r>
    </w:p>
    <w:p>
      <w:pPr>
        <w:snapToGrid w:val="0"/>
        <w:spacing w:line="360" w:lineRule="auto"/>
        <w:ind w:firstLine="480" w:firstLineChars="200"/>
        <w:rPr>
          <w:rFonts w:ascii="宋体" w:hAnsi="宋体" w:cs="宋体"/>
          <w:sz w:val="24"/>
        </w:rPr>
      </w:pPr>
      <w:r>
        <w:rPr>
          <w:rFonts w:hint="eastAsia" w:ascii="宋体" w:hAnsi="宋体" w:cs="宋体"/>
          <w:sz w:val="24"/>
          <w:lang w:val="zh-CN"/>
        </w:rPr>
        <w:t>10、服务期间管理服务人员对于突发事件必须能够在第一时间进行现场处置。</w:t>
      </w:r>
    </w:p>
    <w:p>
      <w:pPr>
        <w:snapToGrid w:val="0"/>
        <w:spacing w:line="360" w:lineRule="auto"/>
        <w:ind w:firstLine="480" w:firstLineChars="200"/>
        <w:rPr>
          <w:rFonts w:ascii="宋体" w:hAnsi="宋体" w:cs="宋体"/>
          <w:sz w:val="24"/>
        </w:rPr>
      </w:pPr>
      <w:r>
        <w:rPr>
          <w:rFonts w:hint="eastAsia" w:ascii="宋体" w:hAnsi="宋体" w:cs="宋体"/>
          <w:sz w:val="24"/>
        </w:rPr>
        <w:t>11、中标人应充分考虑到天气、季节等自然因素导致的突发性服务量增加等情况，服务期内各时间段各种天气环境下的服务均须达到相应标准，</w:t>
      </w:r>
      <w:r>
        <w:rPr>
          <w:rFonts w:hint="eastAsia" w:ascii="宋体" w:hAnsi="宋体" w:cs="宋体"/>
          <w:b/>
          <w:bCs/>
          <w:sz w:val="24"/>
        </w:rPr>
        <w:t>且不再增加服务费用</w:t>
      </w:r>
      <w:r>
        <w:rPr>
          <w:rFonts w:hint="eastAsia" w:ascii="宋体" w:hAnsi="宋体" w:cs="宋体"/>
          <w:sz w:val="24"/>
        </w:rPr>
        <w:t>。中标人应按照许昌市数字城市管理案件处理的质量、时间等标准对采购人交代的案件问题保质保量的及时解决。</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2</w:t>
      </w:r>
      <w:r>
        <w:rPr>
          <w:rFonts w:hint="eastAsia" w:ascii="宋体" w:hAnsi="宋体" w:cs="宋体"/>
          <w:sz w:val="24"/>
          <w:lang w:val="zh-CN"/>
        </w:rPr>
        <w:t>、本项目为交钥匙工程。（包括</w:t>
      </w:r>
      <w:r>
        <w:rPr>
          <w:rFonts w:hint="eastAsia" w:ascii="宋体" w:hAnsi="宋体" w:cs="宋体"/>
          <w:sz w:val="24"/>
        </w:rPr>
        <w:t>保洁人员工资福利、购买机械设备、作业车辆</w:t>
      </w:r>
      <w:r>
        <w:rPr>
          <w:rFonts w:hint="eastAsia" w:ascii="宋体" w:hAnsi="宋体"/>
          <w:sz w:val="24"/>
        </w:rPr>
        <w:t>保养及维修费、油费</w:t>
      </w:r>
      <w:r>
        <w:rPr>
          <w:rFonts w:hint="eastAsia" w:ascii="宋体" w:hAnsi="宋体" w:cs="宋体"/>
          <w:sz w:val="24"/>
        </w:rPr>
        <w:t>及其它基础设备</w:t>
      </w:r>
      <w:r>
        <w:rPr>
          <w:rFonts w:hint="eastAsia" w:ascii="宋体" w:hAnsi="宋体" w:cs="宋体"/>
          <w:sz w:val="24"/>
          <w:lang w:val="zh-CN"/>
        </w:rPr>
        <w:t>低值易耗品购置、税金等）</w:t>
      </w:r>
    </w:p>
    <w:p>
      <w:pPr>
        <w:pStyle w:val="2"/>
        <w:spacing w:line="360" w:lineRule="auto"/>
        <w:ind w:firstLine="480" w:firstLineChars="200"/>
        <w:rPr>
          <w:rFonts w:hAnsi="宋体" w:cs="宋体" w:eastAsiaTheme="minorEastAsia"/>
          <w:kern w:val="2"/>
          <w:sz w:val="24"/>
          <w:szCs w:val="22"/>
        </w:rPr>
      </w:pPr>
      <w:r>
        <w:rPr>
          <w:rFonts w:hint="eastAsia" w:hAnsi="宋体" w:cs="宋体"/>
          <w:sz w:val="24"/>
        </w:rPr>
        <w:t>13、</w:t>
      </w:r>
      <w:r>
        <w:rPr>
          <w:rFonts w:hint="eastAsia" w:hAnsi="宋体" w:cs="宋体" w:eastAsiaTheme="minorEastAsia"/>
          <w:kern w:val="2"/>
          <w:sz w:val="24"/>
          <w:szCs w:val="22"/>
        </w:rPr>
        <w:t>在服务合同签订前，供应商须与采购人签订“安全责任协议”，协议内容须明确管养范围时间段内所有安全事故责任由供应商承担。</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rPr>
        <w:t>★</w:t>
      </w:r>
      <w:r>
        <w:rPr>
          <w:rFonts w:hint="eastAsia" w:cs="宋体" w:asciiTheme="minorEastAsia" w:hAnsiTheme="minorEastAsia"/>
          <w:b/>
          <w:color w:val="000000"/>
          <w:kern w:val="0"/>
          <w:sz w:val="24"/>
          <w:lang w:val="zh-CN"/>
        </w:rPr>
        <w:t>七、验收标准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lang w:val="zh-CN"/>
        </w:rPr>
      </w:pPr>
      <w:r>
        <w:rPr>
          <w:rFonts w:hint="eastAsia" w:cs="宋体" w:asciiTheme="minorEastAsia" w:hAnsiTheme="minorEastAsia"/>
          <w:kern w:val="0"/>
          <w:sz w:val="24"/>
        </w:rPr>
        <w:t>1、</w:t>
      </w:r>
      <w:r>
        <w:rPr>
          <w:rFonts w:hint="eastAsia" w:cs="宋体" w:asciiTheme="minorEastAsia" w:hAnsiTheme="minorEastAsia"/>
          <w:kern w:val="0"/>
          <w:sz w:val="24"/>
          <w:lang w:val="zh-CN"/>
        </w:rPr>
        <w:t>由</w:t>
      </w:r>
      <w:r>
        <w:rPr>
          <w:rFonts w:cs="宋体" w:asciiTheme="minorEastAsia" w:hAnsiTheme="minorEastAsia"/>
          <w:kern w:val="0"/>
          <w:sz w:val="24"/>
          <w:lang w:val="zh-CN"/>
        </w:rPr>
        <w:t>采购人成立验收小组,按照采购合同的约定对</w:t>
      </w:r>
      <w:r>
        <w:rPr>
          <w:rFonts w:hint="eastAsia" w:cs="宋体" w:asciiTheme="minorEastAsia" w:hAnsiTheme="minorEastAsia"/>
          <w:kern w:val="0"/>
          <w:sz w:val="24"/>
          <w:lang w:val="zh-CN"/>
        </w:rPr>
        <w:t>中标人</w:t>
      </w:r>
      <w:r>
        <w:rPr>
          <w:rFonts w:cs="宋体" w:asciiTheme="minorEastAsia" w:hAnsiTheme="minorEastAsia"/>
          <w:kern w:val="0"/>
          <w:sz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kern w:val="0"/>
          <w:sz w:val="24"/>
          <w:lang w:val="zh-CN"/>
        </w:rPr>
        <w:t>，</w:t>
      </w:r>
      <w:r>
        <w:rPr>
          <w:rFonts w:cs="宋体" w:asciiTheme="minorEastAsia" w:hAnsiTheme="minorEastAsia"/>
          <w:kern w:val="0"/>
          <w:sz w:val="24"/>
          <w:lang w:val="zh-CN"/>
        </w:rPr>
        <w:t>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rPr>
      </w:pPr>
      <w:r>
        <w:rPr>
          <w:rFonts w:hint="eastAsia" w:cs="宋体" w:asciiTheme="minorEastAsia" w:hAnsiTheme="minorEastAsia"/>
          <w:kern w:val="0"/>
          <w:sz w:val="24"/>
        </w:rPr>
        <w:t>2、</w:t>
      </w:r>
      <w:r>
        <w:rPr>
          <w:rFonts w:hint="eastAsia" w:cs="宋体" w:asciiTheme="minorEastAsia" w:hAnsiTheme="minorEastAsia"/>
          <w:kern w:val="0"/>
          <w:sz w:val="24"/>
          <w:lang w:val="zh-CN"/>
        </w:rPr>
        <w:t>按照招标文件要求、投标文件响应和承诺验收</w:t>
      </w:r>
      <w:r>
        <w:rPr>
          <w:rFonts w:hint="eastAsia" w:ascii="仿宋" w:hAnsi="仿宋" w:eastAsia="仿宋" w:cs="宋体"/>
          <w:kern w:val="0"/>
          <w:sz w:val="28"/>
          <w:szCs w:val="28"/>
          <w:lang w:val="zh-CN"/>
        </w:rPr>
        <w:t>。</w:t>
      </w:r>
    </w:p>
    <w:p>
      <w:pPr>
        <w:autoSpaceDE w:val="0"/>
        <w:autoSpaceDN w:val="0"/>
        <w:adjustRightInd w:val="0"/>
        <w:spacing w:line="360" w:lineRule="auto"/>
        <w:ind w:firstLine="422" w:firstLineChars="200"/>
        <w:rPr>
          <w:rFonts w:cs="黑体" w:asciiTheme="minorEastAsia" w:hAnsiTheme="minorEastAsia"/>
          <w:b/>
          <w:bCs/>
          <w:color w:val="000000"/>
          <w:shd w:val="clear" w:color="auto" w:fill="FFFFFF"/>
        </w:rPr>
      </w:pPr>
      <w:r>
        <w:rPr>
          <w:rFonts w:hint="eastAsia" w:cs="微软雅黑" w:asciiTheme="minorEastAsia" w:hAnsiTheme="minorEastAsia"/>
          <w:b/>
          <w:color w:val="FF0000"/>
        </w:rPr>
        <w:t>★</w:t>
      </w:r>
      <w:r>
        <w:rPr>
          <w:rFonts w:hint="eastAsia" w:cs="黑体" w:asciiTheme="minorEastAsia" w:hAnsiTheme="minorEastAsia"/>
          <w:b/>
          <w:bCs/>
          <w:color w:val="000000"/>
          <w:shd w:val="clear" w:color="auto" w:fill="FFFFFF"/>
        </w:rPr>
        <w:t>八、</w:t>
      </w:r>
      <w:r>
        <w:rPr>
          <w:rFonts w:hint="eastAsia" w:cs="宋体" w:asciiTheme="minorEastAsia" w:hAnsiTheme="minorEastAsia"/>
          <w:b/>
          <w:kern w:val="0"/>
          <w:sz w:val="24"/>
        </w:rPr>
        <w:t>预算金额（年度费用 /年）：</w:t>
      </w:r>
      <w:r>
        <w:rPr>
          <w:rFonts w:hint="eastAsia" w:cs="仿宋_GB2312" w:asciiTheme="minorEastAsia" w:hAnsiTheme="minorEastAsia"/>
          <w:sz w:val="24"/>
          <w:shd w:val="clear" w:color="auto" w:fill="FFFFFF"/>
        </w:rPr>
        <w:t>5659700元，最高限价：5659700元；</w:t>
      </w:r>
      <w:r>
        <w:rPr>
          <w:rFonts w:hint="eastAsia" w:cs="宋体" w:asciiTheme="minorEastAsia" w:hAnsiTheme="minorEastAsia"/>
          <w:b/>
          <w:bCs/>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lang w:val="zh-CN"/>
        </w:rPr>
      </w:pPr>
      <w:r>
        <w:rPr>
          <w:rFonts w:hint="eastAsia" w:cs="微软雅黑" w:asciiTheme="minorEastAsia" w:hAnsiTheme="minorEastAsia"/>
          <w:b/>
          <w:color w:val="FF0000"/>
          <w:sz w:val="24"/>
        </w:rPr>
        <w:t>★</w:t>
      </w:r>
      <w:r>
        <w:rPr>
          <w:rFonts w:hint="eastAsia" w:cs="宋体" w:asciiTheme="minorEastAsia" w:hAnsiTheme="minorEastAsia"/>
          <w:b/>
          <w:color w:val="000000"/>
          <w:kern w:val="0"/>
          <w:sz w:val="24"/>
          <w:lang w:val="zh-CN"/>
        </w:rPr>
        <w:t>七、资金支付</w:t>
      </w:r>
    </w:p>
    <w:p>
      <w:pPr>
        <w:widowControl/>
        <w:shd w:val="clear" w:color="auto" w:fill="FFFFFF"/>
        <w:spacing w:line="360" w:lineRule="auto"/>
        <w:ind w:firstLine="480" w:firstLineChars="200"/>
        <w:jc w:val="left"/>
        <w:rPr>
          <w:rFonts w:cs="宋体" w:asciiTheme="minorEastAsia" w:hAnsiTheme="minorEastAsia"/>
          <w:kern w:val="0"/>
          <w:sz w:val="24"/>
          <w:lang w:val="zh-CN"/>
        </w:rPr>
      </w:pPr>
      <w:r>
        <w:rPr>
          <w:rFonts w:hint="eastAsia" w:cs="宋体" w:asciiTheme="minorEastAsia" w:hAnsiTheme="minorEastAsia"/>
          <w:kern w:val="0"/>
          <w:sz w:val="24"/>
        </w:rPr>
        <w:t>1</w:t>
      </w:r>
      <w:r>
        <w:rPr>
          <w:rFonts w:hint="eastAsia" w:cs="宋体" w:asciiTheme="minorEastAsia" w:hAnsiTheme="minorEastAsia"/>
          <w:kern w:val="0"/>
          <w:sz w:val="24"/>
          <w:lang w:val="zh-CN"/>
        </w:rPr>
        <w:t>、支付方式：银行转账。</w:t>
      </w:r>
    </w:p>
    <w:p>
      <w:pPr>
        <w:widowControl/>
        <w:shd w:val="clear" w:color="auto" w:fill="FFFFFF"/>
        <w:spacing w:line="360" w:lineRule="auto"/>
        <w:ind w:firstLine="480" w:firstLineChars="200"/>
        <w:jc w:val="left"/>
        <w:rPr>
          <w:rFonts w:ascii="宋体" w:hAnsi="宋体" w:cs="宋体"/>
          <w:spacing w:val="6"/>
          <w:sz w:val="24"/>
        </w:rPr>
      </w:pPr>
      <w:r>
        <w:rPr>
          <w:rFonts w:hint="eastAsia" w:cs="宋体" w:asciiTheme="minorEastAsia" w:hAnsiTheme="minorEastAsia"/>
          <w:kern w:val="0"/>
          <w:sz w:val="24"/>
        </w:rPr>
        <w:t>2</w:t>
      </w:r>
      <w:r>
        <w:rPr>
          <w:rFonts w:hint="eastAsia" w:cs="宋体" w:asciiTheme="minorEastAsia" w:hAnsiTheme="minorEastAsia"/>
          <w:kern w:val="0"/>
          <w:sz w:val="24"/>
          <w:lang w:val="zh-CN"/>
        </w:rPr>
        <w:t>、支付时间及条件：</w:t>
      </w:r>
      <w:r>
        <w:rPr>
          <w:rFonts w:hint="eastAsia" w:cs="宋体" w:asciiTheme="minorEastAsia" w:hAnsiTheme="minorEastAsia"/>
          <w:kern w:val="0"/>
          <w:sz w:val="24"/>
        </w:rPr>
        <w:t>于</w:t>
      </w:r>
      <w:r>
        <w:rPr>
          <w:rFonts w:hint="eastAsia" w:ascii="宋体" w:hAnsi="宋体" w:cs="宋体"/>
          <w:spacing w:val="6"/>
          <w:sz w:val="24"/>
        </w:rPr>
        <w:t>次月支付当月管理费用。</w:t>
      </w:r>
    </w:p>
    <w:p>
      <w:pPr>
        <w:pStyle w:val="12"/>
        <w:widowControl/>
        <w:shd w:val="clear" w:color="auto" w:fill="FFFFFF"/>
        <w:spacing w:line="408" w:lineRule="auto"/>
        <w:ind w:firstLine="482" w:firstLineChars="200"/>
        <w:contextualSpacing/>
        <w:jc w:val="left"/>
        <w:rPr>
          <w:rFonts w:asciiTheme="minorEastAsia" w:hAnsiTheme="minorEastAsia" w:eastAsiaTheme="minorEastAsia" w:cstheme="minorEastAsia"/>
          <w:b/>
          <w:color w:val="000000"/>
          <w:shd w:val="clear" w:color="auto" w:fill="FFFFFF"/>
        </w:rPr>
      </w:pPr>
      <w:r>
        <w:rPr>
          <w:rFonts w:hint="eastAsia" w:asciiTheme="minorEastAsia" w:hAnsiTheme="minorEastAsia" w:eastAsiaTheme="minorEastAsia" w:cstheme="minorEastAsia"/>
          <w:b/>
          <w:color w:val="000000"/>
          <w:shd w:val="clear" w:color="auto" w:fill="FFFFFF"/>
        </w:rPr>
        <w:t>九、评标方法和评标标准</w:t>
      </w:r>
    </w:p>
    <w:p>
      <w:pPr>
        <w:pStyle w:val="12"/>
        <w:widowControl/>
        <w:shd w:val="clear" w:color="auto" w:fill="FFFFFF"/>
        <w:spacing w:line="408" w:lineRule="auto"/>
        <w:contextualSpacing/>
        <w:jc w:val="left"/>
        <w:rPr>
          <w:rFonts w:ascii="宋体" w:hAnsi="宋体" w:cs="宋体"/>
          <w:color w:val="000000"/>
          <w:kern w:val="0"/>
          <w:lang w:val="zh-CN"/>
        </w:rPr>
      </w:pPr>
      <w:r>
        <w:rPr>
          <w:rFonts w:hint="eastAsia" w:ascii="宋体" w:hAnsi="宋体" w:cs="宋体"/>
          <w:color w:val="000000"/>
          <w:kern w:val="0"/>
          <w:lang w:val="zh-CN"/>
        </w:rPr>
        <w:t>（一）评标方法：综合评分法</w:t>
      </w:r>
    </w:p>
    <w:p>
      <w:pPr>
        <w:pStyle w:val="12"/>
        <w:widowControl/>
        <w:shd w:val="clear" w:color="auto" w:fill="FFFFFF"/>
        <w:spacing w:line="408" w:lineRule="auto"/>
        <w:contextualSpacing/>
        <w:jc w:val="left"/>
        <w:rPr>
          <w:rFonts w:ascii="宋体" w:hAnsi="宋体" w:cs="宋体"/>
          <w:color w:val="000000"/>
          <w:kern w:val="0"/>
          <w:lang w:val="zh-CN"/>
        </w:rPr>
      </w:pPr>
      <w:r>
        <w:rPr>
          <w:rFonts w:hint="eastAsia" w:ascii="宋体" w:hAnsi="宋体" w:cs="宋体"/>
          <w:color w:val="000000"/>
          <w:kern w:val="0"/>
          <w:lang w:val="zh-CN"/>
        </w:rPr>
        <w:t>（二）综合评分法评标标准：</w:t>
      </w:r>
    </w:p>
    <w:tbl>
      <w:tblPr>
        <w:tblStyle w:val="17"/>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sz w:val="24"/>
              </w:rPr>
            </w:pPr>
            <w:r>
              <w:rPr>
                <w:rFonts w:hint="eastAsia" w:asciiTheme="minorEastAsia" w:hAnsiTheme="minorEastAsia"/>
                <w:sz w:val="24"/>
              </w:rPr>
              <w:t>分值构成</w:t>
            </w:r>
          </w:p>
          <w:p>
            <w:pPr>
              <w:spacing w:line="360" w:lineRule="auto"/>
              <w:jc w:val="center"/>
              <w:rPr>
                <w:rFonts w:asciiTheme="minorEastAsia" w:hAnsiTheme="minorEastAsia"/>
                <w:sz w:val="24"/>
              </w:rPr>
            </w:pPr>
            <w:r>
              <w:rPr>
                <w:rFonts w:hint="eastAsia" w:asciiTheme="minorEastAsia" w:hAnsiTheme="minorEastAsia"/>
                <w:sz w:val="24"/>
              </w:rPr>
              <w:t>(总分100分)</w:t>
            </w:r>
          </w:p>
        </w:tc>
        <w:tc>
          <w:tcPr>
            <w:tcW w:w="7204" w:type="dxa"/>
            <w:gridSpan w:val="2"/>
            <w:vAlign w:val="center"/>
          </w:tcPr>
          <w:p>
            <w:pPr>
              <w:spacing w:line="360" w:lineRule="auto"/>
              <w:ind w:firstLine="480" w:firstLineChars="200"/>
              <w:rPr>
                <w:rFonts w:asciiTheme="minorEastAsia" w:hAnsiTheme="minorEastAsia"/>
                <w:sz w:val="24"/>
              </w:rPr>
            </w:pPr>
            <w:r>
              <w:rPr>
                <w:rFonts w:hint="eastAsia" w:asciiTheme="minorEastAsia" w:hAnsiTheme="minorEastAsia"/>
                <w:sz w:val="24"/>
              </w:rPr>
              <w:t>价格分值：</w:t>
            </w:r>
            <w:r>
              <w:rPr>
                <w:rFonts w:hint="eastAsia" w:asciiTheme="minorEastAsia" w:hAnsiTheme="minorEastAsia"/>
                <w:sz w:val="24"/>
                <w:u w:val="single"/>
              </w:rPr>
              <w:t>20</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商务部分：</w:t>
            </w:r>
            <w:r>
              <w:rPr>
                <w:rFonts w:hint="eastAsia" w:asciiTheme="minorEastAsia" w:hAnsiTheme="minorEastAsia"/>
                <w:sz w:val="24"/>
                <w:u w:val="single"/>
              </w:rPr>
              <w:t>45</w:t>
            </w:r>
            <w:r>
              <w:rPr>
                <w:rFonts w:hint="eastAsia" w:asciiTheme="minorEastAsia" w:hAnsiTheme="minorEastAsia"/>
                <w:sz w:val="24"/>
              </w:rPr>
              <w:t>分</w:t>
            </w:r>
          </w:p>
          <w:p>
            <w:pPr>
              <w:spacing w:line="360" w:lineRule="auto"/>
              <w:ind w:firstLine="480" w:firstLineChars="200"/>
              <w:rPr>
                <w:rFonts w:asciiTheme="minorEastAsia" w:hAnsiTheme="minorEastAsia"/>
                <w:sz w:val="24"/>
              </w:rPr>
            </w:pPr>
            <w:r>
              <w:rPr>
                <w:rFonts w:hint="eastAsia" w:asciiTheme="minorEastAsia" w:hAnsiTheme="minorEastAsia"/>
                <w:sz w:val="24"/>
              </w:rPr>
              <w:t>技术部分：</w:t>
            </w:r>
            <w:r>
              <w:rPr>
                <w:rFonts w:hint="eastAsia" w:asciiTheme="minorEastAsia" w:hAnsiTheme="minorEastAsia"/>
                <w:sz w:val="24"/>
                <w:u w:val="single"/>
              </w:rPr>
              <w:t>35</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价格部分（满分</w:t>
            </w:r>
            <w:r>
              <w:rPr>
                <w:rFonts w:hint="eastAsia" w:asciiTheme="minorEastAsia" w:hAnsiTheme="minorEastAsia"/>
                <w:b/>
                <w:sz w:val="24"/>
                <w:u w:val="single"/>
              </w:rPr>
              <w:t>20</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237"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67" w:type="dxa"/>
            <w:tcBorders>
              <w:top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投标报价</w:t>
            </w:r>
          </w:p>
          <w:p>
            <w:pPr>
              <w:spacing w:line="360" w:lineRule="auto"/>
              <w:jc w:val="center"/>
              <w:rPr>
                <w:rFonts w:asciiTheme="minorEastAsia" w:hAnsiTheme="minorEastAsia"/>
                <w:sz w:val="24"/>
              </w:rPr>
            </w:pPr>
            <w:r>
              <w:rPr>
                <w:rFonts w:hint="eastAsia" w:asciiTheme="minorEastAsia" w:hAnsiTheme="minorEastAsia"/>
                <w:sz w:val="24"/>
              </w:rPr>
              <w:t>评分标准</w:t>
            </w:r>
          </w:p>
        </w:tc>
        <w:tc>
          <w:tcPr>
            <w:tcW w:w="6237" w:type="dxa"/>
            <w:tcBorders>
              <w:top w:val="single" w:color="auto" w:sz="4" w:space="0"/>
            </w:tcBorders>
            <w:vAlign w:val="center"/>
          </w:tcPr>
          <w:p>
            <w:pPr>
              <w:spacing w:line="360" w:lineRule="auto"/>
              <w:rPr>
                <w:rFonts w:asciiTheme="minorEastAsia" w:hAnsiTheme="minorEastAsia"/>
                <w:sz w:val="24"/>
              </w:rPr>
            </w:pPr>
            <w:r>
              <w:rPr>
                <w:rFonts w:hint="eastAsia" w:asciiTheme="minorEastAsia" w:hAnsiTheme="minorEastAsia"/>
                <w:sz w:val="24"/>
              </w:rPr>
              <w:t>评标基准价：满足招标文件要求的有效投标报价中，最低的投标报价为评标基准价。</w:t>
            </w:r>
          </w:p>
          <w:p>
            <w:pPr>
              <w:spacing w:line="360" w:lineRule="auto"/>
              <w:rPr>
                <w:rFonts w:asciiTheme="minorEastAsia" w:hAnsiTheme="minorEastAsia"/>
                <w:sz w:val="24"/>
              </w:rPr>
            </w:pPr>
            <w:r>
              <w:rPr>
                <w:rFonts w:hint="eastAsia" w:asciiTheme="minorEastAsia" w:hAnsiTheme="minorEastAsia"/>
                <w:sz w:val="24"/>
              </w:rPr>
              <w:t>投标报价得分=（评标基准价/投标报价）×</w:t>
            </w:r>
            <w:r>
              <w:rPr>
                <w:rFonts w:hint="eastAsia" w:asciiTheme="minorEastAsia" w:hAnsiTheme="minorEastAsia"/>
                <w:sz w:val="24"/>
                <w:u w:val="single"/>
              </w:rPr>
              <w:t>20</w:t>
            </w:r>
          </w:p>
        </w:tc>
        <w:tc>
          <w:tcPr>
            <w:tcW w:w="967" w:type="dxa"/>
            <w:tcBorders>
              <w:top w:val="single" w:color="auto" w:sz="4" w:space="0"/>
            </w:tcBorders>
            <w:vAlign w:val="center"/>
          </w:tcPr>
          <w:p>
            <w:pPr>
              <w:jc w:val="center"/>
              <w:rPr>
                <w:rFonts w:asciiTheme="minorEastAsia" w:hAnsiTheme="minorEastAsia"/>
                <w:sz w:val="24"/>
              </w:rPr>
            </w:pPr>
            <w:r>
              <w:rPr>
                <w:rFonts w:hint="eastAsia" w:asciiTheme="minorEastAsia" w:hAnsiTheme="minorEastAsia"/>
                <w:sz w:val="24"/>
                <w:u w:val="single"/>
              </w:rPr>
              <w:t>20</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商务部分（满分</w:t>
            </w:r>
            <w:r>
              <w:rPr>
                <w:rFonts w:hint="eastAsia" w:asciiTheme="minorEastAsia" w:hAnsiTheme="minorEastAsia"/>
                <w:b/>
                <w:sz w:val="24"/>
                <w:u w:val="single"/>
              </w:rPr>
              <w:t>45</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237"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67"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sz w:val="28"/>
                <w:szCs w:val="28"/>
              </w:rPr>
            </w:pPr>
            <w:r>
              <w:rPr>
                <w:rFonts w:hint="eastAsia" w:asciiTheme="minorEastAsia" w:hAnsiTheme="minorEastAsia"/>
                <w:sz w:val="24"/>
              </w:rPr>
              <w:t>企业业绩</w:t>
            </w:r>
          </w:p>
        </w:tc>
        <w:tc>
          <w:tcPr>
            <w:tcW w:w="6237" w:type="dxa"/>
            <w:vAlign w:val="center"/>
          </w:tcPr>
          <w:p>
            <w:pPr>
              <w:spacing w:line="360" w:lineRule="auto"/>
              <w:rPr>
                <w:rFonts w:asciiTheme="minorEastAsia" w:hAnsiTheme="minorEastAsia"/>
                <w:sz w:val="24"/>
              </w:rPr>
            </w:pPr>
            <w:r>
              <w:rPr>
                <w:rFonts w:hint="eastAsia" w:asciiTheme="minorEastAsia" w:hAnsiTheme="minorEastAsia"/>
                <w:sz w:val="24"/>
              </w:rPr>
              <w:t>1、投标人自2015年以来具有类似项目业绩，每个2分，满分6分。（以合同为准，类似项目指市政道路维护、绿化管理、水系管理）</w:t>
            </w:r>
          </w:p>
          <w:p>
            <w:pPr>
              <w:spacing w:line="360" w:lineRule="auto"/>
              <w:rPr>
                <w:rFonts w:ascii="仿宋" w:hAnsi="仿宋" w:eastAsia="仿宋"/>
                <w:b/>
                <w:sz w:val="24"/>
              </w:rPr>
            </w:pPr>
            <w:r>
              <w:rPr>
                <w:rFonts w:hint="eastAsia" w:asciiTheme="minorEastAsia" w:hAnsiTheme="minorEastAsia"/>
                <w:sz w:val="24"/>
              </w:rPr>
              <w:t xml:space="preserve">2、投标人养护维修过的项目2015年1月1日以来获得过省级荣誉者每项得4分，获得过国级荣誉者每项得8分，最高得16分。（时间以发证时间为准）  </w:t>
            </w:r>
          </w:p>
        </w:tc>
        <w:tc>
          <w:tcPr>
            <w:tcW w:w="967" w:type="dxa"/>
            <w:vAlign w:val="center"/>
          </w:tcPr>
          <w:p>
            <w:pPr>
              <w:jc w:val="center"/>
              <w:rPr>
                <w:rFonts w:ascii="仿宋" w:hAnsi="仿宋" w:eastAsia="仿宋"/>
                <w:sz w:val="28"/>
                <w:szCs w:val="28"/>
              </w:rPr>
            </w:pPr>
            <w:r>
              <w:rPr>
                <w:rFonts w:hint="eastAsia" w:ascii="仿宋" w:hAnsi="仿宋" w:eastAsia="仿宋"/>
                <w:sz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sz w:val="24"/>
              </w:rPr>
            </w:pPr>
            <w:r>
              <w:rPr>
                <w:rFonts w:hint="eastAsia" w:asciiTheme="minorEastAsia" w:hAnsiTheme="minorEastAsia"/>
                <w:sz w:val="24"/>
              </w:rPr>
              <w:t>企业实力</w:t>
            </w:r>
          </w:p>
        </w:tc>
        <w:tc>
          <w:tcPr>
            <w:tcW w:w="6237" w:type="dxa"/>
            <w:vAlign w:val="center"/>
          </w:tcPr>
          <w:p>
            <w:pPr>
              <w:spacing w:line="360" w:lineRule="auto"/>
              <w:rPr>
                <w:rFonts w:ascii="宋体" w:hAnsi="宋体"/>
                <w:sz w:val="24"/>
              </w:rPr>
            </w:pPr>
            <w:r>
              <w:rPr>
                <w:rFonts w:hint="eastAsia" w:ascii="宋体" w:hAnsi="宋体"/>
                <w:sz w:val="24"/>
              </w:rPr>
              <w:t>投标人2015年1月1日以来（时间以发证时间为准）：</w:t>
            </w:r>
          </w:p>
          <w:p>
            <w:pPr>
              <w:spacing w:line="360" w:lineRule="auto"/>
              <w:rPr>
                <w:rFonts w:ascii="宋体" w:hAnsi="宋体"/>
                <w:sz w:val="24"/>
              </w:rPr>
            </w:pPr>
            <w:r>
              <w:rPr>
                <w:rFonts w:hint="eastAsia" w:ascii="宋体" w:hAnsi="宋体"/>
                <w:sz w:val="24"/>
              </w:rPr>
              <w:t>1、获得过省级及以上市政公用工程优秀施工企业称号者得2分；</w:t>
            </w:r>
          </w:p>
          <w:p>
            <w:pPr>
              <w:snapToGrid w:val="0"/>
              <w:spacing w:line="360" w:lineRule="auto"/>
              <w:rPr>
                <w:rFonts w:ascii="宋体" w:hAnsi="宋体"/>
                <w:sz w:val="24"/>
              </w:rPr>
            </w:pPr>
            <w:r>
              <w:rPr>
                <w:rFonts w:hint="eastAsia" w:ascii="宋体" w:hAnsi="宋体"/>
                <w:sz w:val="24"/>
              </w:rPr>
              <w:t>2、获得过省级及以上市政公用工程施工安全管理先进企业或市政公用施工质量管理先进企业者得2分；</w:t>
            </w:r>
          </w:p>
          <w:p>
            <w:pPr>
              <w:snapToGrid w:val="0"/>
              <w:spacing w:line="360" w:lineRule="auto"/>
              <w:rPr>
                <w:rFonts w:ascii="宋体" w:hAnsi="宋体"/>
                <w:sz w:val="24"/>
              </w:rPr>
            </w:pPr>
            <w:r>
              <w:rPr>
                <w:rFonts w:hint="eastAsia" w:ascii="宋体" w:hAnsi="宋体"/>
                <w:sz w:val="24"/>
              </w:rPr>
              <w:t>3、获得过市级及以上建设工程招标投标“诚实守信单位”者得2分。</w:t>
            </w:r>
          </w:p>
          <w:p>
            <w:pPr>
              <w:snapToGrid w:val="0"/>
              <w:spacing w:line="360" w:lineRule="auto"/>
              <w:rPr>
                <w:rFonts w:asciiTheme="minorEastAsia" w:hAnsiTheme="minorEastAsia"/>
                <w:sz w:val="24"/>
              </w:rPr>
            </w:pPr>
            <w:r>
              <w:rPr>
                <w:rFonts w:hint="eastAsia" w:asciiTheme="minorEastAsia" w:hAnsiTheme="minorEastAsia"/>
                <w:sz w:val="24"/>
              </w:rPr>
              <w:t>4、投标人提供质量管理体系认证得2分、环境管理体系认证得2分、职业健康安全管理体系认证得2分。</w:t>
            </w:r>
          </w:p>
        </w:tc>
        <w:tc>
          <w:tcPr>
            <w:tcW w:w="967" w:type="dxa"/>
            <w:vAlign w:val="center"/>
          </w:tcPr>
          <w:p>
            <w:pPr>
              <w:jc w:val="center"/>
              <w:rPr>
                <w:rFonts w:ascii="仿宋" w:hAnsi="仿宋" w:eastAsia="仿宋"/>
                <w:sz w:val="28"/>
                <w:szCs w:val="28"/>
                <w:u w:val="single"/>
              </w:rPr>
            </w:pPr>
            <w:r>
              <w:rPr>
                <w:rFonts w:hint="eastAsia" w:ascii="仿宋" w:hAnsi="仿宋" w:eastAsia="仿宋"/>
                <w:sz w:val="24"/>
                <w:u w:val="singl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sz w:val="24"/>
              </w:rPr>
            </w:pPr>
            <w:r>
              <w:rPr>
                <w:rFonts w:hint="eastAsia" w:ascii="宋体" w:hAnsi="宋体"/>
                <w:b/>
                <w:bCs/>
                <w:sz w:val="24"/>
              </w:rPr>
              <w:t>售后服务</w:t>
            </w:r>
          </w:p>
        </w:tc>
        <w:tc>
          <w:tcPr>
            <w:tcW w:w="6237" w:type="dxa"/>
            <w:vAlign w:val="center"/>
          </w:tcPr>
          <w:p>
            <w:pPr>
              <w:snapToGrid w:val="0"/>
              <w:spacing w:line="360" w:lineRule="auto"/>
              <w:rPr>
                <w:rFonts w:asciiTheme="minorEastAsia" w:hAnsiTheme="minorEastAsia"/>
                <w:sz w:val="24"/>
              </w:rPr>
            </w:pPr>
            <w:r>
              <w:rPr>
                <w:rFonts w:hint="eastAsia" w:asciiTheme="minorEastAsia" w:hAnsiTheme="minorEastAsia"/>
                <w:sz w:val="24"/>
              </w:rPr>
              <w:t xml:space="preserve"> 解决问题时间以小时为单位（四舍五入法，30分钟及以上按1小时计算），以8小时为起点，基本分6分，每减少2小时，加2分，满分11分。8小时以上的不得分。</w:t>
            </w:r>
          </w:p>
        </w:tc>
        <w:tc>
          <w:tcPr>
            <w:tcW w:w="967" w:type="dxa"/>
            <w:vAlign w:val="center"/>
          </w:tcPr>
          <w:p>
            <w:pPr>
              <w:jc w:val="center"/>
              <w:rPr>
                <w:rFonts w:ascii="仿宋" w:hAnsi="仿宋" w:eastAsia="仿宋"/>
                <w:sz w:val="24"/>
                <w:u w:val="single"/>
              </w:rPr>
            </w:pPr>
            <w:r>
              <w:rPr>
                <w:rFonts w:hint="eastAsia" w:asciiTheme="minorEastAsia" w:hAnsiTheme="minorEastAsia"/>
                <w:sz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966" w:type="dxa"/>
            <w:gridSpan w:val="3"/>
            <w:vAlign w:val="center"/>
          </w:tcPr>
          <w:p>
            <w:pPr>
              <w:jc w:val="center"/>
              <w:rPr>
                <w:rFonts w:asciiTheme="minorEastAsia" w:hAnsiTheme="minorEastAsia"/>
                <w:b/>
                <w:sz w:val="24"/>
              </w:rPr>
            </w:pPr>
            <w:r>
              <w:rPr>
                <w:rFonts w:hint="eastAsia" w:asciiTheme="minorEastAsia" w:hAnsiTheme="minorEastAsia"/>
                <w:b/>
                <w:sz w:val="24"/>
              </w:rPr>
              <w:t>技术部分（满分</w:t>
            </w:r>
            <w:r>
              <w:rPr>
                <w:rFonts w:hint="eastAsia" w:asciiTheme="minorEastAsia" w:hAnsiTheme="minorEastAsia"/>
                <w:b/>
                <w:sz w:val="24"/>
                <w:u w:val="single"/>
              </w:rPr>
              <w:t>35</w:t>
            </w:r>
            <w:r>
              <w:rPr>
                <w:rFonts w:hint="eastAsia" w:asciiTheme="minorEastAsia" w:hAnsiTheme="minor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62" w:type="dxa"/>
            <w:vAlign w:val="center"/>
          </w:tcPr>
          <w:p>
            <w:pPr>
              <w:jc w:val="center"/>
              <w:rPr>
                <w:rFonts w:asciiTheme="minorEastAsia" w:hAnsiTheme="minorEastAsia"/>
                <w:b/>
                <w:sz w:val="24"/>
              </w:rPr>
            </w:pPr>
            <w:r>
              <w:rPr>
                <w:rFonts w:hint="eastAsia" w:asciiTheme="minorEastAsia" w:hAnsiTheme="minorEastAsia"/>
                <w:b/>
                <w:sz w:val="24"/>
              </w:rPr>
              <w:t>评分因素</w:t>
            </w:r>
          </w:p>
        </w:tc>
        <w:tc>
          <w:tcPr>
            <w:tcW w:w="6237" w:type="dxa"/>
            <w:vAlign w:val="center"/>
          </w:tcPr>
          <w:p>
            <w:pPr>
              <w:jc w:val="center"/>
              <w:rPr>
                <w:rFonts w:asciiTheme="minorEastAsia" w:hAnsiTheme="minorEastAsia"/>
                <w:b/>
                <w:sz w:val="24"/>
              </w:rPr>
            </w:pPr>
            <w:r>
              <w:rPr>
                <w:rFonts w:hint="eastAsia" w:asciiTheme="minorEastAsia" w:hAnsiTheme="minorEastAsia"/>
                <w:b/>
                <w:sz w:val="24"/>
              </w:rPr>
              <w:t>评标标准</w:t>
            </w:r>
          </w:p>
        </w:tc>
        <w:tc>
          <w:tcPr>
            <w:tcW w:w="967" w:type="dxa"/>
            <w:vAlign w:val="center"/>
          </w:tcPr>
          <w:p>
            <w:pPr>
              <w:jc w:val="center"/>
              <w:rPr>
                <w:rFonts w:asciiTheme="minorEastAsia" w:hAnsiTheme="minorEastAsia"/>
                <w:b/>
                <w:sz w:val="24"/>
              </w:rPr>
            </w:pPr>
            <w:r>
              <w:rPr>
                <w:rFonts w:hint="eastAsia" w:asciiTheme="minorEastAsia" w:hAnsiTheme="minorEastAsia"/>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Theme="minorEastAsia" w:hAnsiTheme="minorEastAsia"/>
                <w:sz w:val="24"/>
              </w:rPr>
            </w:pPr>
            <w:r>
              <w:rPr>
                <w:rFonts w:hint="eastAsia" w:asciiTheme="minorEastAsia" w:hAnsiTheme="minorEastAsia"/>
                <w:sz w:val="24"/>
              </w:rPr>
              <w:t>投标文件的规范程度</w:t>
            </w:r>
          </w:p>
        </w:tc>
        <w:tc>
          <w:tcPr>
            <w:tcW w:w="6237" w:type="dxa"/>
            <w:vAlign w:val="center"/>
          </w:tcPr>
          <w:p>
            <w:pPr>
              <w:widowControl/>
              <w:jc w:val="left"/>
              <w:rPr>
                <w:rFonts w:ascii="仿宋" w:hAnsi="仿宋" w:eastAsia="仿宋"/>
                <w:b/>
                <w:sz w:val="24"/>
              </w:rPr>
            </w:pPr>
            <w:r>
              <w:rPr>
                <w:rFonts w:hint="eastAsia" w:ascii="宋体" w:hAnsi="宋体" w:cs="Courier New"/>
                <w:bCs/>
                <w:sz w:val="24"/>
              </w:rPr>
              <w:t>1、投标文件的编制符合招标文件的规定，装订整齐规范的，得2分。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2</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auto"/>
              <w:jc w:val="center"/>
              <w:rPr>
                <w:rFonts w:ascii="仿宋" w:hAnsi="仿宋" w:eastAsia="仿宋"/>
                <w:sz w:val="24"/>
              </w:rPr>
            </w:pPr>
          </w:p>
        </w:tc>
        <w:tc>
          <w:tcPr>
            <w:tcW w:w="6237" w:type="dxa"/>
            <w:vAlign w:val="center"/>
          </w:tcPr>
          <w:p>
            <w:pPr>
              <w:spacing w:line="360" w:lineRule="exact"/>
              <w:rPr>
                <w:rFonts w:ascii="仿宋" w:hAnsi="仿宋" w:eastAsia="仿宋"/>
                <w:sz w:val="24"/>
              </w:rPr>
            </w:pPr>
            <w:r>
              <w:rPr>
                <w:rFonts w:hint="eastAsia" w:ascii="宋体" w:hAnsi="宋体" w:cs="Courier New"/>
                <w:bCs/>
                <w:sz w:val="24"/>
              </w:rPr>
              <w:t>2、投标人编制投标文件逻辑严紧、描述规范、无文字错误的，得3分。</w:t>
            </w:r>
          </w:p>
        </w:tc>
        <w:tc>
          <w:tcPr>
            <w:tcW w:w="967" w:type="dxa"/>
            <w:vAlign w:val="center"/>
          </w:tcPr>
          <w:p>
            <w:pPr>
              <w:jc w:val="center"/>
              <w:rPr>
                <w:rFonts w:asciiTheme="minorEastAsia" w:hAnsiTheme="minorEastAsia"/>
                <w:sz w:val="24"/>
              </w:rPr>
            </w:pPr>
            <w:r>
              <w:rPr>
                <w:rFonts w:hint="eastAsia" w:asciiTheme="minorEastAsia" w:hAnsiTheme="minorEastAsia"/>
                <w:sz w:val="24"/>
                <w:u w:val="single"/>
              </w:rPr>
              <w:t>3</w:t>
            </w:r>
            <w:r>
              <w:rPr>
                <w:rFonts w:hint="eastAsia" w:asciiTheme="minorEastAsia" w:hAnsi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762" w:type="dxa"/>
            <w:vMerge w:val="restart"/>
            <w:vAlign w:val="center"/>
          </w:tcPr>
          <w:p>
            <w:pPr>
              <w:spacing w:line="360" w:lineRule="exact"/>
              <w:jc w:val="center"/>
              <w:rPr>
                <w:rFonts w:ascii="仿宋" w:hAnsi="仿宋" w:eastAsia="仿宋"/>
                <w:sz w:val="28"/>
                <w:szCs w:val="28"/>
              </w:rPr>
            </w:pPr>
            <w:r>
              <w:rPr>
                <w:rFonts w:hint="eastAsia" w:asciiTheme="minorEastAsia" w:hAnsiTheme="minorEastAsia"/>
                <w:sz w:val="24"/>
              </w:rPr>
              <w:t>对招标文件的响应程度</w:t>
            </w:r>
          </w:p>
        </w:tc>
        <w:tc>
          <w:tcPr>
            <w:tcW w:w="6237" w:type="dxa"/>
            <w:vAlign w:val="center"/>
          </w:tcPr>
          <w:p>
            <w:pPr>
              <w:snapToGrid w:val="0"/>
              <w:spacing w:line="360" w:lineRule="auto"/>
              <w:rPr>
                <w:rFonts w:ascii="宋体" w:hAnsi="宋体" w:cs="Courier New"/>
                <w:bCs/>
                <w:sz w:val="24"/>
              </w:rPr>
            </w:pPr>
            <w:r>
              <w:rPr>
                <w:rFonts w:hint="eastAsia" w:asciiTheme="minorEastAsia" w:hAnsiTheme="minorEastAsia"/>
                <w:b/>
                <w:bCs/>
                <w:sz w:val="24"/>
              </w:rPr>
              <w:t>不满足招标文件技术指标要求和商务条款规定的为无效投标。</w:t>
            </w:r>
          </w:p>
        </w:tc>
        <w:tc>
          <w:tcPr>
            <w:tcW w:w="967" w:type="dxa"/>
            <w:vAlign w:val="center"/>
          </w:tcPr>
          <w:p>
            <w:pPr>
              <w:jc w:val="center"/>
              <w:rPr>
                <w:rFonts w:asciiTheme="minorEastAsia" w:hAnsi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napToGrid w:val="0"/>
              <w:spacing w:line="360" w:lineRule="auto"/>
              <w:rPr>
                <w:rFonts w:ascii="宋体" w:hAnsi="宋体" w:cs="宋体"/>
                <w:bCs/>
                <w:sz w:val="24"/>
              </w:rPr>
            </w:pPr>
            <w:r>
              <w:rPr>
                <w:rFonts w:hint="eastAsia" w:ascii="宋体" w:hAnsi="宋体" w:cs="宋体"/>
                <w:bCs/>
                <w:sz w:val="24"/>
              </w:rPr>
              <w:t>投标文件中有以下内容的，每项得5分，满分30分。</w:t>
            </w:r>
          </w:p>
          <w:p>
            <w:pPr>
              <w:snapToGrid w:val="0"/>
              <w:spacing w:line="360" w:lineRule="auto"/>
              <w:rPr>
                <w:rFonts w:ascii="宋体" w:hAnsi="宋体" w:cs="宋体"/>
                <w:bCs/>
                <w:sz w:val="24"/>
              </w:rPr>
            </w:pPr>
            <w:r>
              <w:rPr>
                <w:rFonts w:hint="eastAsia" w:ascii="宋体" w:hAnsi="宋体" w:cs="宋体"/>
                <w:bCs/>
                <w:sz w:val="24"/>
              </w:rPr>
              <w:t>1、有关项目的合理分析及解决方案；</w:t>
            </w:r>
          </w:p>
          <w:p>
            <w:pPr>
              <w:snapToGrid w:val="0"/>
              <w:spacing w:line="360" w:lineRule="auto"/>
              <w:rPr>
                <w:rFonts w:ascii="宋体" w:hAnsi="宋体" w:cs="宋体"/>
                <w:bCs/>
                <w:sz w:val="24"/>
              </w:rPr>
            </w:pPr>
            <w:r>
              <w:rPr>
                <w:rFonts w:hint="eastAsia" w:ascii="宋体" w:hAnsi="宋体" w:cs="宋体"/>
                <w:bCs/>
                <w:sz w:val="24"/>
              </w:rPr>
              <w:t>2、确保一年内维保技术措施；</w:t>
            </w:r>
          </w:p>
          <w:p>
            <w:pPr>
              <w:snapToGrid w:val="0"/>
              <w:spacing w:line="360" w:lineRule="auto"/>
              <w:rPr>
                <w:rFonts w:ascii="宋体" w:hAnsi="宋体" w:cs="宋体"/>
                <w:bCs/>
                <w:sz w:val="24"/>
              </w:rPr>
            </w:pPr>
            <w:r>
              <w:rPr>
                <w:rFonts w:hint="eastAsia" w:ascii="宋体" w:hAnsi="宋体" w:cs="宋体"/>
                <w:bCs/>
                <w:sz w:val="24"/>
              </w:rPr>
              <w:t>3、确保安全生产、文明施工、环境保护的技术组织措施；4、确保完成工程建设的技术和管理措施；</w:t>
            </w:r>
          </w:p>
          <w:p>
            <w:pPr>
              <w:snapToGrid w:val="0"/>
              <w:spacing w:line="360" w:lineRule="auto"/>
              <w:rPr>
                <w:rFonts w:ascii="宋体" w:hAnsi="宋体" w:cs="宋体"/>
                <w:bCs/>
                <w:sz w:val="24"/>
              </w:rPr>
            </w:pPr>
            <w:r>
              <w:rPr>
                <w:rFonts w:hint="eastAsia" w:ascii="宋体" w:hAnsi="宋体" w:cs="宋体"/>
                <w:bCs/>
                <w:sz w:val="24"/>
              </w:rPr>
              <w:t>5、员工培训计划。</w:t>
            </w:r>
          </w:p>
          <w:p>
            <w:pPr>
              <w:snapToGrid w:val="0"/>
              <w:spacing w:line="360" w:lineRule="auto"/>
              <w:rPr>
                <w:rFonts w:ascii="宋体" w:hAnsi="宋体" w:cs="Courier New"/>
                <w:bCs/>
                <w:sz w:val="24"/>
              </w:rPr>
            </w:pPr>
            <w:r>
              <w:rPr>
                <w:rFonts w:hint="eastAsia" w:ascii="宋体" w:hAnsi="宋体" w:cs="宋体"/>
                <w:bCs/>
                <w:sz w:val="24"/>
              </w:rPr>
              <w:t>上述5项方案措施，内容完整、合理程度高的每项加1分，满分5分；</w:t>
            </w:r>
          </w:p>
        </w:tc>
        <w:tc>
          <w:tcPr>
            <w:tcW w:w="967" w:type="dxa"/>
            <w:vAlign w:val="center"/>
          </w:tcPr>
          <w:p>
            <w:pPr>
              <w:jc w:val="center"/>
              <w:rPr>
                <w:rFonts w:asciiTheme="minorEastAsia" w:hAnsiTheme="minorEastAsia"/>
                <w:sz w:val="24"/>
              </w:rPr>
            </w:pPr>
            <w:r>
              <w:rPr>
                <w:rFonts w:hint="eastAsia" w:asciiTheme="minorEastAsia" w:hAnsiTheme="minorEastAsia"/>
                <w:sz w:val="24"/>
              </w:rPr>
              <w:t>30分</w:t>
            </w:r>
          </w:p>
        </w:tc>
      </w:tr>
    </w:tbl>
    <w:p>
      <w:pPr>
        <w:spacing w:line="360" w:lineRule="auto"/>
        <w:ind w:firstLine="482" w:firstLineChars="200"/>
        <w:rPr>
          <w:rFonts w:cs="仿宋_GB2312" w:asciiTheme="minorEastAsia" w:hAnsiTheme="minorEastAsia"/>
          <w:b/>
          <w:sz w:val="24"/>
          <w:lang w:val="zh-CN"/>
        </w:rPr>
      </w:pPr>
    </w:p>
    <w:p>
      <w:pPr>
        <w:pStyle w:val="12"/>
        <w:widowControl/>
        <w:shd w:val="clear" w:color="auto" w:fill="FFFFFF"/>
        <w:spacing w:line="408" w:lineRule="auto"/>
        <w:contextualSpacing/>
        <w:jc w:val="left"/>
        <w:rPr>
          <w:rFonts w:asciiTheme="minorEastAsia" w:hAnsiTheme="minorEastAsia" w:eastAsiaTheme="minorEastAsia" w:cstheme="minorEastAsia"/>
          <w:b/>
          <w:color w:val="000000"/>
          <w:shd w:val="clear" w:color="auto" w:fill="FFFFFF"/>
        </w:rPr>
      </w:pPr>
    </w:p>
    <w:p>
      <w:pPr>
        <w:pStyle w:val="12"/>
        <w:widowControl/>
        <w:shd w:val="clear" w:color="auto" w:fill="FFFFFF"/>
        <w:spacing w:line="408" w:lineRule="auto"/>
        <w:contextualSpacing/>
        <w:jc w:val="left"/>
        <w:rPr>
          <w:rFonts w:cs="仿宋_GB2312" w:asciiTheme="minorEastAsia" w:hAnsiTheme="minorEastAsia" w:eastAsiaTheme="minorEastAsia"/>
          <w:color w:val="000000"/>
        </w:rPr>
      </w:pPr>
      <w:r>
        <w:rPr>
          <w:rFonts w:hint="eastAsia" w:asciiTheme="minorEastAsia" w:hAnsiTheme="minorEastAsia" w:eastAsiaTheme="minorEastAsia" w:cstheme="minorEastAsia"/>
          <w:b/>
          <w:color w:val="000000"/>
          <w:shd w:val="clear" w:color="auto" w:fill="FFFFFF"/>
        </w:rPr>
        <w:t>十、联系方式</w:t>
      </w:r>
    </w:p>
    <w:p>
      <w:pPr>
        <w:pStyle w:val="12"/>
        <w:widowControl/>
        <w:shd w:val="clear" w:color="auto" w:fill="FFFFFF"/>
        <w:spacing w:line="408" w:lineRule="auto"/>
        <w:contextualSpacing/>
        <w:jc w:val="left"/>
        <w:rPr>
          <w:rFonts w:ascii="宋体" w:hAnsi="宋体" w:cs="宋体"/>
          <w:color w:val="000000"/>
          <w:kern w:val="0"/>
          <w:lang w:val="zh-CN"/>
        </w:rPr>
      </w:pPr>
      <w:r>
        <w:rPr>
          <w:rFonts w:hint="eastAsia" w:cs="仿宋_GB2312" w:asciiTheme="minorEastAsia" w:hAnsiTheme="minorEastAsia" w:eastAsiaTheme="minorEastAsia"/>
          <w:color w:val="000000"/>
        </w:rPr>
        <w:t>联 系 人：彭先生</w:t>
      </w:r>
      <w:r>
        <w:rPr>
          <w:rFonts w:hint="eastAsia" w:ascii="宋体" w:hAnsi="宋体" w:cs="宋体"/>
          <w:color w:val="000000"/>
          <w:kern w:val="0"/>
          <w:lang w:val="zh-CN"/>
        </w:rPr>
        <w:t xml:space="preserve">           联系电话：0374-3191016</w:t>
      </w:r>
    </w:p>
    <w:p>
      <w:pPr>
        <w:pStyle w:val="12"/>
        <w:widowControl/>
        <w:shd w:val="clear" w:color="auto" w:fill="FFFFFF"/>
        <w:spacing w:line="408" w:lineRule="auto"/>
        <w:contextualSpacing/>
        <w:jc w:val="left"/>
        <w:rPr>
          <w:rFonts w:ascii="宋体" w:hAnsi="宋体" w:cs="宋体"/>
          <w:color w:val="000000"/>
          <w:kern w:val="0"/>
          <w:lang w:val="zh-CN"/>
        </w:rPr>
      </w:pPr>
      <w:r>
        <w:rPr>
          <w:rFonts w:hint="eastAsia" w:ascii="宋体" w:hAnsi="宋体" w:cs="宋体"/>
          <w:color w:val="000000"/>
          <w:kern w:val="0"/>
          <w:lang w:val="zh-CN"/>
        </w:rPr>
        <w:t>地    址：许昌示范区管理委员会（魏武路中段）</w:t>
      </w:r>
      <w:bookmarkStart w:id="0" w:name="_GoBack"/>
      <w:bookmarkEnd w:id="0"/>
    </w:p>
    <w:p>
      <w:pPr>
        <w:pStyle w:val="12"/>
        <w:widowControl/>
        <w:shd w:val="clear" w:color="auto" w:fill="FFFFFF"/>
        <w:spacing w:line="408" w:lineRule="auto"/>
        <w:contextualSpacing/>
        <w:jc w:val="left"/>
        <w:rPr>
          <w:rFonts w:ascii="宋体" w:hAnsi="宋体" w:cs="宋体"/>
          <w:color w:val="000000"/>
          <w:kern w:val="0"/>
          <w:lang w:val="zh-CN"/>
        </w:rPr>
      </w:pPr>
    </w:p>
    <w:p>
      <w:pPr>
        <w:pStyle w:val="12"/>
        <w:widowControl/>
        <w:shd w:val="clear" w:color="auto" w:fill="FFFFFF"/>
        <w:spacing w:line="408" w:lineRule="auto"/>
        <w:contextualSpacing/>
        <w:jc w:val="right"/>
        <w:rPr>
          <w:rFonts w:ascii="宋体" w:hAnsi="宋体" w:cs="宋体"/>
          <w:color w:val="000000"/>
          <w:kern w:val="0"/>
          <w:lang w:val="zh-CN"/>
        </w:rPr>
      </w:pPr>
      <w:r>
        <w:rPr>
          <w:rFonts w:hint="eastAsia" w:ascii="宋体" w:hAnsi="宋体" w:cs="宋体"/>
          <w:color w:val="000000"/>
          <w:kern w:val="0"/>
          <w:lang w:val="zh-CN"/>
        </w:rPr>
        <w:t>许昌市城乡一体化示范区建设环保局</w:t>
      </w:r>
    </w:p>
    <w:p>
      <w:pPr>
        <w:pStyle w:val="12"/>
        <w:widowControl/>
        <w:shd w:val="clear" w:color="auto" w:fill="FFFFFF"/>
        <w:spacing w:line="408" w:lineRule="auto"/>
        <w:contextualSpacing/>
        <w:jc w:val="right"/>
        <w:rPr>
          <w:rFonts w:ascii="宋体" w:hAnsi="宋体" w:cs="宋体"/>
          <w:color w:val="000000"/>
          <w:kern w:val="0"/>
          <w:lang w:val="zh-CN"/>
        </w:rPr>
      </w:pPr>
      <w:r>
        <w:rPr>
          <w:rFonts w:hint="eastAsia" w:ascii="宋体" w:hAnsi="宋体" w:cs="宋体"/>
          <w:color w:val="000000"/>
          <w:kern w:val="0"/>
          <w:lang w:val="zh-CN"/>
        </w:rPr>
        <w:t>2018年</w:t>
      </w:r>
      <w:r>
        <w:rPr>
          <w:rFonts w:hint="eastAsia" w:ascii="宋体" w:hAnsi="宋体" w:cs="宋体"/>
          <w:color w:val="000000"/>
          <w:kern w:val="0"/>
        </w:rPr>
        <w:t>7</w:t>
      </w:r>
      <w:r>
        <w:rPr>
          <w:rFonts w:hint="eastAsia" w:ascii="宋体" w:hAnsi="宋体" w:cs="宋体"/>
          <w:color w:val="000000"/>
          <w:kern w:val="0"/>
          <w:lang w:val="zh-CN"/>
        </w:rPr>
        <w:t>月25号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AE5F4"/>
    <w:multiLevelType w:val="singleLevel"/>
    <w:tmpl w:val="8A9AE5F4"/>
    <w:lvl w:ilvl="0" w:tentative="0">
      <w:start w:val="3"/>
      <w:numFmt w:val="chineseCounting"/>
      <w:suff w:val="nothing"/>
      <w:lvlText w:val="（%1）"/>
      <w:lvlJc w:val="left"/>
      <w:rPr>
        <w:rFonts w:hint="eastAsia"/>
      </w:rPr>
    </w:lvl>
  </w:abstractNum>
  <w:abstractNum w:abstractNumId="1">
    <w:nsid w:val="C4FC54B3"/>
    <w:multiLevelType w:val="singleLevel"/>
    <w:tmpl w:val="C4FC54B3"/>
    <w:lvl w:ilvl="0" w:tentative="0">
      <w:start w:val="6"/>
      <w:numFmt w:val="chineseCounting"/>
      <w:suff w:val="nothing"/>
      <w:lvlText w:val="（%1）"/>
      <w:lvlJc w:val="left"/>
      <w:rPr>
        <w:rFonts w:hint="eastAsia"/>
      </w:rPr>
    </w:lvl>
  </w:abstractNum>
  <w:abstractNum w:abstractNumId="2">
    <w:nsid w:val="36A449BD"/>
    <w:multiLevelType w:val="singleLevel"/>
    <w:tmpl w:val="36A449BD"/>
    <w:lvl w:ilvl="0" w:tentative="0">
      <w:start w:val="1"/>
      <w:numFmt w:val="decimal"/>
      <w:pStyle w:val="38"/>
      <w:suff w:val="nothing"/>
      <w:lvlText w:val="%1、"/>
      <w:lvlJc w:val="left"/>
    </w:lvl>
  </w:abstractNum>
  <w:abstractNum w:abstractNumId="3">
    <w:nsid w:val="3ED0A41D"/>
    <w:multiLevelType w:val="singleLevel"/>
    <w:tmpl w:val="3ED0A41D"/>
    <w:lvl w:ilvl="0" w:tentative="0">
      <w:start w:val="2"/>
      <w:numFmt w:val="decimal"/>
      <w:suff w:val="nothing"/>
      <w:lvlText w:val="（%1）"/>
      <w:lvlJc w:val="left"/>
    </w:lvl>
  </w:abstractNum>
  <w:abstractNum w:abstractNumId="4">
    <w:nsid w:val="54201C0C"/>
    <w:multiLevelType w:val="singleLevel"/>
    <w:tmpl w:val="54201C0C"/>
    <w:lvl w:ilvl="0" w:tentative="0">
      <w:start w:val="1"/>
      <w:numFmt w:val="lowerLetter"/>
      <w:lvlText w:val="%1."/>
      <w:lvlJc w:val="left"/>
      <w:pPr>
        <w:tabs>
          <w:tab w:val="left" w:pos="312"/>
        </w:tabs>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589B"/>
    <w:rsid w:val="00064708"/>
    <w:rsid w:val="000B0267"/>
    <w:rsid w:val="001F4722"/>
    <w:rsid w:val="0031589B"/>
    <w:rsid w:val="003A4176"/>
    <w:rsid w:val="00707A5D"/>
    <w:rsid w:val="0071671A"/>
    <w:rsid w:val="007D59AD"/>
    <w:rsid w:val="00815E83"/>
    <w:rsid w:val="008E7709"/>
    <w:rsid w:val="009C71A6"/>
    <w:rsid w:val="00BD3B33"/>
    <w:rsid w:val="00C7321A"/>
    <w:rsid w:val="00CF767A"/>
    <w:rsid w:val="00D4791D"/>
    <w:rsid w:val="00D81068"/>
    <w:rsid w:val="024F39C1"/>
    <w:rsid w:val="025D7C79"/>
    <w:rsid w:val="026B68A0"/>
    <w:rsid w:val="026C1664"/>
    <w:rsid w:val="03F833E8"/>
    <w:rsid w:val="040620D4"/>
    <w:rsid w:val="048117A4"/>
    <w:rsid w:val="055A7E21"/>
    <w:rsid w:val="06075EA4"/>
    <w:rsid w:val="065B0C90"/>
    <w:rsid w:val="06BB297D"/>
    <w:rsid w:val="07936E85"/>
    <w:rsid w:val="07F37182"/>
    <w:rsid w:val="08285F79"/>
    <w:rsid w:val="08E82470"/>
    <w:rsid w:val="09A83C51"/>
    <w:rsid w:val="09E63249"/>
    <w:rsid w:val="0A334E2A"/>
    <w:rsid w:val="0A4C0997"/>
    <w:rsid w:val="0AC6300A"/>
    <w:rsid w:val="0C7E16B6"/>
    <w:rsid w:val="0CA95EFA"/>
    <w:rsid w:val="0DB94F7D"/>
    <w:rsid w:val="0DBC7BF4"/>
    <w:rsid w:val="0F3948A6"/>
    <w:rsid w:val="0F88404C"/>
    <w:rsid w:val="0FB80CFD"/>
    <w:rsid w:val="0FE6774A"/>
    <w:rsid w:val="10157F33"/>
    <w:rsid w:val="11EA0A0E"/>
    <w:rsid w:val="12043DBA"/>
    <w:rsid w:val="1218543E"/>
    <w:rsid w:val="12CE3C65"/>
    <w:rsid w:val="130B2734"/>
    <w:rsid w:val="13AC3957"/>
    <w:rsid w:val="14243908"/>
    <w:rsid w:val="14B1433F"/>
    <w:rsid w:val="1644679C"/>
    <w:rsid w:val="16BF6834"/>
    <w:rsid w:val="16C83F34"/>
    <w:rsid w:val="182C4EF8"/>
    <w:rsid w:val="18430A6F"/>
    <w:rsid w:val="1859623B"/>
    <w:rsid w:val="18B46488"/>
    <w:rsid w:val="18B602DE"/>
    <w:rsid w:val="18EC1744"/>
    <w:rsid w:val="1A482E67"/>
    <w:rsid w:val="1A8812EB"/>
    <w:rsid w:val="1B63597A"/>
    <w:rsid w:val="1C1156C0"/>
    <w:rsid w:val="1C367CC6"/>
    <w:rsid w:val="1CEA1815"/>
    <w:rsid w:val="1D774418"/>
    <w:rsid w:val="1E250C9C"/>
    <w:rsid w:val="1E622716"/>
    <w:rsid w:val="1EF376B0"/>
    <w:rsid w:val="20A15E7D"/>
    <w:rsid w:val="22382FBD"/>
    <w:rsid w:val="226B4F98"/>
    <w:rsid w:val="23472A4C"/>
    <w:rsid w:val="23587561"/>
    <w:rsid w:val="23651302"/>
    <w:rsid w:val="241C5219"/>
    <w:rsid w:val="2581023D"/>
    <w:rsid w:val="25D54218"/>
    <w:rsid w:val="271F43EB"/>
    <w:rsid w:val="27291D3C"/>
    <w:rsid w:val="278F12D5"/>
    <w:rsid w:val="28015CBF"/>
    <w:rsid w:val="293831D9"/>
    <w:rsid w:val="29870A7B"/>
    <w:rsid w:val="2A723D57"/>
    <w:rsid w:val="2CB35BFD"/>
    <w:rsid w:val="2E15761A"/>
    <w:rsid w:val="2E415028"/>
    <w:rsid w:val="2E6320CF"/>
    <w:rsid w:val="2F0F7CE0"/>
    <w:rsid w:val="2F42453F"/>
    <w:rsid w:val="2F981608"/>
    <w:rsid w:val="30E75980"/>
    <w:rsid w:val="30EF0B2B"/>
    <w:rsid w:val="31932231"/>
    <w:rsid w:val="328A602D"/>
    <w:rsid w:val="32ED35B5"/>
    <w:rsid w:val="34C80084"/>
    <w:rsid w:val="34CC16A6"/>
    <w:rsid w:val="34F52DDD"/>
    <w:rsid w:val="36623F88"/>
    <w:rsid w:val="36922DEE"/>
    <w:rsid w:val="37D401E6"/>
    <w:rsid w:val="37F71CB4"/>
    <w:rsid w:val="38AF27AC"/>
    <w:rsid w:val="398D3261"/>
    <w:rsid w:val="399E1563"/>
    <w:rsid w:val="3A972170"/>
    <w:rsid w:val="3AFF4DB3"/>
    <w:rsid w:val="3C9B725E"/>
    <w:rsid w:val="3F8B1AB8"/>
    <w:rsid w:val="3F8E0F64"/>
    <w:rsid w:val="40345499"/>
    <w:rsid w:val="404D2E6A"/>
    <w:rsid w:val="41A4409D"/>
    <w:rsid w:val="41C81CA4"/>
    <w:rsid w:val="42045DA7"/>
    <w:rsid w:val="433D58D4"/>
    <w:rsid w:val="43D34043"/>
    <w:rsid w:val="4570001D"/>
    <w:rsid w:val="45AC7090"/>
    <w:rsid w:val="45F2047A"/>
    <w:rsid w:val="46844435"/>
    <w:rsid w:val="46A366C4"/>
    <w:rsid w:val="46D819D8"/>
    <w:rsid w:val="47590512"/>
    <w:rsid w:val="4780414A"/>
    <w:rsid w:val="48800FDF"/>
    <w:rsid w:val="49DA5DBD"/>
    <w:rsid w:val="4A1F3ACB"/>
    <w:rsid w:val="4A3202F8"/>
    <w:rsid w:val="4A944917"/>
    <w:rsid w:val="4AA44E50"/>
    <w:rsid w:val="4D34628B"/>
    <w:rsid w:val="4E763E03"/>
    <w:rsid w:val="4F2E7DA3"/>
    <w:rsid w:val="4FDF2830"/>
    <w:rsid w:val="4FEF0214"/>
    <w:rsid w:val="507806B4"/>
    <w:rsid w:val="50DD0CA4"/>
    <w:rsid w:val="51BE6B01"/>
    <w:rsid w:val="51DF4ECA"/>
    <w:rsid w:val="535E2CD2"/>
    <w:rsid w:val="53850C5C"/>
    <w:rsid w:val="541451B1"/>
    <w:rsid w:val="543C6D9A"/>
    <w:rsid w:val="545D10BF"/>
    <w:rsid w:val="547C5053"/>
    <w:rsid w:val="54EC5566"/>
    <w:rsid w:val="54FE47BE"/>
    <w:rsid w:val="553602B6"/>
    <w:rsid w:val="557A4E03"/>
    <w:rsid w:val="55C670E4"/>
    <w:rsid w:val="5639083A"/>
    <w:rsid w:val="57A93998"/>
    <w:rsid w:val="590B03B2"/>
    <w:rsid w:val="5A391F3A"/>
    <w:rsid w:val="5A3F1349"/>
    <w:rsid w:val="5A95678F"/>
    <w:rsid w:val="5AD41E9A"/>
    <w:rsid w:val="5B1F30C6"/>
    <w:rsid w:val="5C4A055F"/>
    <w:rsid w:val="5CB81822"/>
    <w:rsid w:val="5CDE04A3"/>
    <w:rsid w:val="5CDF6C4E"/>
    <w:rsid w:val="5D4D5E25"/>
    <w:rsid w:val="5D864B01"/>
    <w:rsid w:val="5D9E2459"/>
    <w:rsid w:val="5DC34B65"/>
    <w:rsid w:val="60495EFF"/>
    <w:rsid w:val="6071652F"/>
    <w:rsid w:val="607B3C22"/>
    <w:rsid w:val="60F95299"/>
    <w:rsid w:val="610D6C6A"/>
    <w:rsid w:val="61B6776D"/>
    <w:rsid w:val="62524C81"/>
    <w:rsid w:val="627D0BF8"/>
    <w:rsid w:val="636C1FDE"/>
    <w:rsid w:val="64B220D3"/>
    <w:rsid w:val="64B37A57"/>
    <w:rsid w:val="660151D4"/>
    <w:rsid w:val="683729EF"/>
    <w:rsid w:val="69A3078B"/>
    <w:rsid w:val="69D86A98"/>
    <w:rsid w:val="69FB4E19"/>
    <w:rsid w:val="6C4F675C"/>
    <w:rsid w:val="6C614625"/>
    <w:rsid w:val="6D6C1BA6"/>
    <w:rsid w:val="6EF46FD0"/>
    <w:rsid w:val="707663F2"/>
    <w:rsid w:val="71645AD6"/>
    <w:rsid w:val="72BB532C"/>
    <w:rsid w:val="739F2496"/>
    <w:rsid w:val="749B5614"/>
    <w:rsid w:val="74C17679"/>
    <w:rsid w:val="752C7F2E"/>
    <w:rsid w:val="7864312B"/>
    <w:rsid w:val="792974B9"/>
    <w:rsid w:val="7935303A"/>
    <w:rsid w:val="7C2E6C9F"/>
    <w:rsid w:val="7CE46880"/>
    <w:rsid w:val="7DF80203"/>
    <w:rsid w:val="7E9A1812"/>
    <w:rsid w:val="7F162E8D"/>
    <w:rsid w:val="7F365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character" w:default="1" w:styleId="13">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qFormat/>
    <w:uiPriority w:val="0"/>
    <w:pPr>
      <w:spacing w:after="120"/>
    </w:pPr>
  </w:style>
  <w:style w:type="paragraph" w:styleId="5">
    <w:name w:val="caption"/>
    <w:basedOn w:val="1"/>
    <w:next w:val="1"/>
    <w:qFormat/>
    <w:uiPriority w:val="0"/>
    <w:rPr>
      <w:rFonts w:ascii="Arial" w:hAnsi="Arial" w:eastAsia="黑体" w:cs="Arial"/>
      <w:sz w:val="20"/>
      <w:szCs w:val="20"/>
    </w:rPr>
  </w:style>
  <w:style w:type="paragraph" w:styleId="6">
    <w:name w:val="Block Text"/>
    <w:basedOn w:val="1"/>
    <w:qFormat/>
    <w:uiPriority w:val="0"/>
    <w:pPr>
      <w:ind w:left="1440" w:leftChars="700" w:right="700" w:rightChars="700"/>
    </w:pPr>
  </w:style>
  <w:style w:type="paragraph" w:styleId="7">
    <w:name w:val="Plain Text"/>
    <w:basedOn w:val="1"/>
    <w:qFormat/>
    <w:uiPriority w:val="0"/>
    <w:rPr>
      <w:rFonts w:eastAsia="宋体"/>
      <w:sz w:val="24"/>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rPr>
      <w:rFonts w:ascii="Calibri" w:hAnsi="Calibri" w:eastAsia="宋体" w:cs="Times New Roman"/>
      <w:sz w:val="24"/>
    </w:r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00"/>
      <w:u w:val="none"/>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3"/>
    <w:link w:val="9"/>
    <w:qFormat/>
    <w:uiPriority w:val="0"/>
    <w:rPr>
      <w:kern w:val="2"/>
      <w:sz w:val="18"/>
      <w:szCs w:val="18"/>
    </w:rPr>
  </w:style>
  <w:style w:type="character" w:customStyle="1" w:styleId="20">
    <w:name w:val="页脚 Char"/>
    <w:basedOn w:val="13"/>
    <w:link w:val="8"/>
    <w:qFormat/>
    <w:uiPriority w:val="0"/>
    <w:rPr>
      <w:kern w:val="2"/>
      <w:sz w:val="18"/>
      <w:szCs w:val="18"/>
    </w:rPr>
  </w:style>
  <w:style w:type="paragraph" w:customStyle="1" w:styleId="21">
    <w:name w:val="普通(网站)1"/>
    <w:basedOn w:val="1"/>
    <w:qFormat/>
    <w:uiPriority w:val="0"/>
    <w:rPr>
      <w:rFonts w:ascii="Calibri" w:hAnsi="Calibri" w:eastAsia="宋体" w:cs="Times New Roman"/>
      <w:sz w:val="24"/>
    </w:rPr>
  </w:style>
  <w:style w:type="paragraph" w:styleId="22">
    <w:name w:val="List Paragraph"/>
    <w:basedOn w:val="1"/>
    <w:unhideWhenUsed/>
    <w:qFormat/>
    <w:uiPriority w:val="99"/>
    <w:pPr>
      <w:ind w:firstLine="420" w:firstLineChars="200"/>
    </w:pPr>
  </w:style>
  <w:style w:type="character" w:customStyle="1" w:styleId="23">
    <w:name w:val="red2"/>
    <w:basedOn w:val="13"/>
    <w:qFormat/>
    <w:uiPriority w:val="0"/>
    <w:rPr>
      <w:color w:val="FF0000"/>
    </w:rPr>
  </w:style>
  <w:style w:type="character" w:customStyle="1" w:styleId="24">
    <w:name w:val="blue"/>
    <w:basedOn w:val="13"/>
    <w:qFormat/>
    <w:uiPriority w:val="0"/>
    <w:rPr>
      <w:color w:val="0371C6"/>
      <w:sz w:val="16"/>
      <w:szCs w:val="16"/>
    </w:rPr>
  </w:style>
  <w:style w:type="character" w:customStyle="1" w:styleId="25">
    <w:name w:val="font01"/>
    <w:basedOn w:val="13"/>
    <w:qFormat/>
    <w:uiPriority w:val="0"/>
    <w:rPr>
      <w:rFonts w:hint="eastAsia" w:ascii="宋体" w:hAnsi="宋体" w:eastAsia="宋体" w:cs="宋体"/>
      <w:color w:val="000000"/>
      <w:sz w:val="21"/>
      <w:szCs w:val="21"/>
      <w:u w:val="none"/>
    </w:rPr>
  </w:style>
  <w:style w:type="character" w:customStyle="1" w:styleId="26">
    <w:name w:val="hover"/>
    <w:basedOn w:val="13"/>
    <w:qFormat/>
    <w:uiPriority w:val="0"/>
  </w:style>
  <w:style w:type="character" w:customStyle="1" w:styleId="27">
    <w:name w:val="right"/>
    <w:basedOn w:val="13"/>
    <w:qFormat/>
    <w:uiPriority w:val="0"/>
    <w:rPr>
      <w:color w:val="999999"/>
      <w:sz w:val="14"/>
      <w:szCs w:val="14"/>
    </w:rPr>
  </w:style>
  <w:style w:type="character" w:customStyle="1" w:styleId="28">
    <w:name w:val="red"/>
    <w:basedOn w:val="13"/>
    <w:qFormat/>
    <w:uiPriority w:val="0"/>
    <w:rPr>
      <w:color w:val="FF0000"/>
      <w:sz w:val="14"/>
      <w:szCs w:val="14"/>
    </w:rPr>
  </w:style>
  <w:style w:type="character" w:customStyle="1" w:styleId="29">
    <w:name w:val="gb-jt"/>
    <w:basedOn w:val="13"/>
    <w:qFormat/>
    <w:uiPriority w:val="0"/>
  </w:style>
  <w:style w:type="character" w:customStyle="1" w:styleId="30">
    <w:name w:val="green"/>
    <w:basedOn w:val="13"/>
    <w:qFormat/>
    <w:uiPriority w:val="0"/>
    <w:rPr>
      <w:color w:val="66AE00"/>
      <w:sz w:val="14"/>
      <w:szCs w:val="14"/>
    </w:rPr>
  </w:style>
  <w:style w:type="character" w:customStyle="1" w:styleId="31">
    <w:name w:val="green1"/>
    <w:basedOn w:val="13"/>
    <w:qFormat/>
    <w:uiPriority w:val="0"/>
    <w:rPr>
      <w:color w:val="66AE00"/>
      <w:sz w:val="14"/>
      <w:szCs w:val="14"/>
    </w:rPr>
  </w:style>
  <w:style w:type="character" w:customStyle="1" w:styleId="32">
    <w:name w:val="red1"/>
    <w:basedOn w:val="13"/>
    <w:qFormat/>
    <w:uiPriority w:val="0"/>
    <w:rPr>
      <w:color w:val="FF0000"/>
      <w:sz w:val="14"/>
      <w:szCs w:val="14"/>
    </w:rPr>
  </w:style>
  <w:style w:type="character" w:customStyle="1" w:styleId="33">
    <w:name w:val="font21"/>
    <w:basedOn w:val="13"/>
    <w:qFormat/>
    <w:uiPriority w:val="0"/>
    <w:rPr>
      <w:rFonts w:hint="eastAsia" w:ascii="仿宋" w:hAnsi="仿宋" w:eastAsia="仿宋" w:cs="仿宋"/>
      <w:color w:val="000000"/>
      <w:sz w:val="21"/>
      <w:szCs w:val="21"/>
      <w:u w:val="none"/>
    </w:rPr>
  </w:style>
  <w:style w:type="paragraph" w:customStyle="1" w:styleId="34">
    <w:name w:val="正文文本缩进1"/>
    <w:basedOn w:val="1"/>
    <w:qFormat/>
    <w:uiPriority w:val="0"/>
    <w:pPr>
      <w:spacing w:line="360" w:lineRule="auto"/>
      <w:ind w:firstLine="480" w:firstLineChars="200"/>
    </w:pPr>
    <w:rPr>
      <w:rFonts w:ascii="宋体" w:hAnsi="Calibri" w:eastAsia="宋体" w:cs="Times New Roman"/>
      <w:sz w:val="24"/>
      <w:szCs w:val="22"/>
    </w:rPr>
  </w:style>
  <w:style w:type="paragraph" w:customStyle="1" w:styleId="3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6">
    <w:name w:val="纯文本1"/>
    <w:basedOn w:val="1"/>
    <w:qFormat/>
    <w:uiPriority w:val="0"/>
    <w:rPr>
      <w:rFonts w:ascii="Calibri" w:hAnsi="Calibri" w:eastAsia="宋体" w:cs="Times New Roman"/>
      <w:sz w:val="24"/>
      <w:szCs w:val="22"/>
    </w:rPr>
  </w:style>
  <w:style w:type="paragraph" w:customStyle="1" w:styleId="37">
    <w:name w:val="日期1"/>
    <w:basedOn w:val="1"/>
    <w:next w:val="1"/>
    <w:qFormat/>
    <w:uiPriority w:val="0"/>
    <w:rPr>
      <w:rFonts w:ascii="Calibri" w:hAnsi="Calibri" w:eastAsia="宋体" w:cs="Times New Roman"/>
      <w:sz w:val="24"/>
      <w:szCs w:val="22"/>
    </w:rPr>
  </w:style>
  <w:style w:type="paragraph" w:customStyle="1" w:styleId="38">
    <w:name w:val="样式1"/>
    <w:basedOn w:val="1"/>
    <w:qFormat/>
    <w:uiPriority w:val="0"/>
    <w:pPr>
      <w:numPr>
        <w:ilvl w:val="0"/>
        <w:numId w:val="1"/>
      </w:numPr>
      <w:tabs>
        <w:tab w:val="left" w:pos="709"/>
      </w:tabs>
      <w:adjustRightInd w:val="0"/>
      <w:textAlignment w:val="baseline"/>
    </w:pPr>
    <w:rPr>
      <w:rFonts w:ascii="宋体" w:hAnsi="宋体" w:eastAsia="宋体" w:cs="Times New Roman"/>
      <w:kern w:val="0"/>
      <w:szCs w:val="21"/>
    </w:rPr>
  </w:style>
  <w:style w:type="paragraph" w:customStyle="1" w:styleId="39">
    <w:name w:val="二级条标题"/>
    <w:basedOn w:val="40"/>
    <w:next w:val="41"/>
    <w:qFormat/>
    <w:uiPriority w:val="0"/>
    <w:pPr>
      <w:outlineLvl w:val="3"/>
    </w:pPr>
  </w:style>
  <w:style w:type="paragraph" w:customStyle="1" w:styleId="40">
    <w:name w:val="一级条标题"/>
    <w:next w:val="41"/>
    <w:qFormat/>
    <w:uiPriority w:val="0"/>
    <w:pPr>
      <w:spacing w:beforeLines="50" w:afterLines="50"/>
      <w:ind w:left="2552"/>
      <w:outlineLvl w:val="2"/>
    </w:pPr>
    <w:rPr>
      <w:rFonts w:ascii="黑体" w:eastAsia="黑体" w:cs="黑体" w:hAnsiTheme="minorHAnsi"/>
      <w:kern w:val="2"/>
      <w:sz w:val="21"/>
      <w:szCs w:val="21"/>
      <w:lang w:val="en-US" w:eastAsia="zh-CN" w:bidi="ar-SA"/>
    </w:rPr>
  </w:style>
  <w:style w:type="paragraph" w:customStyle="1" w:styleId="41">
    <w:name w:val="段"/>
    <w:qFormat/>
    <w:uiPriority w:val="0"/>
    <w:pPr>
      <w:tabs>
        <w:tab w:val="center" w:pos="4201"/>
        <w:tab w:val="right" w:leader="dot" w:pos="9298"/>
      </w:tabs>
      <w:autoSpaceDE w:val="0"/>
      <w:autoSpaceDN w:val="0"/>
      <w:spacing w:beforeLines="50" w:afterLines="50"/>
      <w:ind w:firstLine="420" w:firstLineChars="200"/>
      <w:jc w:val="both"/>
    </w:pPr>
    <w:rPr>
      <w:rFonts w:ascii="宋体" w:hAnsi="Times New Roman" w:eastAsia="宋体" w:cs="宋体"/>
      <w:sz w:val="21"/>
      <w:szCs w:val="21"/>
      <w:lang w:val="en-US" w:eastAsia="zh-CN" w:bidi="ar-SA"/>
    </w:rPr>
  </w:style>
  <w:style w:type="paragraph" w:customStyle="1" w:styleId="42">
    <w:name w:val="三级条标题"/>
    <w:basedOn w:val="39"/>
    <w:next w:val="1"/>
    <w:qFormat/>
    <w:uiPriority w:val="0"/>
    <w:pPr>
      <w:outlineLvl w:val="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许昌市公共资源</Company>
  <Pages>20</Pages>
  <Words>11862</Words>
  <Characters>1226</Characters>
  <Lines>10</Lines>
  <Paragraphs>26</Paragraphs>
  <TotalTime>16</TotalTime>
  <ScaleCrop>false</ScaleCrop>
  <LinksUpToDate>false</LinksUpToDate>
  <CharactersWithSpaces>13062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2018-04-20T07:58:00Z</dcterms:created>
  <dc:creator>Administrator</dc:creator>
  <cp:lastModifiedBy>嫃寶栤</cp:lastModifiedBy>
  <cp:lastPrinted>2018-07-23T10:01:00Z</cp:lastPrinted>
  <dcterms:modified xsi:type="dcterms:W3CDTF">2018-07-25T02:51:05Z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