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8"/>
          <w:szCs w:val="48"/>
        </w:rPr>
      </w:pPr>
      <w:r>
        <w:rPr>
          <w:rFonts w:hint="eastAsia" w:ascii="宋体" w:hAnsi="宋体" w:eastAsia="宋体" w:cs="宋体"/>
          <w:sz w:val="48"/>
          <w:szCs w:val="48"/>
        </w:rPr>
        <w:t>JZFCG-G2018057号许昌市东城区教育局“南海街小学教学及办公用品采购项目”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微软简隶书" w:eastAsia="微软简隶书"/>
        </w:rPr>
      </w:pPr>
      <w:r>
        <w:rPr>
          <w:rFonts w:hAnsi="宋体" w:cs="宋体"/>
        </w:rPr>
        <w:drawing>
          <wp:inline distT="0" distB="0" distL="0" distR="0">
            <wp:extent cx="2183130" cy="1943100"/>
            <wp:effectExtent l="19050" t="0" r="762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5" cstate="print"/>
                    <a:srcRect/>
                    <a:stretch>
                      <a:fillRect/>
                    </a:stretch>
                  </pic:blipFill>
                  <pic:spPr>
                    <a:xfrm>
                      <a:off x="0" y="0"/>
                      <a:ext cx="2183130" cy="1943100"/>
                    </a:xfrm>
                    <a:prstGeom prst="rect">
                      <a:avLst/>
                    </a:prstGeom>
                    <a:noFill/>
                    <a:ln w="9525">
                      <a:noFill/>
                      <a:miter lim="800000"/>
                      <a:headEnd/>
                      <a:tailEnd/>
                    </a:ln>
                  </pic:spPr>
                </pic:pic>
              </a:graphicData>
            </a:graphic>
          </wp:inline>
        </w:drawing>
      </w:r>
    </w:p>
    <w:p>
      <w:pPr>
        <w:rPr>
          <w:rFonts w:ascii="微软简隶书" w:eastAsia="微软简隶书"/>
        </w:rPr>
      </w:pPr>
    </w:p>
    <w:p>
      <w:pPr>
        <w:rPr>
          <w:rFonts w:ascii="微软简隶书" w:eastAsia="微软简隶书"/>
        </w:rPr>
      </w:pPr>
    </w:p>
    <w:p>
      <w:pPr>
        <w:rPr>
          <w:rFonts w:hint="eastAsia" w:ascii="微软简隶书" w:eastAsia="微软简隶书"/>
        </w:rPr>
      </w:pPr>
    </w:p>
    <w:p>
      <w:pPr>
        <w:rPr>
          <w:rFonts w:ascii="微软简隶书" w:eastAsia="微软简隶书"/>
        </w:rPr>
      </w:pPr>
    </w:p>
    <w:p>
      <w:pPr>
        <w:rPr>
          <w:rFonts w:hint="eastAsia"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项目编号：JZFCG-G2018057号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2"/>
          <w:szCs w:val="32"/>
        </w:rPr>
        <w:t>许昌市东城区教育局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代理机构：中科华水工程管理有限公司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二〇一八年七月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21"/>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（一）项目名称：南海街小学教学及办公用品采购项目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（二）项目编号：JZFCG-G2018057号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1"/>
        <w:widowControl/>
        <w:shd w:val="clear" w:color="auto" w:fill="FFFFFF"/>
        <w:spacing w:line="360" w:lineRule="auto"/>
        <w:ind w:firstLine="420"/>
        <w:contextualSpacing/>
        <w:jc w:val="left"/>
        <w:rPr>
          <w:rFonts w:asciiTheme="minorEastAsia" w:hAnsiTheme="minorEastAsia" w:eastAsiaTheme="minorEastAsia" w:cstheme="minorEastAsia"/>
          <w:shd w:val="clear" w:color="auto" w:fill="FFFFFF"/>
        </w:rPr>
      </w:pPr>
      <w:r>
        <w:rPr>
          <w:rFonts w:hint="eastAsia" w:cs="仿宋_GB2312" w:asciiTheme="minorEastAsia" w:hAnsiTheme="minorEastAsia" w:eastAsiaTheme="minorEastAsia"/>
          <w:shd w:val="clear" w:color="auto" w:fill="FFFFFF"/>
        </w:rPr>
        <w:t>（四）项目主要内容、数量及要求：A包：教学及学生生活用品采购；B包：空调及饮水设备采购；C包：智能教学设备采购。</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（五）预算金额(最高限价)：</w:t>
      </w:r>
      <w:r>
        <w:rPr>
          <w:rFonts w:hint="eastAsia" w:ascii="宋体" w:hAnsi="宋体" w:cs="仿宋_GB2312"/>
          <w:shd w:val="clear" w:color="auto" w:fill="FFFFFF"/>
        </w:rPr>
        <w:t>A包：898400元；B包：583994元；C包：791139元</w:t>
      </w:r>
      <w:r>
        <w:rPr>
          <w:rFonts w:hint="eastAsia" w:cs="仿宋_GB2312" w:asciiTheme="minorEastAsia" w:hAnsiTheme="minorEastAsia" w:eastAsiaTheme="minorEastAsia"/>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cs="仿宋_GB2312" w:asciiTheme="minorEastAsia" w:hAnsiTheme="minorEastAsia" w:eastAsiaTheme="minorEastAsia"/>
          <w:shd w:val="clear" w:color="auto" w:fill="FFFFFF"/>
        </w:rPr>
        <w:t>（六）交付（服务、完工）时间：</w:t>
      </w:r>
      <w:r>
        <w:rPr>
          <w:rFonts w:hint="eastAsia" w:cs="仿宋_GB2312" w:asciiTheme="minorEastAsia" w:hAnsiTheme="minorEastAsia" w:eastAsiaTheme="minorEastAsia"/>
          <w:shd w:val="clear" w:color="auto" w:fill="FFFFFF"/>
        </w:rPr>
        <w:t>合同签订后10日历天</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rPr>
        <w:t>七</w:t>
      </w:r>
      <w:r>
        <w:rPr>
          <w:rFonts w:cs="仿宋_GB2312" w:asciiTheme="minorEastAsia" w:hAnsiTheme="minorEastAsia" w:eastAsiaTheme="minorEastAsia"/>
          <w:shd w:val="clear" w:color="auto" w:fill="FFFFFF"/>
        </w:rPr>
        <w:t>）交付（服务、施工）地点：</w:t>
      </w:r>
      <w:r>
        <w:rPr>
          <w:rFonts w:hint="eastAsia" w:cs="仿宋_GB2312" w:asciiTheme="minorEastAsia" w:hAnsiTheme="minorEastAsia" w:eastAsiaTheme="minorEastAsia"/>
          <w:shd w:val="clear" w:color="auto" w:fill="FFFFFF"/>
        </w:rPr>
        <w:t xml:space="preserve"> 南海街小学</w:t>
      </w:r>
    </w:p>
    <w:p>
      <w:pPr>
        <w:pStyle w:val="21"/>
        <w:widowControl/>
        <w:shd w:val="clear" w:color="auto" w:fill="FFFFFF"/>
        <w:spacing w:line="360" w:lineRule="auto"/>
        <w:ind w:firstLine="420"/>
        <w:contextualSpacing/>
        <w:jc w:val="left"/>
        <w:rPr>
          <w:rFonts w:cs="黑体" w:asciiTheme="minorEastAsia" w:hAnsiTheme="minorEastAsia" w:eastAsiaTheme="minorEastAsia"/>
          <w:bCs/>
          <w:shd w:val="clear" w:color="auto" w:fill="FFFFFF"/>
        </w:rPr>
      </w:pPr>
      <w:r>
        <w:rPr>
          <w:rFonts w:hint="eastAsia" w:cs="黑体" w:asciiTheme="minorEastAsia" w:hAnsiTheme="minorEastAsia" w:eastAsiaTheme="minorEastAsia"/>
          <w:bCs/>
          <w:shd w:val="clear" w:color="auto" w:fill="FFFFFF"/>
        </w:rPr>
        <w:t>（八）进口产品：不允许</w:t>
      </w:r>
    </w:p>
    <w:p>
      <w:pPr>
        <w:pStyle w:val="21"/>
        <w:widowControl/>
        <w:shd w:val="clear" w:color="auto" w:fill="FFFFFF"/>
        <w:spacing w:line="360" w:lineRule="auto"/>
        <w:ind w:firstLine="420"/>
        <w:contextualSpacing/>
        <w:jc w:val="left"/>
        <w:rPr>
          <w:rFonts w:cs="黑体" w:asciiTheme="minorEastAsia" w:hAnsiTheme="minorEastAsia" w:eastAsiaTheme="minorEastAsia"/>
          <w:bCs/>
          <w:shd w:val="clear" w:color="auto" w:fill="FFFFFF"/>
        </w:rPr>
      </w:pPr>
      <w:r>
        <w:rPr>
          <w:rFonts w:hint="eastAsia" w:cs="黑体" w:asciiTheme="minorEastAsia" w:hAnsiTheme="minorEastAsia" w:eastAsiaTheme="minorEastAsia"/>
          <w:bCs/>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ascii="宋体" w:hAnsi="宋体" w:cs="仿宋_GB2312"/>
          <w:u w:val="single"/>
          <w:shd w:val="clear" w:color="auto" w:fill="FFFFFF"/>
        </w:rPr>
        <w:t>监狱企业</w:t>
      </w:r>
      <w:r>
        <w:rPr>
          <w:rFonts w:hint="eastAsia" w:ascii="宋体" w:hAnsi="宋体" w:cs="仿宋_GB2312"/>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（一）符合《政府采购法》第二十二条第一款规定；</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w:t>
      </w:r>
      <w:r>
        <w:rPr>
          <w:rFonts w:cs="仿宋_GB2312" w:asciiTheme="minorEastAsia" w:hAnsiTheme="minorEastAsia"/>
          <w:shd w:val="clear" w:color="auto" w:fill="FFFFFF"/>
        </w:rPr>
        <w:t xml:space="preserve"> </w:t>
      </w:r>
      <w:r>
        <w:rPr>
          <w:rFonts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中国政府采购网</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 xml:space="preserve"> (www.ccgp.gov.cn)政府采购严重违法失信行为记录名单的投标人</w:t>
      </w:r>
      <w:r>
        <w:rPr>
          <w:rFonts w:hint="eastAsia" w:cs="仿宋_GB2312" w:asciiTheme="minorEastAsia" w:hAnsiTheme="minorEastAsia" w:eastAsiaTheme="minorEastAsia"/>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（一）投标截止及开标时间：2018年</w:t>
      </w:r>
      <w:r>
        <w:rPr>
          <w:rFonts w:hint="eastAsia" w:cs="仿宋_GB2312" w:asciiTheme="minorEastAsia" w:hAnsiTheme="minorEastAsia" w:eastAsiaTheme="minorEastAsia"/>
          <w:u w:val="single"/>
        </w:rPr>
        <w:t>8</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rPr>
        <w:t xml:space="preserve"> 14 </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rPr>
        <w:t>10</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rPr>
        <w:t>30</w:t>
      </w:r>
      <w:r>
        <w:rPr>
          <w:rFonts w:hint="eastAsia" w:cs="仿宋_GB2312" w:asciiTheme="minorEastAsia" w:hAnsiTheme="minorEastAsia" w:eastAsiaTheme="minorEastAsia"/>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rPr>
        <w:t xml:space="preserve"> 四 </w:t>
      </w:r>
      <w:r>
        <w:rPr>
          <w:rFonts w:hint="eastAsia" w:cs="仿宋_GB2312" w:asciiTheme="minorEastAsia" w:hAnsiTheme="minorEastAsia" w:eastAsiaTheme="minorEastAsia"/>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2、纸质投标文件（正本1份、副本2份）和备份文件1份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采购人：许昌市东城区教育局</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址：许昌市新兴路东段</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联系人：谢文凯           联系电话：13837485998</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代理机构：中科华水工程管理有限公司</w:t>
      </w:r>
    </w:p>
    <w:p>
      <w:pPr>
        <w:pStyle w:val="21"/>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w:t>
      </w:r>
      <w:r>
        <w:rPr>
          <w:rFonts w:ascii="宋体" w:hAnsi="宋体" w:cs="仿宋_GB2312"/>
        </w:rPr>
        <w:t>  </w:t>
      </w:r>
      <w:r>
        <w:rPr>
          <w:rFonts w:hint="eastAsia" w:ascii="宋体" w:hAnsi="宋体" w:cs="仿宋_GB2312"/>
        </w:rPr>
        <w:t>址：郑州市金水区金成时代广场9号楼18层</w:t>
      </w:r>
    </w:p>
    <w:p>
      <w:pPr>
        <w:pStyle w:val="21"/>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ascii="宋体" w:hAnsi="宋体" w:cs="仿宋_GB2312"/>
        </w:rPr>
        <w:t>联</w:t>
      </w:r>
      <w:r>
        <w:rPr>
          <w:rFonts w:ascii="宋体" w:hAnsi="宋体" w:cs="仿宋_GB2312"/>
        </w:rPr>
        <w:t xml:space="preserve"> </w:t>
      </w:r>
      <w:r>
        <w:rPr>
          <w:rFonts w:hint="eastAsia" w:ascii="宋体" w:hAnsi="宋体" w:cs="仿宋_GB2312"/>
        </w:rPr>
        <w:t>系</w:t>
      </w:r>
      <w:r>
        <w:rPr>
          <w:rFonts w:ascii="宋体" w:hAnsi="宋体" w:cs="仿宋_GB2312"/>
        </w:rPr>
        <w:t xml:space="preserve"> </w:t>
      </w:r>
      <w:r>
        <w:rPr>
          <w:rFonts w:hint="eastAsia" w:ascii="宋体" w:hAnsi="宋体" w:cs="仿宋_GB2312"/>
        </w:rPr>
        <w:t>人：杨女士</w:t>
      </w:r>
      <w:r>
        <w:rPr>
          <w:rFonts w:ascii="宋体" w:hAnsi="宋体" w:cs="仿宋_GB2312"/>
        </w:rPr>
        <w:tab/>
      </w:r>
      <w:r>
        <w:rPr>
          <w:rFonts w:hint="eastAsia" w:ascii="宋体" w:hAnsi="宋体" w:cs="仿宋_GB2312"/>
        </w:rPr>
        <w:t xml:space="preserve">       联系电话：</w:t>
      </w:r>
      <w:r>
        <w:rPr>
          <w:rFonts w:ascii="宋体" w:hAnsi="宋体" w:cs="仿宋_GB2312"/>
        </w:rPr>
        <w:t>0374-</w:t>
      </w:r>
      <w:r>
        <w:rPr>
          <w:rFonts w:hint="eastAsia" w:ascii="宋体" w:hAnsi="宋体" w:cs="仿宋_GB2312"/>
        </w:rPr>
        <w:t>2665899</w:t>
      </w:r>
    </w:p>
    <w:p>
      <w:pPr>
        <w:autoSpaceDE w:val="0"/>
        <w:autoSpaceDN w:val="0"/>
        <w:adjustRightInd w:val="0"/>
        <w:spacing w:line="700" w:lineRule="exact"/>
        <w:ind w:firstLine="560"/>
        <w:jc w:val="right"/>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许昌市东城区教育局</w:t>
      </w:r>
    </w:p>
    <w:p>
      <w:pPr>
        <w:wordWrap w:val="0"/>
        <w:autoSpaceDE w:val="0"/>
        <w:autoSpaceDN w:val="0"/>
        <w:adjustRightInd w:val="0"/>
        <w:spacing w:line="700" w:lineRule="exact"/>
        <w:ind w:firstLine="560"/>
        <w:jc w:val="right"/>
        <w:rPr>
          <w:rFonts w:hAnsi="宋体"/>
          <w:b/>
          <w:sz w:val="28"/>
          <w:szCs w:val="28"/>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2018</w:t>
      </w:r>
      <w:r>
        <w:rPr>
          <w:rFonts w:hint="eastAsia" w:cs="仿宋_GB2312" w:asciiTheme="minorEastAsia" w:hAnsiTheme="minorEastAsia"/>
          <w:sz w:val="24"/>
          <w:szCs w:val="24"/>
        </w:rPr>
        <w:t>年</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24</w:t>
      </w:r>
      <w:bookmarkStart w:id="13" w:name="_GoBack"/>
      <w:bookmarkEnd w:id="13"/>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pStyle w:val="2"/>
        <w:ind w:firstLine="340"/>
      </w:pP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项目需求</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本项目需实现的功能或者目标</w:t>
      </w:r>
    </w:p>
    <w:p>
      <w:pPr>
        <w:spacing w:line="360" w:lineRule="auto"/>
        <w:ind w:firstLine="475" w:firstLineChars="198"/>
        <w:contextualSpacing/>
        <w:rPr>
          <w:rFonts w:cs="黑体" w:asciiTheme="minorEastAsia" w:hAnsiTheme="minorEastAsia"/>
          <w:b/>
          <w:bCs/>
          <w:sz w:val="24"/>
          <w:szCs w:val="24"/>
          <w:shd w:val="clear" w:color="auto" w:fill="FFFFFF"/>
        </w:rPr>
      </w:pPr>
      <w:r>
        <w:rPr>
          <w:rFonts w:hint="eastAsia" w:ascii="宋体" w:hAnsi="宋体" w:eastAsia="宋体" w:cs="宋体"/>
          <w:kern w:val="0"/>
          <w:sz w:val="24"/>
          <w:szCs w:val="24"/>
        </w:rPr>
        <w:t>A包：教学及学生生活用品采购；B包：空调及饮水设备采购；C包：智能教学设备采购</w:t>
      </w:r>
      <w:r>
        <w:rPr>
          <w:rFonts w:hint="eastAsia" w:ascii="宋体" w:hAnsi="宋体" w:cs="宋体"/>
          <w:kern w:val="0"/>
          <w:sz w:val="24"/>
          <w:szCs w:val="24"/>
        </w:rPr>
        <w:t>。</w:t>
      </w:r>
    </w:p>
    <w:p>
      <w:pPr>
        <w:spacing w:line="360" w:lineRule="auto"/>
        <w:ind w:firstLine="477" w:firstLineChars="198"/>
        <w:contextualSpacing/>
        <w:rPr>
          <w:rFonts w:ascii="宋体" w:hAnsi="宋体" w:cs="宋体"/>
          <w:b/>
          <w:bCs/>
          <w:kern w:val="0"/>
          <w:sz w:val="24"/>
          <w:shd w:val="clear" w:color="auto" w:fill="FFFFFF"/>
        </w:rPr>
      </w:pPr>
      <w:r>
        <w:rPr>
          <w:rFonts w:hint="eastAsia" w:ascii="宋体" w:hAnsi="宋体" w:cs="宋体"/>
          <w:b/>
          <w:bCs/>
          <w:kern w:val="0"/>
          <w:sz w:val="24"/>
          <w:shd w:val="clear" w:color="auto" w:fill="FFFFFF"/>
        </w:rPr>
        <w:t>二、采购清单</w:t>
      </w:r>
    </w:p>
    <w:p>
      <w:pPr>
        <w:widowControl/>
        <w:shd w:val="clear" w:color="auto" w:fill="FFFFFF"/>
        <w:spacing w:line="520" w:lineRule="exact"/>
        <w:ind w:firstLine="42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A 包：</w:t>
      </w:r>
    </w:p>
    <w:tbl>
      <w:tblPr>
        <w:tblStyle w:val="28"/>
        <w:tblW w:w="11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08"/>
        <w:gridCol w:w="6500"/>
        <w:gridCol w:w="846"/>
        <w:gridCol w:w="73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38" w:type="dxa"/>
            <w:vAlign w:val="center"/>
          </w:tcPr>
          <w:p>
            <w:pPr>
              <w:widowControl/>
              <w:jc w:val="left"/>
              <w:rPr>
                <w:rFonts w:ascii="仿宋" w:hAnsi="仿宋" w:eastAsia="仿宋" w:cs="宋体"/>
                <w:b/>
                <w:kern w:val="0"/>
                <w:szCs w:val="21"/>
              </w:rPr>
            </w:pPr>
            <w:r>
              <w:rPr>
                <w:rFonts w:hint="eastAsia" w:ascii="仿宋" w:hAnsi="仿宋" w:eastAsia="仿宋" w:cs="宋体"/>
                <w:b/>
                <w:kern w:val="0"/>
                <w:szCs w:val="21"/>
              </w:rPr>
              <w:t>序号</w:t>
            </w:r>
          </w:p>
        </w:tc>
        <w:tc>
          <w:tcPr>
            <w:tcW w:w="1208"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货物名称</w:t>
            </w:r>
          </w:p>
        </w:tc>
        <w:tc>
          <w:tcPr>
            <w:tcW w:w="6500"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规格参数</w:t>
            </w:r>
          </w:p>
        </w:tc>
        <w:tc>
          <w:tcPr>
            <w:tcW w:w="846"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数量</w:t>
            </w:r>
          </w:p>
        </w:tc>
        <w:tc>
          <w:tcPr>
            <w:tcW w:w="737"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单位</w:t>
            </w:r>
          </w:p>
        </w:tc>
        <w:tc>
          <w:tcPr>
            <w:tcW w:w="1071"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课桌凳</w:t>
            </w:r>
          </w:p>
        </w:tc>
        <w:tc>
          <w:tcPr>
            <w:tcW w:w="6500" w:type="dxa"/>
            <w:vAlign w:val="center"/>
          </w:tcPr>
          <w:p>
            <w:pPr>
              <w:widowControl/>
              <w:spacing w:after="240"/>
              <w:jc w:val="left"/>
              <w:rPr>
                <w:rFonts w:ascii="仿宋" w:hAnsi="仿宋" w:eastAsia="仿宋" w:cs="宋体"/>
                <w:kern w:val="0"/>
                <w:szCs w:val="21"/>
              </w:rPr>
            </w:pPr>
            <w:r>
              <w:rPr>
                <w:rFonts w:hint="eastAsia" w:ascii="仿宋" w:hAnsi="仿宋" w:eastAsia="仿宋" w:cs="宋体"/>
                <w:kern w:val="0"/>
                <w:szCs w:val="21"/>
              </w:rPr>
              <w:t>必要功能：单人课桌凳（一桌一凳为一套）；一、主要技术指标：★1、课桌整体尺寸：≥600mm×400mm×790mm（750 mm），钢木结构，单人课桌。</w:t>
            </w:r>
            <w:r>
              <w:rPr>
                <w:rFonts w:hint="eastAsia" w:ascii="仿宋" w:hAnsi="仿宋" w:eastAsia="仿宋" w:cs="宋体"/>
                <w:kern w:val="0"/>
                <w:szCs w:val="21"/>
              </w:rPr>
              <w:br w:type="textWrapping"/>
            </w:r>
            <w:r>
              <w:rPr>
                <w:rFonts w:hint="eastAsia" w:ascii="仿宋" w:hAnsi="仿宋" w:eastAsia="仿宋" w:cs="宋体"/>
                <w:kern w:val="0"/>
                <w:szCs w:val="21"/>
              </w:rPr>
              <w:t>★2、桌面材质选用高频热压成型高密度板，无接口注塑成型。表面为防火贴面，颜色为白橡木，大小600mm×400mm，厚度≥18mm，四周边沿到达24mm，桌面四角为过度弧形。桌面固定在上层桌撑上。</w:t>
            </w:r>
            <w:r>
              <w:rPr>
                <w:rFonts w:hint="eastAsia" w:ascii="仿宋" w:hAnsi="仿宋" w:eastAsia="仿宋" w:cs="宋体"/>
                <w:kern w:val="0"/>
                <w:szCs w:val="21"/>
              </w:rPr>
              <w:br w:type="textWrapping"/>
            </w:r>
            <w:r>
              <w:rPr>
                <w:rFonts w:hint="eastAsia" w:ascii="仿宋" w:hAnsi="仿宋" w:eastAsia="仿宋" w:cs="宋体"/>
                <w:kern w:val="0"/>
                <w:szCs w:val="21"/>
              </w:rPr>
              <w:t>★3、桌架为直立四柱结构，有上、中、下3层桌撑，下层桌撑由左右2根短撑与中间1根长撑组成“工”字型连接，长撑位置需在桌面深的2/3处（坐人侧为起始点），下层桌撑距离地面50mm（±5mm）。桌架整体焊接成型（须为满焊）；桌架用外径不小于25mm×25mm/30mm×30mm的Q235方钢管制作，钢管壁厚≥1.2mm。</w:t>
            </w:r>
            <w:r>
              <w:rPr>
                <w:rFonts w:hint="eastAsia" w:ascii="仿宋" w:hAnsi="仿宋" w:eastAsia="仿宋" w:cs="宋体"/>
                <w:kern w:val="0"/>
                <w:szCs w:val="21"/>
              </w:rPr>
              <w:br w:type="textWrapping"/>
            </w:r>
            <w:r>
              <w:rPr>
                <w:rFonts w:hint="eastAsia" w:ascii="仿宋" w:hAnsi="仿宋" w:eastAsia="仿宋" w:cs="宋体"/>
                <w:kern w:val="0"/>
                <w:szCs w:val="21"/>
              </w:rPr>
              <w:t>★4、课桌屉箱尺寸：≥420mm（宽）×350mm（深）×140mm（高）；屉箱由箱底板、裙板与桌架焊接而成；屉箱底板、裙板材质为优质冷轧钢板。屉箱底板应有不少于两道加强筋和一道横梁（纵梁）以增强屉箱承重能力。</w:t>
            </w:r>
            <w:r>
              <w:rPr>
                <w:rFonts w:hint="eastAsia" w:ascii="仿宋" w:hAnsi="仿宋" w:eastAsia="仿宋" w:cs="宋体"/>
                <w:kern w:val="0"/>
                <w:szCs w:val="21"/>
              </w:rPr>
              <w:br w:type="textWrapping"/>
            </w:r>
            <w:r>
              <w:rPr>
                <w:rFonts w:hint="eastAsia" w:ascii="仿宋" w:hAnsi="仿宋" w:eastAsia="仿宋" w:cs="宋体"/>
                <w:kern w:val="0"/>
                <w:szCs w:val="21"/>
              </w:rPr>
              <w:t>★5、桌腿底端需安装护脚，采用外套式PP工程塑料注塑成型（护脚底端与地面之间的塑料厚度不小于10mm，底面带有防滑纹），安装牢固。</w:t>
            </w:r>
            <w:r>
              <w:rPr>
                <w:rFonts w:hint="eastAsia" w:ascii="仿宋" w:hAnsi="仿宋" w:eastAsia="仿宋" w:cs="宋体"/>
                <w:kern w:val="0"/>
                <w:szCs w:val="21"/>
              </w:rPr>
              <w:br w:type="textWrapping"/>
            </w:r>
            <w:r>
              <w:rPr>
                <w:rFonts w:hint="eastAsia" w:ascii="仿宋" w:hAnsi="仿宋" w:eastAsia="仿宋" w:cs="宋体"/>
                <w:kern w:val="0"/>
                <w:szCs w:val="21"/>
              </w:rPr>
              <w:t>6、桌面板与桌架组装后，牢固、可靠。桌面板与桌架组装时采用穿透丝防滑螺母、安装后稳固安全防挂。</w:t>
            </w:r>
            <w:r>
              <w:rPr>
                <w:rFonts w:hint="eastAsia" w:ascii="仿宋" w:hAnsi="仿宋" w:eastAsia="仿宋" w:cs="宋体"/>
                <w:kern w:val="0"/>
                <w:szCs w:val="21"/>
              </w:rPr>
              <w:br w:type="textWrapping"/>
            </w:r>
            <w:r>
              <w:rPr>
                <w:rFonts w:hint="eastAsia" w:ascii="仿宋" w:hAnsi="仿宋" w:eastAsia="仿宋" w:cs="宋体"/>
                <w:kern w:val="0"/>
                <w:szCs w:val="21"/>
              </w:rPr>
              <w:t>7、钢材（板）表层先用物理除锈，之后进行静电喷塑处理，涂层均匀牢固，无流挂、气泡等缺陷。</w:t>
            </w:r>
            <w:r>
              <w:rPr>
                <w:rFonts w:hint="eastAsia" w:ascii="仿宋" w:hAnsi="仿宋" w:eastAsia="仿宋" w:cs="宋体"/>
                <w:kern w:val="0"/>
                <w:szCs w:val="21"/>
              </w:rPr>
              <w:br w:type="textWrapping"/>
            </w:r>
            <w:r>
              <w:rPr>
                <w:rFonts w:hint="eastAsia" w:ascii="仿宋" w:hAnsi="仿宋" w:eastAsia="仿宋" w:cs="宋体"/>
                <w:kern w:val="0"/>
                <w:szCs w:val="21"/>
              </w:rPr>
              <w:t>8、桌子一侧配备一个书挂钩</w:t>
            </w:r>
          </w:p>
          <w:p>
            <w:pPr>
              <w:jc w:val="left"/>
              <w:rPr>
                <w:rFonts w:ascii="仿宋" w:hAnsi="仿宋" w:eastAsia="仿宋" w:cs="宋体"/>
                <w:kern w:val="0"/>
                <w:szCs w:val="21"/>
              </w:rPr>
            </w:pPr>
            <w:r>
              <w:rPr>
                <w:rFonts w:hint="eastAsia" w:ascii="仿宋" w:hAnsi="仿宋" w:eastAsia="仿宋" w:cs="宋体"/>
                <w:kern w:val="0"/>
                <w:szCs w:val="21"/>
              </w:rPr>
              <w:t>二、单人钢木学生凳</w:t>
            </w:r>
            <w:r>
              <w:rPr>
                <w:rFonts w:hint="eastAsia" w:ascii="仿宋" w:hAnsi="仿宋" w:eastAsia="仿宋" w:cs="宋体"/>
                <w:kern w:val="0"/>
                <w:szCs w:val="21"/>
              </w:rPr>
              <w:br w:type="textWrapping"/>
            </w:r>
            <w:r>
              <w:rPr>
                <w:rFonts w:hint="eastAsia" w:ascii="仿宋" w:hAnsi="仿宋" w:eastAsia="仿宋" w:cs="宋体"/>
                <w:kern w:val="0"/>
                <w:szCs w:val="21"/>
              </w:rPr>
              <w:t>★1、学生凳尺寸：≥330mm×240mm×490mm（450 mm）（高）；学生凳与课桌的高差必须保持在300mm（±10mm）；凳面采用多层板（颜色与桌面一致），镶嵌于凳框架内，凳面大小：330mm×240mm（允许误差±10mm），厚度≥18mm。</w:t>
            </w:r>
            <w:r>
              <w:rPr>
                <w:rFonts w:hint="eastAsia" w:ascii="仿宋" w:hAnsi="仿宋" w:eastAsia="仿宋" w:cs="宋体"/>
                <w:kern w:val="0"/>
                <w:szCs w:val="21"/>
              </w:rPr>
              <w:br w:type="textWrapping"/>
            </w:r>
            <w:r>
              <w:rPr>
                <w:rFonts w:hint="eastAsia" w:ascii="仿宋" w:hAnsi="仿宋" w:eastAsia="仿宋" w:cs="宋体"/>
                <w:kern w:val="0"/>
                <w:szCs w:val="21"/>
              </w:rPr>
              <w:t>★2、凳腿、凳撑均采用≥25mm×25mm的Q235方钢管，壁厚≥1.2mm；凳架由上下两层凳撑（纵横双撑）与凳腿（四立柱）焊接（满焊）而成。</w:t>
            </w:r>
            <w:r>
              <w:rPr>
                <w:rFonts w:hint="eastAsia" w:ascii="仿宋" w:hAnsi="仿宋" w:eastAsia="仿宋" w:cs="宋体"/>
                <w:kern w:val="0"/>
                <w:szCs w:val="21"/>
              </w:rPr>
              <w:br w:type="textWrapping"/>
            </w:r>
            <w:r>
              <w:rPr>
                <w:rFonts w:hint="eastAsia" w:ascii="仿宋" w:hAnsi="仿宋" w:eastAsia="仿宋" w:cs="宋体"/>
                <w:kern w:val="0"/>
                <w:szCs w:val="21"/>
              </w:rPr>
              <w:t>★3、凳腿底端需安装内镶外套式护脚，护脚底端与地面之间的塑料厚度不小于10mm，底端有防滑纹，采用外套式PP工程塑料注塑成型，安装牢固。</w:t>
            </w:r>
            <w:r>
              <w:rPr>
                <w:rFonts w:hint="eastAsia" w:ascii="仿宋" w:hAnsi="仿宋" w:eastAsia="仿宋" w:cs="宋体"/>
                <w:kern w:val="0"/>
                <w:szCs w:val="21"/>
              </w:rPr>
              <w:br w:type="textWrapping"/>
            </w:r>
            <w:r>
              <w:rPr>
                <w:rFonts w:hint="eastAsia" w:ascii="仿宋" w:hAnsi="仿宋" w:eastAsia="仿宋" w:cs="宋体"/>
                <w:kern w:val="0"/>
                <w:szCs w:val="21"/>
              </w:rPr>
              <w:t>4、钢材表层先进行物理除锈，再作静电喷塑处理，涂层均匀牢固，无流挂、气泡等缺陷。</w:t>
            </w:r>
            <w:r>
              <w:rPr>
                <w:rFonts w:hint="eastAsia" w:ascii="仿宋" w:hAnsi="仿宋" w:eastAsia="仿宋" w:cs="宋体"/>
                <w:kern w:val="0"/>
                <w:szCs w:val="21"/>
              </w:rPr>
              <w:br w:type="textWrapping"/>
            </w:r>
            <w:r>
              <w:rPr>
                <w:rFonts w:hint="eastAsia" w:ascii="仿宋" w:hAnsi="仿宋" w:eastAsia="仿宋" w:cs="宋体"/>
                <w:kern w:val="0"/>
                <w:szCs w:val="21"/>
              </w:rPr>
              <w:t>5、学生凳组装后，应牢固、可靠，凳面与凳架之间安装采用穿透丝防滑螺母、安装后稳固安全防挂。   6、所有焊接处均必须为满焊。</w:t>
            </w:r>
            <w:r>
              <w:rPr>
                <w:rFonts w:hint="eastAsia" w:ascii="仿宋" w:hAnsi="仿宋" w:eastAsia="仿宋" w:cs="宋体"/>
                <w:kern w:val="0"/>
                <w:szCs w:val="21"/>
              </w:rPr>
              <w:br w:type="textWrapping"/>
            </w:r>
            <w:r>
              <w:rPr>
                <w:rFonts w:hint="eastAsia" w:ascii="仿宋" w:hAnsi="仿宋" w:eastAsia="仿宋" w:cs="宋体"/>
                <w:kern w:val="0"/>
                <w:szCs w:val="21"/>
              </w:rPr>
              <w:t>三、所有焊接处均必须为满焊。</w:t>
            </w:r>
            <w:r>
              <w:rPr>
                <w:rFonts w:hint="eastAsia" w:ascii="仿宋" w:hAnsi="仿宋" w:eastAsia="仿宋" w:cs="宋体"/>
                <w:kern w:val="0"/>
                <w:szCs w:val="21"/>
              </w:rPr>
              <w:br w:type="textWrapping"/>
            </w:r>
            <w:r>
              <w:rPr>
                <w:rFonts w:hint="eastAsia" w:ascii="仿宋" w:hAnsi="仿宋" w:eastAsia="仿宋" w:cs="宋体"/>
                <w:kern w:val="0"/>
                <w:szCs w:val="21"/>
              </w:rPr>
              <w:t>四、上述课桌凳材料、工艺、表面理化性能、力学性能、有害物质限量等方面都必须符合《学校课桌椅功能尺寸》（GB/T 3976）、《课桌椅》（QB/T 4071-2010）等相关国家标准或行业标准。</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1980</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讲桌</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1.2</w:t>
            </w:r>
            <w:r>
              <w:rPr>
                <w:rFonts w:hint="eastAsia" w:ascii="仿宋" w:hAnsi="仿宋" w:eastAsia="仿宋" w:cs="宋体"/>
                <w:kern w:val="0"/>
                <w:szCs w:val="21"/>
              </w:rPr>
              <w:t>米</w:t>
            </w:r>
            <w:r>
              <w:rPr>
                <w:rFonts w:ascii="仿宋" w:hAnsi="仿宋" w:eastAsia="仿宋" w:cs="宋体"/>
                <w:kern w:val="0"/>
                <w:szCs w:val="21"/>
              </w:rPr>
              <w:t>x0.5</w:t>
            </w:r>
            <w:r>
              <w:rPr>
                <w:rFonts w:hint="eastAsia" w:ascii="仿宋" w:hAnsi="仿宋" w:eastAsia="仿宋" w:cs="宋体"/>
                <w:kern w:val="0"/>
                <w:szCs w:val="21"/>
              </w:rPr>
              <w:t>米</w:t>
            </w:r>
            <w:r>
              <w:rPr>
                <w:rFonts w:ascii="仿宋" w:hAnsi="仿宋" w:eastAsia="仿宋" w:cs="宋体"/>
                <w:kern w:val="0"/>
                <w:szCs w:val="21"/>
              </w:rPr>
              <w:t>x1.15</w:t>
            </w:r>
            <w:r>
              <w:rPr>
                <w:rFonts w:hint="eastAsia" w:ascii="仿宋" w:hAnsi="仿宋" w:eastAsia="仿宋" w:cs="宋体"/>
                <w:kern w:val="0"/>
                <w:szCs w:val="21"/>
              </w:rPr>
              <w:t>米</w:t>
            </w:r>
            <w:r>
              <w:rPr>
                <w:rFonts w:ascii="仿宋" w:hAnsi="仿宋" w:eastAsia="仿宋" w:cs="宋体"/>
                <w:kern w:val="0"/>
                <w:szCs w:val="21"/>
              </w:rPr>
              <w:t>;</w:t>
            </w:r>
            <w:r>
              <w:rPr>
                <w:rFonts w:hint="eastAsia" w:ascii="仿宋" w:hAnsi="仿宋" w:eastAsia="仿宋" w:cs="宋体"/>
                <w:kern w:val="0"/>
                <w:szCs w:val="21"/>
              </w:rPr>
              <w:t>实木柜架，水曲柳三合板双包，柚木色，环保油漆</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办公桌</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1.4</w:t>
            </w:r>
            <w:r>
              <w:rPr>
                <w:rFonts w:hint="eastAsia" w:ascii="仿宋" w:hAnsi="仿宋" w:eastAsia="仿宋" w:cs="宋体"/>
                <w:kern w:val="0"/>
                <w:szCs w:val="21"/>
              </w:rPr>
              <w:t>米</w:t>
            </w:r>
            <w:r>
              <w:rPr>
                <w:rFonts w:ascii="仿宋" w:hAnsi="仿宋" w:eastAsia="仿宋" w:cs="宋体"/>
                <w:kern w:val="0"/>
                <w:szCs w:val="21"/>
              </w:rPr>
              <w:t>x0.7</w:t>
            </w:r>
            <w:r>
              <w:rPr>
                <w:rFonts w:hint="eastAsia" w:ascii="仿宋" w:hAnsi="仿宋" w:eastAsia="仿宋" w:cs="宋体"/>
                <w:kern w:val="0"/>
                <w:szCs w:val="21"/>
              </w:rPr>
              <w:t>米</w:t>
            </w:r>
            <w:r>
              <w:rPr>
                <w:rFonts w:ascii="仿宋" w:hAnsi="仿宋" w:eastAsia="仿宋" w:cs="宋体"/>
                <w:kern w:val="0"/>
                <w:szCs w:val="21"/>
              </w:rPr>
              <w:t>;</w:t>
            </w:r>
            <w:r>
              <w:rPr>
                <w:rFonts w:hint="eastAsia" w:ascii="仿宋" w:hAnsi="仿宋" w:eastAsia="仿宋" w:cs="宋体"/>
                <w:kern w:val="0"/>
                <w:szCs w:val="21"/>
              </w:rPr>
              <w:t>高密度板，胡桃木板皮饰面，环保油漆，高档五金配件</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80</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张</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办公椅</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实木，西皮饰面，高弹重质海绵，胡桃色</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80</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文件柜</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★85厘米x39厘米x180厘米;优质冷轧钢，厚度0.6毫米</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40</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双层床</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必要功能：学生用双层床；                                                                                                         ★1.整体尺寸：2000mm(长)×900mm(宽)×1800mm（高)上下两层。</w:t>
            </w:r>
            <w:r>
              <w:rPr>
                <w:rFonts w:hint="eastAsia" w:ascii="仿宋" w:hAnsi="仿宋" w:eastAsia="仿宋" w:cs="宋体"/>
                <w:kern w:val="0"/>
                <w:szCs w:val="21"/>
              </w:rPr>
              <w:br w:type="textWrapping"/>
            </w:r>
            <w:r>
              <w:rPr>
                <w:rFonts w:hint="eastAsia" w:ascii="仿宋" w:hAnsi="仿宋" w:eastAsia="仿宋" w:cs="宋体"/>
                <w:kern w:val="0"/>
                <w:szCs w:val="21"/>
              </w:rPr>
              <w:t>★2.立柱采用40mm×40mm方管,厚≥1.2mm。床头横拉撑采用25mm×25mm方管,厚≥1.2mm，床头立柱采用20mm×20mm方管,厚1.0mm。</w:t>
            </w:r>
            <w:r>
              <w:rPr>
                <w:rFonts w:hint="eastAsia" w:ascii="仿宋" w:hAnsi="仿宋" w:eastAsia="仿宋" w:cs="宋体"/>
                <w:kern w:val="0"/>
                <w:szCs w:val="21"/>
              </w:rPr>
              <w:br w:type="textWrapping"/>
            </w:r>
            <w:r>
              <w:rPr>
                <w:rFonts w:hint="eastAsia" w:ascii="仿宋" w:hAnsi="仿宋" w:eastAsia="仿宋" w:cs="宋体"/>
                <w:kern w:val="0"/>
                <w:szCs w:val="21"/>
              </w:rPr>
              <w:t>★3.床框采用25mm×50mm方管,厚≥1.2mm  钢管为方型以起到床板可放罝到床框的上面，増加床板的安全性。床框横撑25mm×25mm方管,厚≥1.0mm，床撑为 5根。</w:t>
            </w:r>
            <w:r>
              <w:rPr>
                <w:rFonts w:hint="eastAsia" w:ascii="仿宋" w:hAnsi="仿宋" w:eastAsia="仿宋" w:cs="宋体"/>
                <w:kern w:val="0"/>
                <w:szCs w:val="21"/>
              </w:rPr>
              <w:br w:type="textWrapping"/>
            </w:r>
            <w:r>
              <w:rPr>
                <w:rFonts w:hint="eastAsia" w:ascii="仿宋" w:hAnsi="仿宋" w:eastAsia="仿宋" w:cs="宋体"/>
                <w:kern w:val="0"/>
                <w:szCs w:val="21"/>
              </w:rPr>
              <w:t>★4.爬梯采用25mm×25mm方管厚≥1. 0mm ，爬梯横撑三步均带有弧形防滑踏板，厚≥1. 2mm，床梯采用长为300mm,宽60mm,厚度为1.5mm,双圆弧梯子踏板，外加注塑防滑踏板。</w:t>
            </w:r>
            <w:r>
              <w:rPr>
                <w:rFonts w:hint="eastAsia" w:ascii="仿宋" w:hAnsi="仿宋" w:eastAsia="仿宋" w:cs="宋体"/>
                <w:kern w:val="0"/>
                <w:szCs w:val="21"/>
              </w:rPr>
              <w:br w:type="textWrapping"/>
            </w:r>
            <w:r>
              <w:rPr>
                <w:rFonts w:hint="eastAsia" w:ascii="仿宋" w:hAnsi="仿宋" w:eastAsia="仿宋" w:cs="宋体"/>
                <w:kern w:val="0"/>
                <w:szCs w:val="21"/>
              </w:rPr>
              <w:t>★5.上铺安全护栏采用25mm×25mm方管厚≥1. 2mm，护栏高250mm，长1150mm，中间设有三根立柱。</w:t>
            </w:r>
            <w:r>
              <w:rPr>
                <w:rFonts w:hint="eastAsia" w:ascii="仿宋" w:hAnsi="仿宋" w:eastAsia="仿宋" w:cs="宋体"/>
                <w:kern w:val="0"/>
                <w:szCs w:val="21"/>
              </w:rPr>
              <w:br w:type="textWrapping"/>
            </w:r>
            <w:r>
              <w:rPr>
                <w:rFonts w:hint="eastAsia" w:ascii="仿宋" w:hAnsi="仿宋" w:eastAsia="仿宋" w:cs="宋体"/>
                <w:kern w:val="0"/>
                <w:szCs w:val="21"/>
              </w:rPr>
              <w:t>★6.床板采用优质多层板，厚度不小于16mm（不少于九层），结实耐用。</w:t>
            </w:r>
            <w:r>
              <w:rPr>
                <w:rFonts w:hint="eastAsia" w:ascii="仿宋" w:hAnsi="仿宋" w:eastAsia="仿宋" w:cs="宋体"/>
                <w:kern w:val="0"/>
                <w:szCs w:val="21"/>
              </w:rPr>
              <w:br w:type="textWrapping"/>
            </w:r>
            <w:r>
              <w:rPr>
                <w:rFonts w:hint="eastAsia" w:ascii="仿宋" w:hAnsi="仿宋" w:eastAsia="仿宋" w:cs="宋体"/>
                <w:kern w:val="0"/>
                <w:szCs w:val="21"/>
              </w:rPr>
              <w:t>★7. 床护脚套:床上下段需安装內镶护脚,护脚底端与地面之间的塑料厚度不小于8毫米,采用外套式pp工程塑料注塑成型，外围厚度不小于3毫米，底端为防滑波浪，安装牢固。</w:t>
            </w:r>
            <w:r>
              <w:rPr>
                <w:rFonts w:hint="eastAsia" w:ascii="仿宋" w:hAnsi="仿宋" w:eastAsia="仿宋" w:cs="宋体"/>
                <w:kern w:val="0"/>
                <w:szCs w:val="21"/>
              </w:rPr>
              <w:br w:type="textWrapping"/>
            </w:r>
            <w:r>
              <w:rPr>
                <w:rFonts w:hint="eastAsia" w:ascii="仿宋" w:hAnsi="仿宋" w:eastAsia="仿宋" w:cs="宋体"/>
                <w:kern w:val="0"/>
                <w:szCs w:val="21"/>
              </w:rPr>
              <w:t>8.工艺流程：钢材厚度采用国标优质钢管。经过抛丸机打沙处理，均采用二氧化碳保护焊技术，焊接要满焊，焊接流畅，无焊渣、无错位、焊瘤、穿焊、假焊。经流水线静电高温喷涂，顔色：灰白色。整套床人性化设计。整体喷塑，无气泡、无流挂。</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800</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张</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7"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单层床</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★1.整体尺寸：2000mm(长)×900mm(宽)×880mm（高)单层。</w:t>
            </w:r>
            <w:r>
              <w:rPr>
                <w:rFonts w:hint="eastAsia" w:ascii="仿宋" w:hAnsi="仿宋" w:eastAsia="仿宋" w:cs="宋体"/>
                <w:kern w:val="0"/>
                <w:szCs w:val="21"/>
              </w:rPr>
              <w:br w:type="textWrapping"/>
            </w:r>
            <w:r>
              <w:rPr>
                <w:rFonts w:hint="eastAsia" w:ascii="仿宋" w:hAnsi="仿宋" w:eastAsia="仿宋" w:cs="宋体"/>
                <w:kern w:val="0"/>
                <w:szCs w:val="21"/>
              </w:rPr>
              <w:t>2.床框上边沿离地400mm 床框与床头连接采用取挂式连接件连接  床头带塑料弯</w:t>
            </w:r>
            <w:r>
              <w:rPr>
                <w:rFonts w:hint="eastAsia" w:ascii="仿宋" w:hAnsi="仿宋" w:eastAsia="仿宋" w:cs="宋体"/>
                <w:kern w:val="0"/>
                <w:szCs w:val="21"/>
              </w:rPr>
              <w:br w:type="textWrapping"/>
            </w:r>
            <w:r>
              <w:rPr>
                <w:rFonts w:hint="eastAsia" w:ascii="仿宋" w:hAnsi="仿宋" w:eastAsia="仿宋" w:cs="宋体"/>
                <w:kern w:val="0"/>
                <w:szCs w:val="21"/>
              </w:rPr>
              <w:t>★3.立柱采用45mm×45mm方管,厚≥1.2mm。床头横拉撑采用25mm×25mm方管,厚≥1.0mm，床头立柱采用Φ22mm圆管, 辅管采用15mm×30mm椭圆管,厚1.0mm。</w:t>
            </w:r>
            <w:r>
              <w:rPr>
                <w:rFonts w:hint="eastAsia" w:ascii="仿宋" w:hAnsi="仿宋" w:eastAsia="仿宋" w:cs="宋体"/>
                <w:kern w:val="0"/>
                <w:szCs w:val="21"/>
              </w:rPr>
              <w:br w:type="textWrapping"/>
            </w:r>
            <w:r>
              <w:rPr>
                <w:rFonts w:hint="eastAsia" w:ascii="仿宋" w:hAnsi="仿宋" w:eastAsia="仿宋" w:cs="宋体"/>
                <w:kern w:val="0"/>
                <w:szCs w:val="21"/>
              </w:rPr>
              <w:t>★4.床框采用30mm×50mm方管,厚≥1.2mm  钢管为方型以起到床板可放罝到床框的上面，増加床板的安全性。床框横撑25mm×25mm方管,厚≥1.0mm，床撑为 5根。</w:t>
            </w:r>
            <w:r>
              <w:rPr>
                <w:rFonts w:hint="eastAsia" w:ascii="仿宋" w:hAnsi="仿宋" w:eastAsia="仿宋" w:cs="宋体"/>
                <w:kern w:val="0"/>
                <w:szCs w:val="21"/>
              </w:rPr>
              <w:br w:type="textWrapping"/>
            </w:r>
            <w:r>
              <w:rPr>
                <w:rFonts w:hint="eastAsia" w:ascii="仿宋" w:hAnsi="仿宋" w:eastAsia="仿宋" w:cs="宋体"/>
                <w:kern w:val="0"/>
                <w:szCs w:val="21"/>
              </w:rPr>
              <w:t>★5.床板采用优质多层板，厚度不小于16mm（不少于九层），结实耐用。</w:t>
            </w:r>
            <w:r>
              <w:rPr>
                <w:rFonts w:hint="eastAsia" w:ascii="仿宋" w:hAnsi="仿宋" w:eastAsia="仿宋" w:cs="宋体"/>
                <w:kern w:val="0"/>
                <w:szCs w:val="21"/>
              </w:rPr>
              <w:br w:type="textWrapping"/>
            </w:r>
            <w:r>
              <w:rPr>
                <w:rFonts w:hint="eastAsia" w:ascii="仿宋" w:hAnsi="仿宋" w:eastAsia="仿宋" w:cs="宋体"/>
                <w:kern w:val="0"/>
                <w:szCs w:val="21"/>
              </w:rPr>
              <w:t>★6.床护脚套:床上下段需安装护脚，底端与地面之间的塑料厚度不小于8毫米,采用内套式pp工程塑料注塑成型，外围厚度不小于3毫米，底端为防滑波浪，安装牢固。</w:t>
            </w:r>
            <w:r>
              <w:rPr>
                <w:rFonts w:hint="eastAsia" w:ascii="仿宋" w:hAnsi="仿宋" w:eastAsia="仿宋" w:cs="宋体"/>
                <w:kern w:val="0"/>
                <w:szCs w:val="21"/>
              </w:rPr>
              <w:br w:type="textWrapping"/>
            </w:r>
            <w:r>
              <w:rPr>
                <w:rFonts w:hint="eastAsia" w:ascii="仿宋" w:hAnsi="仿宋" w:eastAsia="仿宋" w:cs="宋体"/>
                <w:kern w:val="0"/>
                <w:szCs w:val="21"/>
              </w:rPr>
              <w:t>7.工艺流程：钢材厚度采用国标优质钢管。经过抛丸机打沙处理，均采用二氧化碳保护焊技术，焊接要满焊，焊接流畅，无焊渣、无错位、焊瘤、穿焊、假焊。经流水线静电高温喷涂，顔色：灰白色。整套床人性化设计。整体喷塑，无气泡、无流挂</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张</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加厚遮光布</w:t>
            </w:r>
          </w:p>
        </w:tc>
        <w:tc>
          <w:tcPr>
            <w:tcW w:w="650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800</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加厚铝合金轨道</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280</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63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1208"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加厚防晒布带</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800</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bl>
    <w:p>
      <w:pPr>
        <w:widowControl/>
        <w:shd w:val="clear" w:color="auto" w:fill="FFFFFF"/>
        <w:spacing w:line="520" w:lineRule="exact"/>
        <w:ind w:firstLine="42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B包：</w:t>
      </w:r>
    </w:p>
    <w:tbl>
      <w:tblPr>
        <w:tblStyle w:val="28"/>
        <w:tblW w:w="11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19"/>
        <w:gridCol w:w="6500"/>
        <w:gridCol w:w="846"/>
        <w:gridCol w:w="73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427" w:type="dxa"/>
            <w:vAlign w:val="center"/>
          </w:tcPr>
          <w:p>
            <w:pPr>
              <w:widowControl/>
              <w:jc w:val="left"/>
              <w:rPr>
                <w:rFonts w:ascii="仿宋" w:hAnsi="仿宋" w:eastAsia="仿宋" w:cs="宋体"/>
                <w:b/>
                <w:kern w:val="0"/>
                <w:szCs w:val="21"/>
              </w:rPr>
            </w:pPr>
            <w:r>
              <w:rPr>
                <w:rFonts w:hint="eastAsia" w:ascii="仿宋" w:hAnsi="仿宋" w:eastAsia="仿宋" w:cs="宋体"/>
                <w:b/>
                <w:kern w:val="0"/>
                <w:szCs w:val="21"/>
              </w:rPr>
              <w:t>序号</w:t>
            </w:r>
          </w:p>
        </w:tc>
        <w:tc>
          <w:tcPr>
            <w:tcW w:w="1419"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货物名称</w:t>
            </w:r>
          </w:p>
        </w:tc>
        <w:tc>
          <w:tcPr>
            <w:tcW w:w="6500"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规格参数</w:t>
            </w:r>
          </w:p>
        </w:tc>
        <w:tc>
          <w:tcPr>
            <w:tcW w:w="846"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数量</w:t>
            </w:r>
          </w:p>
        </w:tc>
        <w:tc>
          <w:tcPr>
            <w:tcW w:w="737"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单位</w:t>
            </w:r>
          </w:p>
        </w:tc>
        <w:tc>
          <w:tcPr>
            <w:tcW w:w="1071"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35壁挂式空调</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 制冷类型：冷暖；匹数：2匹；定频；能效等级：三级；电辅加热功率（W）：1000；适用面积（平方米）：16~24；制冷量（W）：3500；制冷功率（W）：1068；制热量（W）：3850；制热功率（W）：1120。</w:t>
            </w:r>
            <w:r>
              <w:rPr>
                <w:rFonts w:ascii="仿宋" w:hAnsi="仿宋" w:eastAsia="仿宋" w:cs="宋体"/>
                <w:kern w:val="0"/>
                <w:szCs w:val="21"/>
              </w:rPr>
              <w:t xml:space="preserve"> </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50立柜式空调</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 制冷类型：冷暖；匹数：2匹；定频；能效等级：三级；电辅加热功率（W）：1800；适用面积（平方米）：23~34；制冷量（W）：5150；制冷功率（W）：1620；制热量（W）：5810；制热功率（W）：1620。</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37</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1071" w:type="dxa"/>
            <w:vAlign w:val="center"/>
          </w:tcPr>
          <w:p>
            <w:pPr>
              <w:jc w:val="cente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72立柜式空调</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★制冷类型：冷暖；匹数：3匹；定频；能效等级：三级；电辅加热功率（W）：2100；适用面积（平方米）：32~50；制冷量（W）：7200；制冷功率（W）：2340；制热量（W）：7800；制热功率（W）：2350。</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74</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1071" w:type="dxa"/>
            <w:vAlign w:val="center"/>
          </w:tcPr>
          <w:p>
            <w:pPr>
              <w:jc w:val="cente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120立柜式空调</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★制冷类型：冷暖；匹数：5匹；定频；能效等级：三级；电辅加热功率（W）：3500；适用面积（平方米）：55~85；制冷量（W）：12000；制冷功率（W）：3930；制热量（W）：12500；制热功率（W）：3800；</w:t>
            </w:r>
            <w:r>
              <w:rPr>
                <w:rFonts w:ascii="仿宋" w:hAnsi="仿宋" w:eastAsia="仿宋" w:cs="宋体"/>
                <w:kern w:val="0"/>
                <w:szCs w:val="21"/>
              </w:rPr>
              <w:t xml:space="preserve"> </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1071" w:type="dxa"/>
            <w:vAlign w:val="center"/>
          </w:tcPr>
          <w:p>
            <w:pPr>
              <w:jc w:val="cente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饮水 设备</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1、功率：6KW</w:t>
            </w:r>
            <w:r>
              <w:rPr>
                <w:rFonts w:hint="eastAsia" w:ascii="仿宋" w:hAnsi="仿宋" w:eastAsia="仿宋" w:cs="宋体"/>
                <w:kern w:val="0"/>
                <w:szCs w:val="21"/>
              </w:rPr>
              <w:br w:type="textWrapping"/>
            </w:r>
            <w:r>
              <w:rPr>
                <w:rFonts w:hint="eastAsia" w:ascii="仿宋" w:hAnsi="仿宋" w:eastAsia="仿宋" w:cs="宋体"/>
                <w:kern w:val="0"/>
                <w:szCs w:val="21"/>
              </w:rPr>
              <w:t>2.电源：380V，50Hz</w:t>
            </w:r>
            <w:r>
              <w:rPr>
                <w:rFonts w:hint="eastAsia" w:ascii="仿宋" w:hAnsi="仿宋" w:eastAsia="仿宋" w:cs="宋体"/>
                <w:kern w:val="0"/>
                <w:szCs w:val="21"/>
              </w:rPr>
              <w:br w:type="textWrapping"/>
            </w:r>
            <w:r>
              <w:rPr>
                <w:rFonts w:hint="eastAsia" w:ascii="仿宋" w:hAnsi="仿宋" w:eastAsia="仿宋" w:cs="宋体"/>
                <w:kern w:val="0"/>
                <w:szCs w:val="21"/>
              </w:rPr>
              <w:t>3.龙头个数：6个</w:t>
            </w:r>
            <w:r>
              <w:rPr>
                <w:rFonts w:hint="eastAsia" w:ascii="仿宋" w:hAnsi="仿宋" w:eastAsia="仿宋" w:cs="宋体"/>
                <w:kern w:val="0"/>
                <w:szCs w:val="21"/>
              </w:rPr>
              <w:br w:type="textWrapping"/>
            </w:r>
            <w:r>
              <w:rPr>
                <w:rFonts w:hint="eastAsia" w:ascii="仿宋" w:hAnsi="仿宋" w:eastAsia="仿宋" w:cs="宋体"/>
                <w:kern w:val="0"/>
                <w:szCs w:val="21"/>
              </w:rPr>
              <w:t>4.水胆容量：35L</w:t>
            </w:r>
            <w:r>
              <w:rPr>
                <w:rFonts w:hint="eastAsia" w:ascii="仿宋" w:hAnsi="仿宋" w:eastAsia="仿宋" w:cs="宋体"/>
                <w:kern w:val="0"/>
                <w:szCs w:val="21"/>
              </w:rPr>
              <w:br w:type="textWrapping"/>
            </w:r>
            <w:r>
              <w:rPr>
                <w:rFonts w:hint="eastAsia" w:ascii="仿宋" w:hAnsi="仿宋" w:eastAsia="仿宋" w:cs="宋体"/>
                <w:kern w:val="0"/>
                <w:szCs w:val="21"/>
              </w:rPr>
              <w:t>5.供水量：开水60L/H,温开水350L/H，可供200人使用</w:t>
            </w:r>
            <w:r>
              <w:rPr>
                <w:rFonts w:hint="eastAsia" w:ascii="仿宋" w:hAnsi="仿宋" w:eastAsia="仿宋" w:cs="宋体"/>
                <w:kern w:val="0"/>
                <w:szCs w:val="21"/>
              </w:rPr>
              <w:br w:type="textWrapping"/>
            </w:r>
            <w:r>
              <w:rPr>
                <w:rFonts w:hint="eastAsia" w:ascii="仿宋" w:hAnsi="仿宋" w:eastAsia="仿宋" w:cs="宋体"/>
                <w:kern w:val="0"/>
                <w:szCs w:val="21"/>
              </w:rPr>
              <w:t>6.外形尺寸（cm）：188 x 41 x 110cm</w:t>
            </w:r>
            <w:r>
              <w:rPr>
                <w:rFonts w:hint="eastAsia" w:ascii="仿宋" w:hAnsi="仿宋" w:eastAsia="仿宋" w:cs="宋体"/>
                <w:kern w:val="0"/>
                <w:szCs w:val="21"/>
              </w:rPr>
              <w:br w:type="textWrapping"/>
            </w:r>
            <w:r>
              <w:rPr>
                <w:rFonts w:hint="eastAsia" w:ascii="仿宋" w:hAnsi="仿宋" w:eastAsia="仿宋" w:cs="宋体"/>
                <w:kern w:val="0"/>
                <w:szCs w:val="21"/>
              </w:rPr>
              <w:t>7.适用水压：0.05-0.6MPA，市政自来水</w:t>
            </w:r>
            <w:r>
              <w:rPr>
                <w:rFonts w:hint="eastAsia" w:ascii="仿宋" w:hAnsi="仿宋" w:eastAsia="仿宋" w:cs="宋体"/>
                <w:kern w:val="0"/>
                <w:szCs w:val="21"/>
              </w:rPr>
              <w:br w:type="textWrapping"/>
            </w:r>
            <w:r>
              <w:rPr>
                <w:rFonts w:hint="eastAsia" w:ascii="仿宋" w:hAnsi="仿宋" w:eastAsia="仿宋" w:cs="宋体"/>
                <w:kern w:val="0"/>
                <w:szCs w:val="21"/>
              </w:rPr>
              <w:t>8.铜阀芯旋转式出水龙头</w:t>
            </w:r>
            <w:r>
              <w:rPr>
                <w:rFonts w:hint="eastAsia" w:ascii="仿宋" w:hAnsi="仿宋" w:eastAsia="仿宋" w:cs="宋体"/>
                <w:kern w:val="0"/>
                <w:szCs w:val="21"/>
              </w:rPr>
              <w:br w:type="textWrapping"/>
            </w:r>
            <w:r>
              <w:rPr>
                <w:rFonts w:hint="eastAsia" w:ascii="仿宋" w:hAnsi="仿宋" w:eastAsia="仿宋" w:cs="宋体"/>
                <w:kern w:val="0"/>
                <w:szCs w:val="21"/>
              </w:rPr>
              <w:t>9.采用不锈钢发热管</w:t>
            </w:r>
            <w:r>
              <w:rPr>
                <w:rFonts w:hint="eastAsia" w:ascii="仿宋" w:hAnsi="仿宋" w:eastAsia="仿宋" w:cs="宋体"/>
                <w:kern w:val="0"/>
                <w:szCs w:val="21"/>
              </w:rPr>
              <w:br w:type="textWrapping"/>
            </w:r>
            <w:r>
              <w:rPr>
                <w:rFonts w:hint="eastAsia" w:ascii="仿宋" w:hAnsi="仿宋" w:eastAsia="仿宋" w:cs="宋体"/>
                <w:kern w:val="0"/>
                <w:szCs w:val="21"/>
              </w:rPr>
              <w:t>10.内置5级过滤系统，PP棉+颗粒活性炭+KDF+反渗透过滤+后置活性炭。</w:t>
            </w:r>
            <w:r>
              <w:rPr>
                <w:rFonts w:hint="eastAsia" w:ascii="仿宋" w:hAnsi="仿宋" w:eastAsia="仿宋" w:cs="宋体"/>
                <w:kern w:val="0"/>
                <w:szCs w:val="21"/>
              </w:rPr>
              <w:br w:type="textWrapping"/>
            </w:r>
            <w:r>
              <w:rPr>
                <w:rFonts w:hint="eastAsia" w:ascii="仿宋" w:hAnsi="仿宋" w:eastAsia="仿宋" w:cs="宋体"/>
                <w:kern w:val="0"/>
                <w:szCs w:val="21"/>
              </w:rPr>
              <w:t>11.水槽采用304不锈钢，厚度0.7mm；门板采用304不锈钢，厚度0.53mm，水胆采用304不锈钢，厚度1.0mm；热交换器采用食品级304不锈钢波纹管。</w:t>
            </w:r>
            <w:r>
              <w:rPr>
                <w:rFonts w:hint="eastAsia" w:ascii="仿宋" w:hAnsi="仿宋" w:eastAsia="仿宋" w:cs="宋体"/>
                <w:kern w:val="0"/>
                <w:szCs w:val="21"/>
              </w:rPr>
              <w:br w:type="textWrapping"/>
            </w:r>
            <w:r>
              <w:rPr>
                <w:rFonts w:hint="eastAsia" w:ascii="仿宋" w:hAnsi="仿宋" w:eastAsia="仿宋" w:cs="宋体"/>
                <w:kern w:val="0"/>
                <w:szCs w:val="21"/>
              </w:rPr>
              <w:t>12.温开水出水温度可调控到30℃—50℃范围中的某一温度。</w:t>
            </w:r>
            <w:r>
              <w:rPr>
                <w:rFonts w:hint="eastAsia" w:ascii="仿宋" w:hAnsi="仿宋" w:eastAsia="仿宋" w:cs="宋体"/>
                <w:kern w:val="0"/>
                <w:szCs w:val="21"/>
              </w:rPr>
              <w:br w:type="textWrapping"/>
            </w:r>
            <w:r>
              <w:rPr>
                <w:rFonts w:hint="eastAsia" w:ascii="仿宋" w:hAnsi="仿宋" w:eastAsia="仿宋" w:cs="宋体"/>
                <w:kern w:val="0"/>
                <w:szCs w:val="21"/>
              </w:rPr>
              <w:t>13.采用热交换技术，内外管均采用食品级304不锈钢波纹管，热力回收功能节能80%以上；水温调控不采用原水或经过净化处理的原水和热水直接混合方式。</w:t>
            </w:r>
          </w:p>
          <w:p>
            <w:pPr>
              <w:jc w:val="left"/>
              <w:rPr>
                <w:rFonts w:ascii="仿宋" w:hAnsi="仿宋" w:eastAsia="仿宋" w:cs="宋体"/>
                <w:kern w:val="0"/>
                <w:szCs w:val="21"/>
              </w:rPr>
            </w:pPr>
            <w:r>
              <w:rPr>
                <w:rFonts w:hint="eastAsia" w:ascii="仿宋" w:hAnsi="仿宋" w:eastAsia="仿宋" w:cs="宋体"/>
                <w:kern w:val="0"/>
                <w:szCs w:val="21"/>
              </w:rPr>
              <w:t>1.14.可防爆、防触电、防渗漏、防干烧、防火、防蒸汽，安全可靠。</w:t>
            </w:r>
            <w:r>
              <w:rPr>
                <w:rFonts w:hint="eastAsia" w:ascii="仿宋" w:hAnsi="仿宋" w:eastAsia="仿宋" w:cs="宋体"/>
                <w:kern w:val="0"/>
                <w:szCs w:val="21"/>
              </w:rPr>
              <w:br w:type="textWrapping"/>
            </w:r>
            <w:r>
              <w:rPr>
                <w:rFonts w:hint="eastAsia" w:ascii="仿宋" w:hAnsi="仿宋" w:eastAsia="仿宋" w:cs="宋体"/>
                <w:kern w:val="0"/>
                <w:szCs w:val="21"/>
              </w:rPr>
              <w:t>15.设有超温保护、数码显示温度。防干烧保护，无水不运行、自动补水。</w:t>
            </w:r>
            <w:r>
              <w:rPr>
                <w:rFonts w:hint="eastAsia" w:ascii="仿宋" w:hAnsi="仿宋" w:eastAsia="仿宋" w:cs="宋体"/>
                <w:kern w:val="0"/>
                <w:szCs w:val="21"/>
              </w:rPr>
              <w:br w:type="textWrapping"/>
            </w:r>
            <w:r>
              <w:rPr>
                <w:rFonts w:hint="eastAsia" w:ascii="仿宋" w:hAnsi="仿宋" w:eastAsia="仿宋" w:cs="宋体"/>
                <w:kern w:val="0"/>
                <w:szCs w:val="21"/>
              </w:rPr>
              <w:t>16.水胆及热交换器设有水电联动或双联阀控制技术，缺水或断电自动停止工作，系统能在常压下工作。</w:t>
            </w:r>
            <w:r>
              <w:rPr>
                <w:rFonts w:hint="eastAsia" w:ascii="仿宋" w:hAnsi="仿宋" w:eastAsia="仿宋" w:cs="宋体"/>
                <w:kern w:val="0"/>
                <w:szCs w:val="21"/>
              </w:rPr>
              <w:br w:type="textWrapping"/>
            </w:r>
            <w:r>
              <w:rPr>
                <w:rFonts w:hint="eastAsia" w:ascii="仿宋" w:hAnsi="仿宋" w:eastAsia="仿宋" w:cs="宋体"/>
                <w:kern w:val="0"/>
                <w:szCs w:val="21"/>
              </w:rPr>
              <w:t>17.整个系统采用水电联动控制，热水出口、温水出口的开启与关闭时同步的，使内胆承受压强和冲击力大大降低，增加</w:t>
            </w:r>
            <w:r>
              <w:rPr>
                <w:rFonts w:hint="eastAsia" w:ascii="仿宋" w:hAnsi="仿宋" w:eastAsia="仿宋" w:cs="宋体"/>
                <w:kern w:val="0"/>
                <w:szCs w:val="21"/>
              </w:rPr>
              <w:br w:type="textWrapping"/>
            </w:r>
            <w:r>
              <w:rPr>
                <w:rFonts w:hint="eastAsia" w:ascii="仿宋" w:hAnsi="仿宋" w:eastAsia="仿宋" w:cs="宋体"/>
                <w:kern w:val="0"/>
                <w:szCs w:val="21"/>
              </w:rPr>
              <w:t>内胆使用寿命。</w:t>
            </w:r>
            <w:r>
              <w:rPr>
                <w:rFonts w:hint="eastAsia" w:ascii="仿宋" w:hAnsi="仿宋" w:eastAsia="仿宋" w:cs="宋体"/>
                <w:kern w:val="0"/>
                <w:szCs w:val="21"/>
              </w:rPr>
              <w:br w:type="textWrapping"/>
            </w:r>
            <w:r>
              <w:rPr>
                <w:rFonts w:hint="eastAsia" w:ascii="仿宋" w:hAnsi="仿宋" w:eastAsia="仿宋" w:cs="宋体"/>
                <w:kern w:val="0"/>
                <w:szCs w:val="21"/>
              </w:rPr>
              <w:t>18.防触电保护I类，外壳防护等级IP44。</w:t>
            </w:r>
            <w:r>
              <w:rPr>
                <w:rFonts w:hint="eastAsia" w:ascii="仿宋" w:hAnsi="仿宋" w:eastAsia="仿宋" w:cs="宋体"/>
                <w:kern w:val="0"/>
                <w:szCs w:val="21"/>
              </w:rPr>
              <w:br w:type="textWrapping"/>
            </w:r>
            <w:r>
              <w:rPr>
                <w:rFonts w:hint="eastAsia" w:ascii="仿宋" w:hAnsi="仿宋" w:eastAsia="仿宋" w:cs="宋体"/>
                <w:kern w:val="0"/>
                <w:szCs w:val="21"/>
              </w:rPr>
              <w:t>19.采用智能水控系统，水不开则无水流出，避免饮用生水。</w:t>
            </w:r>
            <w:r>
              <w:rPr>
                <w:rFonts w:hint="eastAsia" w:ascii="仿宋" w:hAnsi="仿宋" w:eastAsia="仿宋" w:cs="宋体"/>
                <w:kern w:val="0"/>
                <w:szCs w:val="21"/>
              </w:rPr>
              <w:br w:type="textWrapping"/>
            </w:r>
            <w:r>
              <w:rPr>
                <w:rFonts w:hint="eastAsia" w:ascii="仿宋" w:hAnsi="仿宋" w:eastAsia="仿宋" w:cs="宋体"/>
                <w:kern w:val="0"/>
                <w:szCs w:val="21"/>
              </w:rPr>
              <w:t>20.设备外表平整光滑，其易触及零部件棱边和尖角圆滑。</w:t>
            </w:r>
            <w:r>
              <w:rPr>
                <w:rFonts w:hint="eastAsia" w:ascii="仿宋" w:hAnsi="仿宋" w:eastAsia="仿宋" w:cs="宋体"/>
                <w:kern w:val="0"/>
                <w:szCs w:val="21"/>
              </w:rPr>
              <w:br w:type="textWrapping"/>
            </w:r>
            <w:r>
              <w:rPr>
                <w:rFonts w:hint="eastAsia" w:ascii="仿宋" w:hAnsi="仿宋" w:eastAsia="仿宋" w:cs="宋体"/>
                <w:kern w:val="0"/>
                <w:szCs w:val="21"/>
              </w:rPr>
              <w:t>21.配置双重泄压装置，确保内胆的使用安全及延长内胆使用寿命。</w:t>
            </w:r>
            <w:r>
              <w:rPr>
                <w:rFonts w:hint="eastAsia" w:ascii="仿宋" w:hAnsi="仿宋" w:eastAsia="仿宋" w:cs="宋体"/>
                <w:kern w:val="0"/>
                <w:szCs w:val="21"/>
              </w:rPr>
              <w:br w:type="textWrapping"/>
            </w:r>
            <w:r>
              <w:rPr>
                <w:rFonts w:hint="eastAsia" w:ascii="仿宋" w:hAnsi="仿宋" w:eastAsia="仿宋" w:cs="宋体"/>
                <w:kern w:val="0"/>
                <w:szCs w:val="21"/>
              </w:rPr>
              <w:t>22.采用国际高效A级EPS防火保温材料，以及高新保温技术，保温效果好，加热效率高。</w:t>
            </w:r>
            <w:r>
              <w:rPr>
                <w:rFonts w:hint="eastAsia" w:ascii="仿宋" w:hAnsi="仿宋" w:eastAsia="仿宋" w:cs="宋体"/>
                <w:kern w:val="0"/>
                <w:szCs w:val="21"/>
              </w:rPr>
              <w:br w:type="textWrapping"/>
            </w:r>
            <w:r>
              <w:rPr>
                <w:rFonts w:hint="eastAsia" w:ascii="仿宋" w:hAnsi="仿宋" w:eastAsia="仿宋" w:cs="宋体"/>
                <w:kern w:val="0"/>
                <w:szCs w:val="21"/>
              </w:rPr>
              <w:t>23.具有CQC认证证书或CCC认证证书，中国节能认证证书。</w:t>
            </w:r>
            <w:r>
              <w:rPr>
                <w:rFonts w:hint="eastAsia" w:ascii="仿宋" w:hAnsi="仿宋" w:eastAsia="仿宋" w:cs="宋体"/>
                <w:kern w:val="0"/>
                <w:szCs w:val="21"/>
              </w:rPr>
              <w:br w:type="textWrapping"/>
            </w:r>
            <w:r>
              <w:rPr>
                <w:rFonts w:hint="eastAsia" w:ascii="仿宋" w:hAnsi="仿宋" w:eastAsia="仿宋" w:cs="宋体"/>
                <w:kern w:val="0"/>
                <w:szCs w:val="21"/>
              </w:rPr>
              <w:t>24.产品具有省级以上的《涉及饮用水安全生产卫生许可批件》。</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bl>
    <w:p>
      <w:pPr>
        <w:pageBreakBefore/>
        <w:widowControl/>
        <w:shd w:val="clear" w:color="auto" w:fill="FFFFFF"/>
        <w:spacing w:line="520" w:lineRule="exact"/>
        <w:ind w:firstLine="425"/>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C包：</w:t>
      </w:r>
    </w:p>
    <w:tbl>
      <w:tblPr>
        <w:tblStyle w:val="28"/>
        <w:tblW w:w="11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19"/>
        <w:gridCol w:w="6500"/>
        <w:gridCol w:w="846"/>
        <w:gridCol w:w="73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427" w:type="dxa"/>
            <w:vAlign w:val="center"/>
          </w:tcPr>
          <w:p>
            <w:pPr>
              <w:widowControl/>
              <w:jc w:val="left"/>
              <w:rPr>
                <w:rFonts w:ascii="仿宋" w:hAnsi="仿宋" w:eastAsia="仿宋" w:cs="宋体"/>
                <w:b/>
                <w:kern w:val="0"/>
                <w:szCs w:val="21"/>
              </w:rPr>
            </w:pPr>
            <w:r>
              <w:rPr>
                <w:rFonts w:hint="eastAsia" w:ascii="仿宋" w:hAnsi="仿宋" w:eastAsia="仿宋" w:cs="宋体"/>
                <w:b/>
                <w:kern w:val="0"/>
                <w:szCs w:val="21"/>
              </w:rPr>
              <w:t>序号</w:t>
            </w:r>
          </w:p>
        </w:tc>
        <w:tc>
          <w:tcPr>
            <w:tcW w:w="1419"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货物名称</w:t>
            </w:r>
          </w:p>
        </w:tc>
        <w:tc>
          <w:tcPr>
            <w:tcW w:w="6500"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规格参数</w:t>
            </w:r>
          </w:p>
        </w:tc>
        <w:tc>
          <w:tcPr>
            <w:tcW w:w="846"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数量</w:t>
            </w:r>
          </w:p>
        </w:tc>
        <w:tc>
          <w:tcPr>
            <w:tcW w:w="737"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单位</w:t>
            </w:r>
          </w:p>
        </w:tc>
        <w:tc>
          <w:tcPr>
            <w:tcW w:w="1071" w:type="dxa"/>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1"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实物展台</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 xml:space="preserve">1.箱体采用钣金材质,面板采用两个金属气压杆支撑，内置机箱锁安全防盗，壁挂式安装。 </w:t>
            </w:r>
            <w:r>
              <w:rPr>
                <w:rFonts w:hint="eastAsia" w:ascii="仿宋" w:hAnsi="仿宋" w:eastAsia="仿宋" w:cs="宋体"/>
                <w:kern w:val="0"/>
                <w:szCs w:val="21"/>
              </w:rPr>
              <w:br w:type="textWrapping"/>
            </w:r>
            <w:r>
              <w:rPr>
                <w:rFonts w:hint="eastAsia" w:ascii="仿宋" w:hAnsi="仿宋" w:eastAsia="仿宋" w:cs="宋体"/>
                <w:kern w:val="0"/>
                <w:szCs w:val="21"/>
              </w:rPr>
              <w:t xml:space="preserve">2.展台采用500万像素，A4拍摄幅面，500万动态视频预览达到10帧/秒，1080P动态视频预览达到15帧/秒。 </w:t>
            </w:r>
            <w:r>
              <w:rPr>
                <w:rFonts w:hint="eastAsia" w:ascii="仿宋" w:hAnsi="仿宋" w:eastAsia="仿宋" w:cs="宋体"/>
                <w:kern w:val="0"/>
                <w:szCs w:val="21"/>
              </w:rPr>
              <w:br w:type="textWrapping"/>
            </w:r>
            <w:r>
              <w:rPr>
                <w:rFonts w:hint="eastAsia" w:ascii="仿宋" w:hAnsi="仿宋" w:eastAsia="仿宋" w:cs="宋体"/>
                <w:kern w:val="0"/>
                <w:szCs w:val="21"/>
              </w:rPr>
              <w:t>3.输出格式：MJPG。</w:t>
            </w:r>
            <w:r>
              <w:rPr>
                <w:rFonts w:hint="eastAsia" w:ascii="仿宋" w:hAnsi="仿宋" w:eastAsia="仿宋" w:cs="宋体"/>
                <w:kern w:val="0"/>
                <w:szCs w:val="21"/>
              </w:rPr>
              <w:br w:type="textWrapping"/>
            </w:r>
            <w:r>
              <w:rPr>
                <w:rFonts w:hint="eastAsia" w:ascii="仿宋" w:hAnsi="仿宋" w:eastAsia="仿宋" w:cs="宋体"/>
                <w:kern w:val="0"/>
                <w:szCs w:val="21"/>
              </w:rPr>
              <w:t>4.采用AF自动对焦，方便老师展示平面或立体实物。</w:t>
            </w:r>
            <w:r>
              <w:rPr>
                <w:rFonts w:hint="eastAsia" w:ascii="仿宋" w:hAnsi="仿宋" w:eastAsia="仿宋" w:cs="宋体"/>
                <w:kern w:val="0"/>
                <w:szCs w:val="21"/>
              </w:rPr>
              <w:br w:type="textWrapping"/>
            </w:r>
            <w:r>
              <w:rPr>
                <w:rFonts w:hint="eastAsia" w:ascii="仿宋" w:hAnsi="仿宋" w:eastAsia="仿宋" w:cs="宋体"/>
                <w:kern w:val="0"/>
                <w:szCs w:val="21"/>
              </w:rPr>
              <w:t>5.★老师可在一体机或电脑上选择延时拍照功能，支持5秒或10秒延时模式，预留充足时间以便调整拍摄内容。</w:t>
            </w:r>
            <w:r>
              <w:rPr>
                <w:rFonts w:hint="eastAsia" w:ascii="仿宋" w:hAnsi="仿宋" w:eastAsia="仿宋" w:cs="宋体"/>
                <w:kern w:val="0"/>
                <w:szCs w:val="21"/>
              </w:rPr>
              <w:br w:type="textWrapping"/>
            </w:r>
            <w:r>
              <w:rPr>
                <w:rFonts w:hint="eastAsia" w:ascii="仿宋" w:hAnsi="仿宋" w:eastAsia="仿宋" w:cs="宋体"/>
                <w:kern w:val="0"/>
                <w:szCs w:val="21"/>
              </w:rPr>
              <w:t>6.★具备图像增强功能，可自动裁剪背景并增强文字显示，使文档画面更清晰。</w:t>
            </w:r>
            <w:r>
              <w:rPr>
                <w:rFonts w:hint="eastAsia" w:ascii="仿宋" w:hAnsi="仿宋" w:eastAsia="仿宋" w:cs="宋体"/>
                <w:kern w:val="0"/>
                <w:szCs w:val="21"/>
              </w:rPr>
              <w:br w:type="textWrapping"/>
            </w:r>
            <w:r>
              <w:rPr>
                <w:rFonts w:hint="eastAsia" w:ascii="仿宋" w:hAnsi="仿宋" w:eastAsia="仿宋" w:cs="宋体"/>
                <w:kern w:val="0"/>
                <w:szCs w:val="21"/>
              </w:rPr>
              <w:t>7.★可选择图像、文本或动态等多种情景模式，适应不同展示内容。</w:t>
            </w:r>
            <w:r>
              <w:rPr>
                <w:rFonts w:hint="eastAsia" w:ascii="仿宋" w:hAnsi="仿宋" w:eastAsia="仿宋" w:cs="宋体"/>
                <w:kern w:val="0"/>
                <w:szCs w:val="21"/>
              </w:rPr>
              <w:br w:type="textWrapping"/>
            </w:r>
            <w:r>
              <w:rPr>
                <w:rFonts w:hint="eastAsia" w:ascii="仿宋" w:hAnsi="仿宋" w:eastAsia="仿宋" w:cs="宋体"/>
                <w:kern w:val="0"/>
                <w:szCs w:val="21"/>
              </w:rPr>
              <w:t>8.★支持二维码扫码功能：打开扫一扫功能后，将书本上的二维码放入扫描框内即可自动扫描，并进入系统浏览器获取二维码的链接内容，帮助老师快速获取电子教学资源。</w:t>
            </w:r>
            <w:r>
              <w:rPr>
                <w:rFonts w:hint="eastAsia" w:ascii="仿宋" w:hAnsi="仿宋" w:eastAsia="仿宋" w:cs="宋体"/>
                <w:kern w:val="0"/>
                <w:szCs w:val="21"/>
              </w:rPr>
              <w:br w:type="textWrapping"/>
            </w:r>
            <w:r>
              <w:rPr>
                <w:rFonts w:hint="eastAsia" w:ascii="仿宋" w:hAnsi="仿宋" w:eastAsia="仿宋" w:cs="宋体"/>
                <w:kern w:val="0"/>
                <w:szCs w:val="21"/>
              </w:rPr>
              <w:t>9.展台正上方具备LED补光灯，保证展示区域的亮度及展示效果。</w:t>
            </w:r>
            <w:r>
              <w:rPr>
                <w:rFonts w:hint="eastAsia" w:ascii="仿宋" w:hAnsi="仿宋" w:eastAsia="仿宋" w:cs="宋体"/>
                <w:kern w:val="0"/>
                <w:szCs w:val="21"/>
              </w:rPr>
              <w:br w:type="textWrapping"/>
            </w:r>
            <w:r>
              <w:rPr>
                <w:rFonts w:hint="eastAsia" w:ascii="仿宋" w:hAnsi="仿宋" w:eastAsia="仿宋" w:cs="宋体"/>
                <w:kern w:val="0"/>
                <w:szCs w:val="21"/>
              </w:rPr>
              <w:t>10.★补光灯开关采用触摸按键设计，同时也可通过智能平板中的软件直接控制，方便老师操作。</w:t>
            </w:r>
            <w:r>
              <w:rPr>
                <w:rFonts w:hint="eastAsia" w:ascii="仿宋" w:hAnsi="仿宋" w:eastAsia="仿宋" w:cs="宋体"/>
                <w:kern w:val="0"/>
                <w:szCs w:val="21"/>
              </w:rPr>
              <w:br w:type="textWrapping"/>
            </w:r>
            <w:r>
              <w:rPr>
                <w:rFonts w:hint="eastAsia" w:ascii="仿宋" w:hAnsi="仿宋" w:eastAsia="仿宋" w:cs="宋体"/>
                <w:kern w:val="0"/>
                <w:szCs w:val="21"/>
              </w:rPr>
              <w:t>11.★兼容双系统操作，Windows系统及Android系统均可使用展台功能，包括图片放大、缩小、旋转、批注等。</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jc w:val="center"/>
        </w:trPr>
        <w:tc>
          <w:tcPr>
            <w:tcW w:w="427" w:type="dxa"/>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1419" w:type="dxa"/>
            <w:vAlign w:val="center"/>
          </w:tcPr>
          <w:p>
            <w:pPr>
              <w:jc w:val="center"/>
              <w:rPr>
                <w:rFonts w:ascii="仿宋" w:hAnsi="仿宋" w:eastAsia="仿宋" w:cs="宋体"/>
                <w:kern w:val="0"/>
                <w:szCs w:val="21"/>
              </w:rPr>
            </w:pPr>
            <w:r>
              <w:rPr>
                <w:rFonts w:hint="eastAsia" w:ascii="仿宋" w:hAnsi="仿宋" w:eastAsia="仿宋" w:cs="宋体"/>
                <w:kern w:val="0"/>
                <w:szCs w:val="21"/>
              </w:rPr>
              <w:t>交互智能平板</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整机技术及安全要求：</w:t>
            </w:r>
            <w:r>
              <w:rPr>
                <w:rFonts w:hint="eastAsia" w:ascii="仿宋" w:hAnsi="仿宋" w:eastAsia="仿宋" w:cs="宋体"/>
                <w:kern w:val="0"/>
                <w:szCs w:val="21"/>
              </w:rPr>
              <w:br w:type="textWrapping"/>
            </w:r>
            <w:r>
              <w:rPr>
                <w:rFonts w:hint="eastAsia" w:ascii="仿宋" w:hAnsi="仿宋" w:eastAsia="仿宋" w:cs="宋体"/>
                <w:kern w:val="0"/>
                <w:szCs w:val="21"/>
              </w:rPr>
              <w:t>1、全金属外观，一体化设计，外部无任何可见内部功能模块连接线，且连接处采用无锐角设计，保护老师及学生使用安全。</w:t>
            </w:r>
            <w:r>
              <w:rPr>
                <w:rFonts w:hint="eastAsia" w:ascii="仿宋" w:hAnsi="仿宋" w:eastAsia="仿宋" w:cs="宋体"/>
                <w:kern w:val="0"/>
                <w:szCs w:val="21"/>
              </w:rPr>
              <w:br w:type="textWrapping"/>
            </w:r>
            <w:r>
              <w:rPr>
                <w:rFonts w:hint="eastAsia" w:ascii="仿宋" w:hAnsi="仿宋" w:eastAsia="仿宋" w:cs="宋体"/>
                <w:kern w:val="0"/>
                <w:szCs w:val="21"/>
              </w:rPr>
              <w:t>2、整机经过产品可靠性检验，MTBF大于78500小时（提供相关检测机构出具的检测报告复印件并加盖投标人公章）</w:t>
            </w:r>
            <w:r>
              <w:rPr>
                <w:rFonts w:hint="eastAsia" w:ascii="仿宋" w:hAnsi="仿宋" w:eastAsia="仿宋" w:cs="宋体"/>
                <w:kern w:val="0"/>
                <w:szCs w:val="21"/>
              </w:rPr>
              <w:br w:type="textWrapping"/>
            </w:r>
            <w:r>
              <w:rPr>
                <w:rFonts w:hint="eastAsia" w:ascii="仿宋" w:hAnsi="仿宋" w:eastAsia="仿宋" w:cs="宋体"/>
                <w:kern w:val="0"/>
                <w:szCs w:val="21"/>
              </w:rPr>
              <w:t>3、整机具备抗振动、防跌落特性，保证整机运输或使用过程中不易受损（提供相关检测机构出具的检测报告复印件并加盖投标人公章）</w:t>
            </w:r>
            <w:r>
              <w:rPr>
                <w:rFonts w:hint="eastAsia" w:ascii="仿宋" w:hAnsi="仿宋" w:eastAsia="仿宋" w:cs="宋体"/>
                <w:kern w:val="0"/>
                <w:szCs w:val="21"/>
              </w:rPr>
              <w:br w:type="textWrapping"/>
            </w:r>
            <w:r>
              <w:rPr>
                <w:rFonts w:hint="eastAsia" w:ascii="仿宋" w:hAnsi="仿宋" w:eastAsia="仿宋" w:cs="宋体"/>
                <w:kern w:val="0"/>
                <w:szCs w:val="21"/>
              </w:rPr>
              <w:t>4、整机只需连接一根网线，即可实现Windows及Android系统同时联网。</w:t>
            </w:r>
            <w:r>
              <w:rPr>
                <w:rFonts w:hint="eastAsia" w:ascii="仿宋" w:hAnsi="仿宋" w:eastAsia="仿宋" w:cs="宋体"/>
                <w:kern w:val="0"/>
                <w:szCs w:val="21"/>
              </w:rPr>
              <w:br w:type="textWrapping"/>
            </w:r>
            <w:r>
              <w:rPr>
                <w:rFonts w:hint="eastAsia" w:ascii="仿宋" w:hAnsi="仿宋" w:eastAsia="仿宋" w:cs="宋体"/>
                <w:kern w:val="0"/>
                <w:szCs w:val="21"/>
              </w:rPr>
              <w:t>5、★整机处于任意通道下，在屏幕侧边可快速调出触摸便捷菜单，实现十笔批注、荧光笔书写、手势擦除、截图、快捷白板、任意通道放大、快捷小工具，为避免老师使用时误触，不接受双侧丝印按键。</w:t>
            </w:r>
            <w:r>
              <w:rPr>
                <w:rFonts w:hint="eastAsia" w:ascii="仿宋" w:hAnsi="仿宋" w:eastAsia="仿宋" w:cs="宋体"/>
                <w:kern w:val="0"/>
                <w:szCs w:val="21"/>
              </w:rPr>
              <w:br w:type="textWrapping"/>
            </w:r>
            <w:r>
              <w:rPr>
                <w:rFonts w:hint="eastAsia" w:ascii="仿宋" w:hAnsi="仿宋" w:eastAsia="仿宋" w:cs="宋体"/>
                <w:kern w:val="0"/>
                <w:szCs w:val="21"/>
              </w:rPr>
              <w:t>6、内置触摸中控菜单，将信号源通道切换、亮度对比度调节、声音图像调节等整合到同一菜单下，无须实体按键，在任意显示通道下均</w:t>
            </w:r>
          </w:p>
          <w:p>
            <w:pPr>
              <w:widowControl/>
              <w:jc w:val="left"/>
              <w:rPr>
                <w:rFonts w:ascii="仿宋" w:hAnsi="仿宋" w:eastAsia="仿宋" w:cs="宋体"/>
                <w:kern w:val="0"/>
                <w:szCs w:val="21"/>
              </w:rPr>
            </w:pPr>
            <w:r>
              <w:rPr>
                <w:rFonts w:hint="eastAsia" w:ascii="仿宋" w:hAnsi="仿宋" w:eastAsia="仿宋" w:cs="宋体"/>
                <w:kern w:val="0"/>
                <w:szCs w:val="21"/>
              </w:rPr>
              <w:t>可通过手势在屏幕上调取该触摸菜单，方便快捷</w:t>
            </w:r>
          </w:p>
          <w:p>
            <w:pPr>
              <w:widowControl/>
              <w:jc w:val="left"/>
              <w:rPr>
                <w:rFonts w:ascii="仿宋" w:hAnsi="仿宋" w:eastAsia="仿宋" w:cs="宋体"/>
                <w:kern w:val="0"/>
                <w:szCs w:val="21"/>
              </w:rPr>
            </w:pPr>
            <w:r>
              <w:rPr>
                <w:rFonts w:hint="eastAsia" w:ascii="仿宋" w:hAnsi="仿宋" w:eastAsia="仿宋" w:cs="宋体"/>
                <w:kern w:val="0"/>
                <w:szCs w:val="21"/>
              </w:rPr>
              <w:t>7、★触摸中控菜单上的通道信号源名称支持自定义，方便老师识别（提供相关检测机构出具的检测报告复印件并加盖投标人公章）</w:t>
            </w:r>
            <w:r>
              <w:rPr>
                <w:rFonts w:hint="eastAsia" w:ascii="仿宋" w:hAnsi="仿宋" w:eastAsia="仿宋" w:cs="宋体"/>
                <w:kern w:val="0"/>
                <w:szCs w:val="21"/>
              </w:rPr>
              <w:br w:type="textWrapping"/>
            </w:r>
            <w:r>
              <w:rPr>
                <w:rFonts w:hint="eastAsia" w:ascii="仿宋" w:hAnsi="仿宋" w:eastAsia="仿宋" w:cs="宋体"/>
                <w:kern w:val="0"/>
                <w:szCs w:val="21"/>
              </w:rPr>
              <w:t>8、整机支持任意通道画面放大功能，可在整机任意通道下将画面冻结并双击画面任一部分进行放大，也可以通过按键将整个画面自由缩放，放大后的屏幕画面可进行任意拖拽。</w:t>
            </w:r>
            <w:r>
              <w:rPr>
                <w:rFonts w:hint="eastAsia" w:ascii="仿宋" w:hAnsi="仿宋" w:eastAsia="仿宋" w:cs="宋体"/>
                <w:kern w:val="0"/>
                <w:szCs w:val="21"/>
              </w:rPr>
              <w:br w:type="textWrapping"/>
            </w:r>
            <w:r>
              <w:rPr>
                <w:rFonts w:hint="eastAsia" w:ascii="仿宋" w:hAnsi="仿宋" w:eastAsia="仿宋" w:cs="宋体"/>
                <w:kern w:val="0"/>
                <w:szCs w:val="21"/>
              </w:rPr>
              <w:t>9、★整机电视开关、电脑开关和节能待机键三合一，操作便捷，在节能待机状态下可实现节能 79%以上。（提供相关检测机构出具的检测报告复印件并加盖投标人公章）</w:t>
            </w:r>
            <w:r>
              <w:rPr>
                <w:rFonts w:hint="eastAsia" w:ascii="仿宋" w:hAnsi="仿宋" w:eastAsia="仿宋" w:cs="宋体"/>
                <w:kern w:val="0"/>
                <w:szCs w:val="21"/>
              </w:rPr>
              <w:br w:type="textWrapping"/>
            </w:r>
            <w:r>
              <w:rPr>
                <w:rFonts w:hint="eastAsia" w:ascii="仿宋" w:hAnsi="仿宋" w:eastAsia="仿宋" w:cs="宋体"/>
                <w:kern w:val="0"/>
                <w:szCs w:val="21"/>
              </w:rPr>
              <w:t>10、★整机具备至少3路前置USB3.0接口,且前置USB接口全部支持Windows及Android双系统读取，将U盘插入任意前置USB接口，均能被Windows及Android系统识别，防止老师误操作。</w:t>
            </w:r>
            <w:r>
              <w:rPr>
                <w:rFonts w:hint="eastAsia" w:ascii="仿宋" w:hAnsi="仿宋" w:eastAsia="仿宋" w:cs="宋体"/>
                <w:kern w:val="0"/>
                <w:szCs w:val="21"/>
              </w:rPr>
              <w:br w:type="textWrapping"/>
            </w:r>
            <w:r>
              <w:rPr>
                <w:rFonts w:hint="eastAsia" w:ascii="仿宋" w:hAnsi="仿宋" w:eastAsia="仿宋" w:cs="宋体"/>
                <w:kern w:val="0"/>
                <w:szCs w:val="21"/>
              </w:rPr>
              <w:t>11、★整机可一键进行硬件自检并优化，包括对触摸框、PC模块、光感系统等模块进行检测，并针对不同模块给出问题原因提示，且支持  二维码直接报修。（提供相关检测机构出具的检测报告复印件并加盖投标人公章）</w:t>
            </w:r>
            <w:r>
              <w:rPr>
                <w:rFonts w:hint="eastAsia" w:ascii="仿宋" w:hAnsi="仿宋" w:eastAsia="仿宋" w:cs="宋体"/>
                <w:kern w:val="0"/>
                <w:szCs w:val="21"/>
              </w:rPr>
              <w:br w:type="textWrapping"/>
            </w:r>
            <w:r>
              <w:rPr>
                <w:rFonts w:hint="eastAsia" w:ascii="仿宋" w:hAnsi="仿宋" w:eastAsia="仿宋" w:cs="宋体"/>
                <w:kern w:val="0"/>
                <w:szCs w:val="21"/>
              </w:rPr>
              <w:t>12、支持屏幕密码锁功能，可锁定屏幕、按键及遥控器，可自定义解锁密码。</w:t>
            </w:r>
            <w:r>
              <w:rPr>
                <w:rFonts w:hint="eastAsia" w:ascii="仿宋" w:hAnsi="仿宋" w:eastAsia="仿宋" w:cs="宋体"/>
                <w:kern w:val="0"/>
                <w:szCs w:val="21"/>
              </w:rPr>
              <w:br w:type="textWrapping"/>
            </w:r>
            <w:r>
              <w:rPr>
                <w:rFonts w:hint="eastAsia" w:ascii="仿宋" w:hAnsi="仿宋" w:eastAsia="仿宋" w:cs="宋体"/>
                <w:kern w:val="0"/>
                <w:szCs w:val="21"/>
              </w:rPr>
              <w:t>13、快速通道跳转：整机处于非内置PC通道下，在屏幕侧边可调出PC通道按钮，支持用户一键回到PC通道；同时支持用户自定义设置常用快捷通道，可从侧边栏一键进入该通道，提升老师教学效率。</w:t>
            </w:r>
          </w:p>
          <w:p>
            <w:pPr>
              <w:widowControl/>
              <w:rPr>
                <w:rFonts w:ascii="仿宋" w:hAnsi="仿宋" w:eastAsia="仿宋" w:cs="宋体"/>
                <w:kern w:val="0"/>
                <w:szCs w:val="21"/>
              </w:rPr>
            </w:pPr>
            <w:r>
              <w:rPr>
                <w:rFonts w:hint="eastAsia" w:ascii="仿宋" w:hAnsi="仿宋" w:eastAsia="仿宋" w:cs="宋体"/>
                <w:kern w:val="0"/>
                <w:szCs w:val="21"/>
              </w:rPr>
              <w:t xml:space="preserve">14、★设备支持DBX音效，可实现环绕音质，并支持用户在菜单中随时开启/关闭DBX音效功能。 </w:t>
            </w:r>
          </w:p>
          <w:p>
            <w:pPr>
              <w:widowControl/>
              <w:rPr>
                <w:rFonts w:ascii="仿宋" w:hAnsi="仿宋" w:eastAsia="仿宋" w:cs="宋体"/>
                <w:kern w:val="0"/>
                <w:szCs w:val="21"/>
              </w:rPr>
            </w:pPr>
            <w:r>
              <w:rPr>
                <w:rFonts w:hint="eastAsia" w:ascii="仿宋" w:hAnsi="仿宋" w:eastAsia="仿宋" w:cs="宋体"/>
                <w:kern w:val="0"/>
                <w:szCs w:val="21"/>
              </w:rPr>
              <w:t xml:space="preserve">15、★设备支持通过前置按键一键启动录屏功能，可将屏幕中显示的课件、音频等内容与老师人声同步录制，方便制作教学视频。                              </w:t>
            </w:r>
          </w:p>
          <w:p>
            <w:pPr>
              <w:widowControl/>
              <w:rPr>
                <w:rFonts w:ascii="仿宋" w:hAnsi="仿宋" w:eastAsia="仿宋" w:cs="宋体"/>
                <w:kern w:val="0"/>
                <w:szCs w:val="21"/>
              </w:rPr>
            </w:pPr>
            <w:r>
              <w:rPr>
                <w:rFonts w:hint="eastAsia" w:ascii="仿宋" w:hAnsi="仿宋" w:eastAsia="仿宋" w:cs="宋体"/>
                <w:kern w:val="0"/>
                <w:szCs w:val="21"/>
              </w:rPr>
              <w:t>触控及屏幕技术要求：</w:t>
            </w:r>
            <w:r>
              <w:rPr>
                <w:rFonts w:hint="eastAsia" w:ascii="仿宋" w:hAnsi="仿宋" w:eastAsia="仿宋" w:cs="宋体"/>
                <w:kern w:val="0"/>
                <w:szCs w:val="21"/>
              </w:rPr>
              <w:br w:type="textWrapping"/>
            </w:r>
            <w:r>
              <w:rPr>
                <w:rFonts w:hint="eastAsia" w:ascii="仿宋" w:hAnsi="仿宋" w:eastAsia="仿宋" w:cs="宋体"/>
                <w:kern w:val="0"/>
                <w:szCs w:val="21"/>
              </w:rPr>
              <w:t>1、屏幕类型：LED背光A规屏（提供原厂屏体证明材料）；</w:t>
            </w:r>
            <w:r>
              <w:rPr>
                <w:rFonts w:hint="eastAsia" w:ascii="仿宋" w:hAnsi="仿宋" w:eastAsia="仿宋" w:cs="宋体"/>
                <w:kern w:val="0"/>
                <w:szCs w:val="21"/>
              </w:rPr>
              <w:br w:type="textWrapping"/>
            </w:r>
            <w:r>
              <w:rPr>
                <w:rFonts w:hint="eastAsia" w:ascii="仿宋" w:hAnsi="仿宋" w:eastAsia="仿宋" w:cs="宋体"/>
                <w:kern w:val="0"/>
                <w:szCs w:val="21"/>
              </w:rPr>
              <w:t>2、★整机屏幕≥70英寸 LED 液晶屏，显示比例16:9。可视角度：≥175°，屏幕图像分辨率达1920*1080，显示性能满足FHD高清点对点要求。</w:t>
            </w:r>
          </w:p>
          <w:p>
            <w:pPr>
              <w:widowControl/>
              <w:rPr>
                <w:rFonts w:ascii="仿宋" w:hAnsi="仿宋" w:eastAsia="仿宋" w:cs="宋体"/>
                <w:kern w:val="0"/>
                <w:szCs w:val="21"/>
              </w:rPr>
            </w:pPr>
            <w:r>
              <w:rPr>
                <w:rFonts w:hint="eastAsia" w:ascii="仿宋" w:hAnsi="仿宋" w:eastAsia="仿宋" w:cs="宋体"/>
                <w:kern w:val="0"/>
                <w:szCs w:val="21"/>
              </w:rPr>
              <w:t>3、屏幕显示灰度分辨等级达到128灰阶以上，保证画面色彩更加丰富，效果更为细腻。</w:t>
            </w:r>
            <w:r>
              <w:rPr>
                <w:rFonts w:hint="eastAsia" w:ascii="仿宋" w:hAnsi="仿宋" w:eastAsia="仿宋" w:cs="宋体"/>
                <w:kern w:val="0"/>
                <w:szCs w:val="21"/>
              </w:rPr>
              <w:br w:type="textWrapping"/>
            </w:r>
            <w:r>
              <w:rPr>
                <w:rFonts w:hint="eastAsia" w:ascii="仿宋" w:hAnsi="仿宋" w:eastAsia="仿宋" w:cs="宋体"/>
                <w:kern w:val="0"/>
                <w:szCs w:val="21"/>
              </w:rPr>
              <w:t>4、采用非接触式红外触控技术，支持在Windows与安卓系统中进行十点触控及书写。（提供相关检测机构出具的检测报告复印件并加盖投标人公章）</w:t>
            </w:r>
          </w:p>
          <w:p>
            <w:pPr>
              <w:rPr>
                <w:rFonts w:ascii="仿宋" w:hAnsi="仿宋" w:eastAsia="仿宋" w:cs="宋体"/>
                <w:kern w:val="0"/>
                <w:szCs w:val="21"/>
              </w:rPr>
            </w:pPr>
            <w:r>
              <w:rPr>
                <w:rFonts w:hint="eastAsia" w:ascii="仿宋" w:hAnsi="仿宋" w:eastAsia="仿宋" w:cs="宋体"/>
                <w:kern w:val="0"/>
                <w:szCs w:val="21"/>
              </w:rPr>
              <w:t xml:space="preserve">5、触摸框内部通道切换速度小于1秒，外部通道切换小于4秒，切换后即达到可触摸状态。                                                              </w:t>
            </w:r>
          </w:p>
          <w:p>
            <w:pPr>
              <w:widowControl/>
              <w:rPr>
                <w:rFonts w:ascii="仿宋" w:hAnsi="仿宋" w:eastAsia="仿宋" w:cs="宋体"/>
                <w:kern w:val="0"/>
                <w:szCs w:val="21"/>
              </w:rPr>
            </w:pPr>
            <w:r>
              <w:rPr>
                <w:rFonts w:hint="eastAsia" w:ascii="仿宋" w:hAnsi="仿宋" w:eastAsia="仿宋" w:cs="宋体"/>
                <w:kern w:val="0"/>
                <w:szCs w:val="21"/>
              </w:rPr>
              <w:t xml:space="preserve"> 6、触摸模块：触摸响应时间＜16毫秒，触摸有效识别≥8毫米，定位分辨率：32767*32767。</w:t>
            </w:r>
            <w:r>
              <w:rPr>
                <w:rFonts w:hint="eastAsia" w:ascii="仿宋" w:hAnsi="仿宋" w:eastAsia="仿宋" w:cs="宋体"/>
                <w:kern w:val="0"/>
                <w:szCs w:val="21"/>
              </w:rPr>
              <w:br w:type="textWrapping"/>
            </w:r>
            <w:r>
              <w:rPr>
                <w:rFonts w:hint="eastAsia" w:ascii="仿宋" w:hAnsi="仿宋" w:eastAsia="仿宋" w:cs="宋体"/>
                <w:kern w:val="0"/>
                <w:szCs w:val="21"/>
              </w:rPr>
              <w:t>7、可适应教室中的强光、遮挡环境，能防止外力作用下可能出现的扭曲。（提供防遮挡、抗光干扰、触摸屏抗扭曲检测报告）</w:t>
            </w:r>
            <w:r>
              <w:rPr>
                <w:rFonts w:hint="eastAsia" w:ascii="仿宋" w:hAnsi="仿宋" w:eastAsia="仿宋" w:cs="宋体"/>
                <w:kern w:val="0"/>
                <w:szCs w:val="21"/>
              </w:rPr>
              <w:br w:type="textWrapping"/>
            </w:r>
            <w:r>
              <w:rPr>
                <w:rFonts w:hint="eastAsia" w:ascii="仿宋" w:hAnsi="仿宋" w:eastAsia="仿宋" w:cs="宋体"/>
                <w:kern w:val="0"/>
                <w:szCs w:val="21"/>
              </w:rPr>
              <w:t>8、触摸精准性：整机屏幕触摸有效识别高度小于4.5mm,，即触摸物体距离玻璃外表面高度低于4.5mm时，触摸屏识别为点击操作，保证触摸精准。</w:t>
            </w:r>
            <w:r>
              <w:rPr>
                <w:rFonts w:hint="eastAsia" w:ascii="仿宋" w:hAnsi="仿宋" w:eastAsia="仿宋" w:cs="宋体"/>
                <w:kern w:val="0"/>
                <w:szCs w:val="21"/>
              </w:rPr>
              <w:br w:type="textWrapping"/>
            </w:r>
            <w:r>
              <w:rPr>
                <w:rFonts w:hint="eastAsia" w:ascii="仿宋" w:hAnsi="仿宋" w:eastAsia="仿宋" w:cs="宋体"/>
                <w:kern w:val="0"/>
                <w:szCs w:val="21"/>
              </w:rPr>
              <w:t>9、★内置非独立外扩展的拾音麦克风，拾音距离至少3米，方便录制老师人声。</w:t>
            </w:r>
            <w:r>
              <w:rPr>
                <w:rFonts w:hint="eastAsia" w:ascii="仿宋" w:hAnsi="仿宋" w:eastAsia="仿宋" w:cs="宋体"/>
                <w:kern w:val="0"/>
                <w:szCs w:val="21"/>
              </w:rPr>
              <w:br w:type="textWrapping"/>
            </w:r>
            <w:r>
              <w:rPr>
                <w:rFonts w:hint="eastAsia" w:ascii="仿宋" w:hAnsi="仿宋" w:eastAsia="仿宋" w:cs="宋体"/>
                <w:kern w:val="0"/>
                <w:szCs w:val="21"/>
              </w:rPr>
              <w:t xml:space="preserve">10、★内置非独立外扩展的摄像头，像素至少500万，支持二维码扫码识别功能，帮助用户调用在线资源。    </w:t>
            </w:r>
          </w:p>
          <w:p>
            <w:pPr>
              <w:widowControl/>
              <w:rPr>
                <w:rFonts w:ascii="仿宋" w:hAnsi="仿宋" w:eastAsia="仿宋" w:cs="宋体"/>
                <w:kern w:val="0"/>
                <w:szCs w:val="21"/>
              </w:rPr>
            </w:pPr>
            <w:r>
              <w:rPr>
                <w:rFonts w:hint="eastAsia" w:ascii="仿宋" w:hAnsi="仿宋" w:eastAsia="仿宋" w:cs="宋体"/>
                <w:kern w:val="0"/>
                <w:szCs w:val="21"/>
              </w:rPr>
              <w:t>输入及输出端口：</w:t>
            </w:r>
            <w:r>
              <w:rPr>
                <w:rFonts w:hint="eastAsia" w:ascii="仿宋" w:hAnsi="仿宋" w:eastAsia="仿宋" w:cs="宋体"/>
                <w:kern w:val="0"/>
                <w:szCs w:val="21"/>
              </w:rPr>
              <w:br w:type="textWrapping"/>
            </w:r>
            <w:r>
              <w:rPr>
                <w:rFonts w:hint="eastAsia" w:ascii="仿宋" w:hAnsi="仿宋" w:eastAsia="仿宋" w:cs="宋体"/>
                <w:kern w:val="0"/>
                <w:szCs w:val="21"/>
              </w:rPr>
              <w:t>1、输入端子:≥1路VGA；≥1路Audio；≥1路AV；≥1路YPbPr；≥2路HDMI；≥1路TV RF；≥2路USB,至少一路可随通道自动切换，方便外接其他设备时在任意通道均可使用；≥1路Line in；≥1路RS232接口；≥1路RJ45。</w:t>
            </w:r>
            <w:r>
              <w:rPr>
                <w:rFonts w:hint="eastAsia" w:ascii="仿宋" w:hAnsi="仿宋" w:eastAsia="仿宋" w:cs="宋体"/>
                <w:kern w:val="0"/>
                <w:szCs w:val="21"/>
              </w:rPr>
              <w:br w:type="textWrapping"/>
            </w:r>
            <w:r>
              <w:rPr>
                <w:rFonts w:hint="eastAsia" w:ascii="仿宋" w:hAnsi="仿宋" w:eastAsia="仿宋" w:cs="宋体"/>
                <w:kern w:val="0"/>
                <w:szCs w:val="21"/>
              </w:rPr>
              <w:t>2、输出端子：≥1路耳机；≥1路同轴输出；≥1路Touch USB out。                                       电脑模块技术要求：</w:t>
            </w:r>
            <w:r>
              <w:rPr>
                <w:rFonts w:hint="eastAsia" w:ascii="仿宋" w:hAnsi="仿宋" w:eastAsia="仿宋" w:cs="宋体"/>
                <w:kern w:val="0"/>
                <w:szCs w:val="21"/>
              </w:rPr>
              <w:br w:type="textWrapping"/>
            </w:r>
            <w:r>
              <w:rPr>
                <w:rFonts w:hint="eastAsia" w:ascii="仿宋" w:hAnsi="仿宋" w:eastAsia="仿宋" w:cs="宋体"/>
                <w:kern w:val="0"/>
                <w:szCs w:val="21"/>
              </w:rPr>
              <w:t xml:space="preserve">1、采用模块化电脑方案，抽拉内置式，采用120pin接口，实现无单独接线的插拔，低噪音热管传导散热设计 2、★采用按压式开关，无需工具即可快速拆卸电脑模块。（提供相关检测机构出具的检测报告复印件并加盖投标人公章）。                                     3、处理器：Intel Core i3，内存：4G DDR4笔记本内存或以上配置；硬盘：128G固态硬盘。               </w:t>
            </w:r>
          </w:p>
          <w:p>
            <w:pPr>
              <w:rPr>
                <w:rFonts w:ascii="仿宋" w:hAnsi="仿宋" w:eastAsia="仿宋" w:cs="宋体"/>
                <w:kern w:val="0"/>
                <w:szCs w:val="21"/>
              </w:rPr>
            </w:pPr>
            <w:r>
              <w:rPr>
                <w:rFonts w:hint="eastAsia" w:ascii="仿宋" w:hAnsi="仿宋" w:eastAsia="仿宋" w:cs="宋体"/>
                <w:kern w:val="0"/>
                <w:szCs w:val="21"/>
              </w:rPr>
              <w:t>4. 具有独立非外扩展的电脑USB接口：电脑上至少4个USB接口，其中至少包含2个USB3.0接口。</w:t>
            </w:r>
            <w:r>
              <w:rPr>
                <w:rFonts w:hint="eastAsia" w:ascii="仿宋" w:hAnsi="仿宋" w:eastAsia="仿宋" w:cs="宋体"/>
                <w:kern w:val="0"/>
                <w:szCs w:val="21"/>
              </w:rPr>
              <w:br w:type="textWrapping"/>
            </w:r>
            <w:r>
              <w:rPr>
                <w:rFonts w:hint="eastAsia" w:ascii="仿宋" w:hAnsi="仿宋" w:eastAsia="仿宋" w:cs="宋体"/>
                <w:kern w:val="0"/>
                <w:szCs w:val="21"/>
              </w:rPr>
              <w:t xml:space="preserve">5、具有独立非外扩展的视频输出接口：≥1路HDMI ；≥1路DP。                                       </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教室一体机黑板安装费</w:t>
            </w:r>
          </w:p>
        </w:tc>
        <w:tc>
          <w:tcPr>
            <w:tcW w:w="6500" w:type="dxa"/>
            <w:vAlign w:val="center"/>
          </w:tcPr>
          <w:p>
            <w:pPr>
              <w:widowControl/>
              <w:rPr>
                <w:rFonts w:ascii="仿宋" w:hAnsi="仿宋" w:eastAsia="仿宋" w:cs="宋体"/>
                <w:kern w:val="0"/>
                <w:szCs w:val="21"/>
              </w:rPr>
            </w:pPr>
            <w:r>
              <w:rPr>
                <w:rFonts w:hint="eastAsia" w:ascii="仿宋" w:hAnsi="仿宋" w:eastAsia="仿宋" w:cs="宋体"/>
                <w:kern w:val="0"/>
                <w:szCs w:val="21"/>
              </w:rPr>
              <w:t>投标人三年上门免费维保，48小时到现场。</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黑板</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1.面板：采用墨绿色金属烤漆书写板；板面基板厚度0.30mm,表面附有保护膜，不得拼接。板面光泽度：光电光泽计测定&lt;8%，提供板面硬度、附着度检测报告</w:t>
            </w:r>
            <w:r>
              <w:rPr>
                <w:rFonts w:hint="eastAsia" w:ascii="仿宋" w:hAnsi="仿宋" w:eastAsia="仿宋" w:cs="宋体"/>
                <w:kern w:val="0"/>
                <w:szCs w:val="21"/>
              </w:rPr>
              <w:br w:type="textWrapping"/>
            </w:r>
            <w:r>
              <w:rPr>
                <w:rFonts w:hint="eastAsia" w:ascii="仿宋" w:hAnsi="仿宋" w:eastAsia="仿宋" w:cs="宋体"/>
                <w:kern w:val="0"/>
                <w:szCs w:val="21"/>
              </w:rPr>
              <w:t>2.背板：采用高档优质电热镀锌板，厚度0.2mm，每隔8公分设有凹槽加强筋；</w:t>
            </w:r>
            <w:r>
              <w:rPr>
                <w:rFonts w:hint="eastAsia" w:ascii="仿宋" w:hAnsi="仿宋" w:eastAsia="仿宋" w:cs="宋体"/>
                <w:kern w:val="0"/>
                <w:szCs w:val="21"/>
              </w:rPr>
              <w:br w:type="textWrapping"/>
            </w:r>
            <w:r>
              <w:rPr>
                <w:rFonts w:hint="eastAsia" w:ascii="仿宋" w:hAnsi="仿宋" w:eastAsia="仿宋" w:cs="宋体"/>
                <w:kern w:val="0"/>
                <w:szCs w:val="21"/>
              </w:rPr>
              <w:t>3.夹层：选用高强度、吸音、防潮、阻燃聚苯乙烯板，厚度14mm，解决纸板受潮问题。</w:t>
            </w:r>
            <w:r>
              <w:rPr>
                <w:rFonts w:hint="eastAsia" w:ascii="仿宋" w:hAnsi="仿宋" w:eastAsia="仿宋" w:cs="宋体"/>
                <w:kern w:val="0"/>
                <w:szCs w:val="21"/>
              </w:rPr>
              <w:br w:type="textWrapping"/>
            </w:r>
            <w:r>
              <w:rPr>
                <w:rFonts w:hint="eastAsia" w:ascii="仿宋" w:hAnsi="仿宋" w:eastAsia="仿宋" w:cs="宋体"/>
                <w:kern w:val="0"/>
                <w:szCs w:val="21"/>
              </w:rPr>
              <w:t>4.覆板：采用环保型双组份聚氨酯胶水，自动化流水线覆板作业，确保粘接牢固板面平整，甲醛释放量0.2mg/L，符合GB 28231-2011《书写板安全卫生要求》。</w:t>
            </w:r>
            <w:r>
              <w:rPr>
                <w:rFonts w:hint="eastAsia" w:ascii="仿宋" w:hAnsi="仿宋" w:eastAsia="仿宋" w:cs="宋体"/>
                <w:kern w:val="0"/>
                <w:szCs w:val="21"/>
              </w:rPr>
              <w:br w:type="textWrapping"/>
            </w:r>
            <w:r>
              <w:rPr>
                <w:rFonts w:hint="eastAsia" w:ascii="仿宋" w:hAnsi="仿宋" w:eastAsia="仿宋" w:cs="宋体"/>
                <w:kern w:val="0"/>
                <w:szCs w:val="21"/>
              </w:rPr>
              <w:t>5.边框：边框经氧化、喷砂涂层处理，无明显眩光。</w:t>
            </w:r>
            <w:r>
              <w:rPr>
                <w:rFonts w:hint="eastAsia" w:ascii="仿宋" w:hAnsi="仿宋" w:eastAsia="仿宋" w:cs="宋体"/>
                <w:kern w:val="0"/>
                <w:szCs w:val="21"/>
              </w:rPr>
              <w:br w:type="textWrapping"/>
            </w:r>
            <w:r>
              <w:rPr>
                <w:rFonts w:hint="eastAsia" w:ascii="仿宋" w:hAnsi="仿宋" w:eastAsia="仿宋" w:cs="宋体"/>
                <w:kern w:val="0"/>
                <w:szCs w:val="21"/>
              </w:rPr>
              <w:t>6.边框连接件：连接拐角采用防老化、抗疲劳ABS工程塑料，流线型弧度设计，防止学生意外碰伤。</w:t>
            </w:r>
            <w:r>
              <w:rPr>
                <w:rFonts w:hint="eastAsia" w:ascii="仿宋" w:hAnsi="仿宋" w:eastAsia="仿宋" w:cs="宋体"/>
                <w:kern w:val="0"/>
                <w:szCs w:val="21"/>
              </w:rPr>
              <w:br w:type="textWrapping"/>
            </w:r>
            <w:r>
              <w:rPr>
                <w:rFonts w:hint="eastAsia" w:ascii="仿宋" w:hAnsi="仿宋" w:eastAsia="仿宋" w:cs="宋体"/>
                <w:kern w:val="0"/>
                <w:szCs w:val="21"/>
              </w:rPr>
              <w:t>7.结构：（1）采用四块组合推拉结构、中间两块推拉、左右两边两块固定，电视白板置于绿板中间。滑轨采用独立、与外框一体化设计的独立滑轨。（2）上轮采用减震消音双吊轮，牢固耐用噪音低（3）推拉书写板下框带有集灰盒及橡胶刷（4）推拉活动书写板带有锁装置，两块滑动板滑到中间时可锁定，有效的保护电子白板或者一体机。</w:t>
            </w:r>
            <w:r>
              <w:rPr>
                <w:rFonts w:hint="eastAsia" w:ascii="仿宋" w:hAnsi="仿宋" w:eastAsia="仿宋" w:cs="宋体"/>
                <w:kern w:val="0"/>
                <w:szCs w:val="21"/>
              </w:rPr>
              <w:br w:type="textWrapping"/>
            </w:r>
            <w:r>
              <w:rPr>
                <w:rFonts w:hint="eastAsia" w:ascii="仿宋" w:hAnsi="仿宋" w:eastAsia="仿宋" w:cs="宋体"/>
                <w:kern w:val="0"/>
                <w:szCs w:val="21"/>
              </w:rPr>
              <w:t>★8.推拉绿板外框尺寸：4.00m×1.20m，具体尺寸根据实际情况进行微调。</w:t>
            </w:r>
            <w:r>
              <w:rPr>
                <w:rFonts w:hint="eastAsia" w:ascii="仿宋" w:hAnsi="仿宋" w:eastAsia="仿宋" w:cs="宋体"/>
                <w:kern w:val="0"/>
                <w:szCs w:val="21"/>
              </w:rPr>
              <w:br w:type="textWrapping"/>
            </w:r>
            <w:r>
              <w:rPr>
                <w:rFonts w:hint="eastAsia" w:ascii="仿宋" w:hAnsi="仿宋" w:eastAsia="仿宋" w:cs="宋体"/>
                <w:kern w:val="0"/>
                <w:szCs w:val="21"/>
              </w:rPr>
              <w:t>9.安装要求：推拉板安装件采用钢铁材质，隐形安装，数量6个；采用膨胀塞与墙体连接，离地高度：80-105cm (实际尺寸以校方要求为准)</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数码复合机</w:t>
            </w:r>
          </w:p>
        </w:tc>
        <w:tc>
          <w:tcPr>
            <w:tcW w:w="6500" w:type="dxa"/>
            <w:vAlign w:val="center"/>
          </w:tcPr>
          <w:p>
            <w:pPr>
              <w:widowControl/>
              <w:rPr>
                <w:rFonts w:ascii="仿宋" w:hAnsi="仿宋" w:eastAsia="仿宋" w:cs="宋体"/>
                <w:kern w:val="0"/>
                <w:szCs w:val="21"/>
              </w:rPr>
            </w:pPr>
            <w:r>
              <w:rPr>
                <w:rFonts w:hint="eastAsia" w:ascii="仿宋" w:hAnsi="仿宋" w:eastAsia="仿宋" w:cs="宋体"/>
                <w:kern w:val="0"/>
                <w:szCs w:val="21"/>
              </w:rPr>
              <w:t>1.复印功能，预热时间18秒，连续复印1-999缩放比例25-400%首张复印时间小于6.4秒，</w:t>
            </w:r>
            <w:r>
              <w:rPr>
                <w:rFonts w:hint="eastAsia" w:ascii="仿宋" w:hAnsi="仿宋" w:eastAsia="仿宋" w:cs="宋体"/>
                <w:kern w:val="0"/>
                <w:szCs w:val="21"/>
              </w:rPr>
              <w:br w:type="textWrapping"/>
            </w:r>
            <w:r>
              <w:rPr>
                <w:rFonts w:hint="eastAsia" w:ascii="仿宋" w:hAnsi="仿宋" w:eastAsia="仿宋" w:cs="宋体"/>
                <w:kern w:val="0"/>
                <w:szCs w:val="21"/>
              </w:rPr>
              <w:t>打印分辨率2400*600dpi A3幅面数码复合机，标配纸盒250页，最多600页，速度23页每分钟。</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一体化速印机</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(1)工作方式：扫描头移动式扫描．热敏制版．记忆印刷</w:t>
            </w:r>
            <w:r>
              <w:rPr>
                <w:rFonts w:hint="eastAsia" w:ascii="仿宋" w:hAnsi="仿宋" w:eastAsia="仿宋" w:cs="宋体"/>
                <w:kern w:val="0"/>
                <w:szCs w:val="21"/>
              </w:rPr>
              <w:br w:type="textWrapping"/>
            </w:r>
            <w:r>
              <w:rPr>
                <w:rFonts w:hint="eastAsia" w:ascii="仿宋" w:hAnsi="仿宋" w:eastAsia="仿宋" w:cs="宋体"/>
                <w:kern w:val="0"/>
                <w:szCs w:val="21"/>
              </w:rPr>
              <w:t>(2)原稿类型：单页，二合一，书刊</w:t>
            </w:r>
            <w:r>
              <w:rPr>
                <w:rFonts w:hint="eastAsia" w:ascii="仿宋" w:hAnsi="仿宋" w:eastAsia="仿宋" w:cs="宋体"/>
                <w:kern w:val="0"/>
                <w:szCs w:val="21"/>
              </w:rPr>
              <w:br w:type="textWrapping"/>
            </w:r>
            <w:r>
              <w:rPr>
                <w:rFonts w:hint="eastAsia" w:ascii="仿宋" w:hAnsi="仿宋" w:eastAsia="仿宋" w:cs="宋体"/>
                <w:kern w:val="0"/>
                <w:szCs w:val="21"/>
              </w:rPr>
              <w:t>(3)图文模式：文字，图像，报刊，网屏，铅笔</w:t>
            </w:r>
            <w:r>
              <w:rPr>
                <w:rFonts w:hint="eastAsia" w:ascii="仿宋" w:hAnsi="仿宋" w:eastAsia="仿宋" w:cs="宋体"/>
                <w:kern w:val="0"/>
                <w:szCs w:val="21"/>
              </w:rPr>
              <w:br w:type="textWrapping"/>
            </w:r>
            <w:r>
              <w:rPr>
                <w:rFonts w:hint="eastAsia" w:ascii="仿宋" w:hAnsi="仿宋" w:eastAsia="仿宋" w:cs="宋体"/>
                <w:kern w:val="0"/>
                <w:szCs w:val="21"/>
              </w:rPr>
              <w:t>(4)原稿尺寸：最大297mm x432mm,最小90mm x140mm</w:t>
            </w:r>
            <w:r>
              <w:rPr>
                <w:rFonts w:hint="eastAsia" w:ascii="仿宋" w:hAnsi="仿宋" w:eastAsia="仿宋" w:cs="宋体"/>
                <w:kern w:val="0"/>
                <w:szCs w:val="21"/>
              </w:rPr>
              <w:br w:type="textWrapping"/>
            </w:r>
            <w:r>
              <w:rPr>
                <w:rFonts w:hint="eastAsia" w:ascii="仿宋" w:hAnsi="仿宋" w:eastAsia="仿宋" w:cs="宋体"/>
                <w:kern w:val="0"/>
                <w:szCs w:val="21"/>
              </w:rPr>
              <w:t>(5)印刷面积：291mm x413mm</w:t>
            </w:r>
            <w:r>
              <w:rPr>
                <w:rFonts w:hint="eastAsia" w:ascii="仿宋" w:hAnsi="仿宋" w:eastAsia="仿宋" w:cs="宋体"/>
                <w:kern w:val="0"/>
                <w:szCs w:val="21"/>
              </w:rPr>
              <w:br w:type="textWrapping"/>
            </w:r>
            <w:r>
              <w:rPr>
                <w:rFonts w:hint="eastAsia" w:ascii="仿宋" w:hAnsi="仿宋" w:eastAsia="仿宋" w:cs="宋体"/>
                <w:kern w:val="0"/>
                <w:szCs w:val="21"/>
              </w:rPr>
              <w:t>(6)印刷纸张尺寸：90mm×140mm -297mm×432mm</w:t>
            </w:r>
            <w:r>
              <w:rPr>
                <w:rFonts w:hint="eastAsia" w:ascii="仿宋" w:hAnsi="仿宋" w:eastAsia="仿宋" w:cs="宋体"/>
                <w:kern w:val="0"/>
                <w:szCs w:val="21"/>
              </w:rPr>
              <w:br w:type="textWrapping"/>
            </w:r>
            <w:r>
              <w:rPr>
                <w:rFonts w:hint="eastAsia" w:ascii="仿宋" w:hAnsi="仿宋" w:eastAsia="仿宋" w:cs="宋体"/>
                <w:kern w:val="0"/>
                <w:szCs w:val="21"/>
              </w:rPr>
              <w:t>(7)首页印刷时间：约35秒（A3幅面）</w:t>
            </w:r>
            <w:r>
              <w:rPr>
                <w:rFonts w:hint="eastAsia" w:ascii="仿宋" w:hAnsi="仿宋" w:eastAsia="仿宋" w:cs="宋体"/>
                <w:kern w:val="0"/>
                <w:szCs w:val="21"/>
              </w:rPr>
              <w:br w:type="textWrapping"/>
            </w:r>
            <w:r>
              <w:rPr>
                <w:rFonts w:hint="eastAsia" w:ascii="仿宋" w:hAnsi="仿宋" w:eastAsia="仿宋" w:cs="宋体"/>
                <w:kern w:val="0"/>
                <w:szCs w:val="21"/>
              </w:rPr>
              <w:t>(8)分辩率：300dpi×600dpi</w:t>
            </w:r>
            <w:r>
              <w:rPr>
                <w:rFonts w:hint="eastAsia" w:ascii="仿宋" w:hAnsi="仿宋" w:eastAsia="仿宋" w:cs="宋体"/>
                <w:kern w:val="0"/>
                <w:szCs w:val="21"/>
              </w:rPr>
              <w:br w:type="textWrapping"/>
            </w:r>
            <w:r>
              <w:rPr>
                <w:rFonts w:hint="eastAsia" w:ascii="仿宋" w:hAnsi="仿宋" w:eastAsia="仿宋" w:cs="宋体"/>
                <w:kern w:val="0"/>
                <w:szCs w:val="21"/>
              </w:rPr>
              <w:t>(9)印刷缩放比率：常用缩放比列：70%-141%，无极缩放：50%-200%（1%精度）</w:t>
            </w:r>
            <w:r>
              <w:rPr>
                <w:rFonts w:hint="eastAsia" w:ascii="仿宋" w:hAnsi="仿宋" w:eastAsia="仿宋" w:cs="宋体"/>
                <w:kern w:val="0"/>
                <w:szCs w:val="21"/>
              </w:rPr>
              <w:br w:type="textWrapping"/>
            </w:r>
            <w:r>
              <w:rPr>
                <w:rFonts w:hint="eastAsia" w:ascii="仿宋" w:hAnsi="仿宋" w:eastAsia="仿宋" w:cs="宋体"/>
                <w:kern w:val="0"/>
                <w:szCs w:val="21"/>
              </w:rPr>
              <w:t xml:space="preserve">(10)印刷纸张重量：40g/m2-210g/m2 </w:t>
            </w:r>
            <w:r>
              <w:rPr>
                <w:rFonts w:hint="eastAsia" w:ascii="仿宋" w:hAnsi="仿宋" w:eastAsia="仿宋" w:cs="宋体"/>
                <w:kern w:val="0"/>
                <w:szCs w:val="21"/>
              </w:rPr>
              <w:br w:type="textWrapping"/>
            </w:r>
            <w:r>
              <w:rPr>
                <w:rFonts w:hint="eastAsia" w:ascii="仿宋" w:hAnsi="仿宋" w:eastAsia="仿宋" w:cs="宋体"/>
                <w:kern w:val="0"/>
                <w:szCs w:val="21"/>
              </w:rPr>
              <w:t>(11)印刷位置调整:垂直：±10mm，水平：±20mm</w:t>
            </w:r>
            <w:r>
              <w:rPr>
                <w:rFonts w:hint="eastAsia" w:ascii="仿宋" w:hAnsi="仿宋" w:eastAsia="仿宋" w:cs="宋体"/>
                <w:kern w:val="0"/>
                <w:szCs w:val="21"/>
              </w:rPr>
              <w:br w:type="textWrapping"/>
            </w:r>
            <w:r>
              <w:rPr>
                <w:rFonts w:hint="eastAsia" w:ascii="仿宋" w:hAnsi="仿宋" w:eastAsia="仿宋" w:cs="宋体"/>
                <w:kern w:val="0"/>
                <w:szCs w:val="21"/>
              </w:rPr>
              <w:t>(12)扫描浓度:最淡、较淡、标准、较浓、最浓</w:t>
            </w:r>
            <w:r>
              <w:rPr>
                <w:rFonts w:hint="eastAsia" w:ascii="仿宋" w:hAnsi="仿宋" w:eastAsia="仿宋" w:cs="宋体"/>
                <w:kern w:val="0"/>
                <w:szCs w:val="21"/>
              </w:rPr>
              <w:br w:type="textWrapping"/>
            </w:r>
            <w:r>
              <w:rPr>
                <w:rFonts w:hint="eastAsia" w:ascii="仿宋" w:hAnsi="仿宋" w:eastAsia="仿宋" w:cs="宋体"/>
                <w:kern w:val="0"/>
                <w:szCs w:val="21"/>
              </w:rPr>
              <w:t>(13)制版浓度:最淡、较淡、标准、较浓、最浓</w:t>
            </w:r>
            <w:r>
              <w:rPr>
                <w:rFonts w:hint="eastAsia" w:ascii="仿宋" w:hAnsi="仿宋" w:eastAsia="仿宋" w:cs="宋体"/>
                <w:kern w:val="0"/>
                <w:szCs w:val="21"/>
              </w:rPr>
              <w:br w:type="textWrapping"/>
            </w:r>
            <w:r>
              <w:rPr>
                <w:rFonts w:hint="eastAsia" w:ascii="仿宋" w:hAnsi="仿宋" w:eastAsia="仿宋" w:cs="宋体"/>
                <w:kern w:val="0"/>
                <w:szCs w:val="21"/>
              </w:rPr>
              <w:t>(14)USB打印:标配</w:t>
            </w:r>
            <w:r>
              <w:rPr>
                <w:rFonts w:hint="eastAsia" w:ascii="仿宋" w:hAnsi="仿宋" w:eastAsia="仿宋" w:cs="宋体"/>
                <w:kern w:val="0"/>
                <w:szCs w:val="21"/>
              </w:rPr>
              <w:br w:type="textWrapping"/>
            </w:r>
            <w:r>
              <w:rPr>
                <w:rFonts w:hint="eastAsia" w:ascii="仿宋" w:hAnsi="仿宋" w:eastAsia="仿宋" w:cs="宋体"/>
                <w:kern w:val="0"/>
                <w:szCs w:val="21"/>
              </w:rPr>
              <w:t>(15)废版容量:30张以上</w:t>
            </w:r>
            <w:r>
              <w:rPr>
                <w:rFonts w:hint="eastAsia" w:ascii="仿宋" w:hAnsi="仿宋" w:eastAsia="仿宋" w:cs="宋体"/>
                <w:kern w:val="0"/>
                <w:szCs w:val="21"/>
              </w:rPr>
              <w:br w:type="textWrapping"/>
            </w:r>
            <w:r>
              <w:rPr>
                <w:rFonts w:hint="eastAsia" w:ascii="仿宋" w:hAnsi="仿宋" w:eastAsia="仿宋" w:cs="宋体"/>
                <w:kern w:val="0"/>
                <w:szCs w:val="21"/>
              </w:rPr>
              <w:t>(16)彩色印刷:更换滚筒</w:t>
            </w:r>
            <w:r>
              <w:rPr>
                <w:rFonts w:hint="eastAsia" w:ascii="仿宋" w:hAnsi="仿宋" w:eastAsia="仿宋" w:cs="宋体"/>
                <w:kern w:val="0"/>
                <w:szCs w:val="21"/>
              </w:rPr>
              <w:br w:type="textWrapping"/>
            </w:r>
            <w:r>
              <w:rPr>
                <w:rFonts w:hint="eastAsia" w:ascii="仿宋" w:hAnsi="仿宋" w:eastAsia="仿宋" w:cs="宋体"/>
                <w:kern w:val="0"/>
                <w:szCs w:val="21"/>
              </w:rPr>
              <w:t>(17)节能功,分组功,用户管理,保密,原稿识别,图像居中,省墨,以上功能都有</w:t>
            </w:r>
            <w:r>
              <w:rPr>
                <w:rFonts w:hint="eastAsia" w:ascii="仿宋" w:hAnsi="仿宋" w:eastAsia="仿宋" w:cs="宋体"/>
                <w:kern w:val="0"/>
                <w:szCs w:val="21"/>
              </w:rPr>
              <w:br w:type="textWrapping"/>
            </w:r>
            <w:r>
              <w:rPr>
                <w:rFonts w:hint="eastAsia" w:ascii="仿宋" w:hAnsi="仿宋" w:eastAsia="仿宋" w:cs="宋体"/>
                <w:kern w:val="0"/>
                <w:szCs w:val="21"/>
              </w:rPr>
              <w:t>(18)电源：220V,50HZ</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1419"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电脑一体机</w:t>
            </w:r>
          </w:p>
        </w:tc>
        <w:tc>
          <w:tcPr>
            <w:tcW w:w="6500" w:type="dxa"/>
            <w:vAlign w:val="center"/>
          </w:tcPr>
          <w:p>
            <w:pPr>
              <w:widowControl/>
              <w:jc w:val="left"/>
              <w:rPr>
                <w:rFonts w:ascii="仿宋" w:hAnsi="仿宋" w:eastAsia="仿宋" w:cs="宋体"/>
                <w:kern w:val="0"/>
                <w:szCs w:val="21"/>
              </w:rPr>
            </w:pPr>
            <w:r>
              <w:rPr>
                <w:rFonts w:hint="eastAsia" w:ascii="仿宋" w:hAnsi="仿宋" w:eastAsia="仿宋" w:cs="宋体"/>
                <w:kern w:val="0"/>
                <w:szCs w:val="21"/>
              </w:rPr>
              <w:t>23英寸窄边框IPS屏，4GB内存，硬盘500G机械，5400转，GT930A-2G独显。</w:t>
            </w:r>
          </w:p>
        </w:tc>
        <w:tc>
          <w:tcPr>
            <w:tcW w:w="84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737"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1071"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否</w:t>
            </w:r>
          </w:p>
        </w:tc>
      </w:tr>
    </w:tbl>
    <w:p>
      <w:pPr>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kern w:val="0"/>
          <w:sz w:val="28"/>
          <w:szCs w:val="28"/>
          <w:lang w:val="zh-CN"/>
        </w:rPr>
      </w:pPr>
      <w:r>
        <w:rPr>
          <w:rFonts w:hint="eastAsia" w:ascii="宋体" w:hAnsi="宋体" w:cs="微软雅黑"/>
          <w:b/>
          <w:sz w:val="24"/>
          <w:szCs w:val="24"/>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spacing w:line="360" w:lineRule="auto"/>
        <w:ind w:firstLine="477" w:firstLineChars="198"/>
        <w:contextualSpacing/>
        <w:rPr>
          <w:rFonts w:ascii="宋体" w:hAnsi="宋体" w:cs="宋体"/>
          <w:b/>
          <w:bCs/>
          <w:kern w:val="0"/>
          <w:sz w:val="24"/>
          <w:shd w:val="clear" w:color="auto" w:fill="FFFFFF"/>
          <w:lang w:val="zh-CN"/>
        </w:rPr>
      </w:pPr>
      <w:r>
        <w:rPr>
          <w:rFonts w:hint="eastAsia" w:ascii="宋体" w:hAnsi="宋体" w:cs="微软雅黑"/>
          <w:b/>
          <w:sz w:val="24"/>
          <w:szCs w:val="24"/>
        </w:rPr>
        <w:t>★</w:t>
      </w:r>
      <w:r>
        <w:rPr>
          <w:rFonts w:hint="eastAsia" w:ascii="宋体" w:hAnsi="宋体" w:cs="宋体"/>
          <w:b/>
          <w:bCs/>
          <w:kern w:val="0"/>
          <w:sz w:val="24"/>
          <w:shd w:val="clear" w:color="auto" w:fill="FFFFFF"/>
          <w:lang w:val="zh-CN"/>
        </w:rPr>
        <w:t>四、验收标准</w:t>
      </w:r>
    </w:p>
    <w:p>
      <w:pPr>
        <w:numPr>
          <w:ilvl w:val="0"/>
          <w:numId w:val="6"/>
        </w:num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由采购人成立验收小组,按照采购合同的约定对中标人履约情况进行验收。</w:t>
      </w:r>
    </w:p>
    <w:p>
      <w:pPr>
        <w:numPr>
          <w:ilvl w:val="0"/>
          <w:numId w:val="6"/>
        </w:num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由采购人和供货商共同委托具有验收资质的第三方机构验收，验收费用由中标人承担，验收费用不超过合同价的2%。</w:t>
      </w:r>
    </w:p>
    <w:p>
      <w:pPr>
        <w:numPr>
          <w:ilvl w:val="0"/>
          <w:numId w:val="6"/>
        </w:num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验收时,按照采购合同的约定对每一项技术、服务、安全标准的履约情况进行确认。</w:t>
      </w:r>
    </w:p>
    <w:p>
      <w:pPr>
        <w:numPr>
          <w:ilvl w:val="0"/>
          <w:numId w:val="6"/>
        </w:num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验收结束后,出具验收书,列明各项标准的验收情况及项目总体评价,由验收双方共同签署。</w:t>
      </w:r>
    </w:p>
    <w:p>
      <w:pPr>
        <w:numPr>
          <w:ilvl w:val="0"/>
          <w:numId w:val="6"/>
        </w:num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ascii="宋体" w:hAnsi="宋体" w:cs="宋体" w:eastAsiaTheme="minorEastAsia"/>
          <w:b/>
          <w:bCs/>
          <w:kern w:val="0"/>
          <w:szCs w:val="22"/>
          <w:shd w:val="clear" w:color="auto" w:fill="FFFFFF"/>
          <w:lang w:val="zh-CN"/>
        </w:rPr>
      </w:pPr>
      <w:r>
        <w:rPr>
          <w:rFonts w:hint="eastAsia" w:ascii="宋体" w:hAnsi="宋体" w:cs="微软雅黑"/>
          <w:b/>
        </w:rPr>
        <w:t>★</w:t>
      </w:r>
      <w:r>
        <w:rPr>
          <w:rFonts w:hint="eastAsia" w:ascii="宋体" w:hAnsi="宋体" w:cs="宋体"/>
          <w:b/>
          <w:bCs/>
          <w:kern w:val="0"/>
          <w:shd w:val="clear" w:color="auto" w:fill="FFFFFF"/>
          <w:lang w:val="zh-CN"/>
        </w:rPr>
        <w:t>五、</w:t>
      </w:r>
      <w:r>
        <w:rPr>
          <w:rFonts w:hint="eastAsia" w:ascii="宋体" w:hAnsi="宋体" w:cs="宋体" w:eastAsiaTheme="minorEastAsia"/>
          <w:b/>
          <w:bCs/>
          <w:kern w:val="0"/>
          <w:szCs w:val="22"/>
          <w:shd w:val="clear" w:color="auto" w:fill="FFFFFF"/>
          <w:lang w:val="zh-CN"/>
        </w:rPr>
        <w:t>A包预算金额：898400元，</w:t>
      </w:r>
      <w:r>
        <w:rPr>
          <w:rFonts w:hint="eastAsia" w:cs="宋体" w:asciiTheme="minorEastAsia" w:hAnsiTheme="minorEastAsia" w:eastAsiaTheme="minorEastAsia"/>
          <w:b/>
          <w:kern w:val="0"/>
          <w:sz w:val="21"/>
          <w:szCs w:val="21"/>
          <w:lang w:val="zh-CN"/>
        </w:rPr>
        <w:t>最高限价：</w:t>
      </w:r>
      <w:r>
        <w:rPr>
          <w:rFonts w:hint="eastAsia" w:ascii="宋体" w:hAnsi="宋体" w:cs="宋体" w:eastAsiaTheme="minorEastAsia"/>
          <w:b/>
          <w:bCs/>
          <w:kern w:val="0"/>
          <w:szCs w:val="22"/>
          <w:shd w:val="clear" w:color="auto" w:fill="FFFFFF"/>
          <w:lang w:val="zh-CN"/>
        </w:rPr>
        <w:t>898400元；B包预算金额：583994元，最高限价：583994元；C包预算金额：791139元，</w:t>
      </w:r>
      <w:r>
        <w:rPr>
          <w:rFonts w:hint="eastAsia" w:cs="宋体" w:asciiTheme="minorEastAsia" w:hAnsiTheme="minorEastAsia" w:eastAsiaTheme="minorEastAsia"/>
          <w:b/>
          <w:kern w:val="0"/>
          <w:sz w:val="21"/>
          <w:szCs w:val="21"/>
          <w:lang w:val="zh-CN"/>
        </w:rPr>
        <w:t>最高限价：</w:t>
      </w:r>
      <w:r>
        <w:rPr>
          <w:rFonts w:hint="eastAsia" w:ascii="宋体" w:hAnsi="宋体" w:cs="宋体" w:eastAsiaTheme="minorEastAsia"/>
          <w:b/>
          <w:bCs/>
          <w:kern w:val="0"/>
          <w:szCs w:val="22"/>
          <w:shd w:val="clear" w:color="auto" w:fill="FFFFFF"/>
          <w:lang w:val="zh-CN"/>
        </w:rPr>
        <w:t>：791139元。超出最高限价的投标无效。</w:t>
      </w:r>
    </w:p>
    <w:p>
      <w:pPr>
        <w:spacing w:line="360" w:lineRule="auto"/>
        <w:ind w:firstLine="241" w:firstLineChars="100"/>
        <w:contextualSpacing/>
        <w:rPr>
          <w:rFonts w:ascii="宋体" w:hAnsi="宋体" w:cs="宋体"/>
          <w:b/>
          <w:bCs/>
          <w:kern w:val="0"/>
          <w:sz w:val="24"/>
          <w:shd w:val="clear" w:color="auto" w:fill="FFFFFF"/>
          <w:lang w:val="zh-CN"/>
        </w:rPr>
      </w:pPr>
      <w:r>
        <w:rPr>
          <w:rFonts w:hint="eastAsia" w:ascii="宋体" w:hAnsi="宋体" w:cs="微软雅黑"/>
          <w:b/>
          <w:sz w:val="24"/>
          <w:szCs w:val="24"/>
        </w:rPr>
        <w:t>★</w:t>
      </w:r>
      <w:r>
        <w:rPr>
          <w:rFonts w:hint="eastAsia" w:ascii="宋体" w:hAnsi="宋体" w:cs="宋体"/>
          <w:b/>
          <w:bCs/>
          <w:kern w:val="0"/>
          <w:sz w:val="24"/>
          <w:shd w:val="clear" w:color="auto" w:fill="FFFFFF"/>
          <w:lang w:val="zh-CN"/>
        </w:rPr>
        <w:t>六、资金支付</w:t>
      </w:r>
    </w:p>
    <w:p>
      <w:pPr>
        <w:pStyle w:val="40"/>
        <w:numPr>
          <w:ilvl w:val="0"/>
          <w:numId w:val="7"/>
        </w:numPr>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支付方式：</w:t>
      </w:r>
      <w:r>
        <w:rPr>
          <w:rFonts w:hint="eastAsia" w:cs="宋体" w:asciiTheme="minorEastAsia" w:hAnsiTheme="minorEastAsia"/>
          <w:kern w:val="0"/>
          <w:sz w:val="24"/>
          <w:szCs w:val="24"/>
        </w:rPr>
        <w:t>银行转帐</w:t>
      </w:r>
    </w:p>
    <w:p>
      <w:pPr>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（二）支付时间及条件：</w:t>
      </w:r>
      <w:r>
        <w:rPr>
          <w:rFonts w:hint="eastAsia" w:cs="宋体" w:asciiTheme="minorEastAsia" w:hAnsiTheme="minorEastAsia"/>
          <w:kern w:val="0"/>
          <w:sz w:val="24"/>
          <w:szCs w:val="24"/>
        </w:rPr>
        <w:t>第三方验收合格后支付中标金额的90%，验收合格一年内支付中标金额的10%。</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w:t>
      </w:r>
      <w:r>
        <w:rPr>
          <w:rFonts w:hint="eastAsia" w:cs="宋体" w:asciiTheme="minorEastAsia" w:hAnsiTheme="minorEastAsia"/>
          <w:b/>
          <w:kern w:val="0"/>
          <w:sz w:val="24"/>
          <w:szCs w:val="24"/>
        </w:rPr>
        <w:t>七、</w:t>
      </w:r>
      <w:r>
        <w:rPr>
          <w:rFonts w:hint="eastAsia" w:ascii="宋体" w:hAnsi="宋体" w:cs="微软雅黑"/>
          <w:b/>
          <w:sz w:val="24"/>
          <w:szCs w:val="24"/>
        </w:rPr>
        <w:t>其他要求</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sz w:val="24"/>
          <w:szCs w:val="24"/>
        </w:rPr>
        <w:t>1、</w:t>
      </w:r>
      <w:r>
        <w:rPr>
          <w:rFonts w:hint="eastAsia" w:cs="宋体" w:asciiTheme="minorEastAsia" w:hAnsiTheme="minorEastAsia"/>
          <w:kern w:val="0"/>
          <w:sz w:val="24"/>
          <w:szCs w:val="24"/>
        </w:rPr>
        <w:t>投标人应就该项目完整投标，否则为无效投标。</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sz w:val="24"/>
          <w:szCs w:val="24"/>
        </w:rPr>
        <w:t>2、</w:t>
      </w:r>
      <w:r>
        <w:rPr>
          <w:rFonts w:ascii="宋体" w:hAnsi="宋体" w:eastAsia="宋体" w:cs="宋体"/>
          <w:kern w:val="0"/>
          <w:sz w:val="24"/>
          <w:szCs w:val="24"/>
        </w:rPr>
        <w:t>服务标准、期限、效率等要求</w:t>
      </w:r>
      <w:r>
        <w:rPr>
          <w:rFonts w:hint="eastAsia" w:ascii="宋体" w:hAnsi="宋体" w:eastAsia="宋体" w:cs="宋体"/>
          <w:kern w:val="0"/>
          <w:sz w:val="24"/>
          <w:szCs w:val="24"/>
        </w:rPr>
        <w:t>：所有产品免费质保期限最低为叁年。在质保期内产品发生质量问题时应即时免费为使用方更换，保证产品正常使用。保修期结束后，仍负责提供维修服务，只能收取成本费。解决问题时间不得超过24小时。</w:t>
      </w:r>
    </w:p>
    <w:p>
      <w:pPr>
        <w:wordWrap w:val="0"/>
        <w:topLinePunct/>
        <w:spacing w:line="360" w:lineRule="auto"/>
        <w:ind w:firstLine="480" w:firstLineChars="200"/>
        <w:rPr>
          <w:rFonts w:ascii="宋体" w:cs="宋体"/>
          <w:sz w:val="24"/>
          <w:lang w:val="zh-CN"/>
        </w:rPr>
      </w:pPr>
      <w:r>
        <w:rPr>
          <w:rFonts w:hint="eastAsia" w:ascii="宋体" w:cs="宋体"/>
          <w:sz w:val="24"/>
          <w:lang w:val="zh-CN"/>
        </w:rPr>
        <w:t xml:space="preserve">3、本项目为交钥匙工程。 </w:t>
      </w:r>
    </w:p>
    <w:p>
      <w:pPr>
        <w:pStyle w:val="2"/>
        <w:ind w:firstLine="340"/>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项目名称：南海街小学教学及办公用品采购项目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项目编号：JZFCG-G2018057号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项目内容：A包：教学及学生生活用品采购；B包：空调及饮水设备采购；C包：智能教学设备采购。</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项目地址：南海街小学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名称：许昌市东城区教育局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地址：许昌市新兴路东段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联系人：谢文凯</w:t>
            </w:r>
            <w:r>
              <w:rPr>
                <w:rFonts w:cs="仿宋_GB2312" w:asciiTheme="minorEastAsia" w:hAnsiTheme="minorEastAsia"/>
                <w:sz w:val="24"/>
                <w:szCs w:val="24"/>
              </w:rPr>
              <w:t> </w:t>
            </w:r>
            <w:r>
              <w:rPr>
                <w:rFonts w:hint="eastAsia" w:cs="仿宋_GB2312" w:asciiTheme="minorEastAsia" w:hAnsiTheme="minorEastAsia"/>
                <w:sz w:val="24"/>
                <w:szCs w:val="24"/>
              </w:rPr>
              <w:t xml:space="preserve"> </w:t>
            </w:r>
            <w:r>
              <w:rPr>
                <w:rFonts w:cs="仿宋_GB2312" w:asciiTheme="minorEastAsia" w:hAnsiTheme="minorEastAsia"/>
                <w:sz w:val="24"/>
                <w:szCs w:val="24"/>
              </w:rPr>
              <w:t>   联系电话：</w:t>
            </w:r>
            <w:r>
              <w:rPr>
                <w:rFonts w:hint="eastAsia" w:cs="仿宋_GB2312" w:asciiTheme="minorEastAsia" w:hAnsiTheme="minorEastAsia"/>
                <w:sz w:val="24"/>
                <w:szCs w:val="24"/>
              </w:rPr>
              <w:t>13837485998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名称：中科华水工程管理有限公司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地址：郑州市金水区金成时代广场9号楼18层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w:t>
            </w:r>
            <w:r>
              <w:rPr>
                <w:rFonts w:cs="仿宋_GB2312" w:asciiTheme="minorEastAsia" w:hAnsiTheme="minorEastAsia"/>
                <w:sz w:val="24"/>
                <w:szCs w:val="24"/>
              </w:rPr>
              <w:t xml:space="preserve"> </w:t>
            </w:r>
            <w:r>
              <w:rPr>
                <w:rFonts w:hint="eastAsia" w:cs="仿宋_GB2312" w:asciiTheme="minorEastAsia" w:hAnsiTheme="minorEastAsia"/>
                <w:sz w:val="24"/>
                <w:szCs w:val="24"/>
              </w:rPr>
              <w:t>系</w:t>
            </w:r>
            <w:r>
              <w:rPr>
                <w:rFonts w:cs="仿宋_GB2312" w:asciiTheme="minorEastAsia" w:hAnsiTheme="minorEastAsia"/>
                <w:sz w:val="24"/>
                <w:szCs w:val="24"/>
              </w:rPr>
              <w:t xml:space="preserve"> </w:t>
            </w:r>
            <w:r>
              <w:rPr>
                <w:rFonts w:hint="eastAsia" w:cs="仿宋_GB2312" w:asciiTheme="minorEastAsia" w:hAnsiTheme="minorEastAsia"/>
                <w:sz w:val="24"/>
                <w:szCs w:val="24"/>
              </w:rPr>
              <w:t>人：杨女士</w:t>
            </w:r>
            <w:r>
              <w:rPr>
                <w:rFonts w:cs="仿宋_GB2312" w:asciiTheme="minorEastAsia" w:hAnsiTheme="minorEastAsia"/>
                <w:sz w:val="24"/>
                <w:szCs w:val="24"/>
              </w:rPr>
              <w:tab/>
            </w:r>
            <w:r>
              <w:rPr>
                <w:rFonts w:hint="eastAsia" w:cs="仿宋_GB2312" w:asciiTheme="minorEastAsia" w:hAnsiTheme="minorEastAsia"/>
                <w:sz w:val="24"/>
                <w:szCs w:val="24"/>
              </w:rPr>
              <w:t xml:space="preserve">       联系电话：</w:t>
            </w:r>
            <w:r>
              <w:rPr>
                <w:rFonts w:cs="仿宋_GB2312" w:asciiTheme="minorEastAsia" w:hAnsiTheme="minorEastAsia"/>
                <w:sz w:val="24"/>
                <w:szCs w:val="24"/>
              </w:rPr>
              <w:t>0374-</w:t>
            </w:r>
            <w:r>
              <w:rPr>
                <w:rFonts w:hint="eastAsia" w:cs="仿宋_GB2312" w:asciiTheme="minorEastAsia" w:hAnsiTheme="minorEastAsia"/>
                <w:sz w:val="24"/>
                <w:szCs w:val="24"/>
              </w:rPr>
              <w:t>2665899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4"/>
                <w:szCs w:val="24"/>
                <w:lang w:val="zh-CN"/>
              </w:rPr>
              <w:t>A包：898400元；B包：583994元；C包：791139元，超出最高限价的投标无效。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rPr>
              <w:t xml:space="preserve">8 </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14</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u w:val="single"/>
              </w:rPr>
              <w:t>四</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金额：A包:大写：壹万柒仟元（¥17000元）；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B包：大写：壹万壹仟元整（¥11000元）；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C包：大写：壹万伍仟元整（¥15000元）；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w:t>
            </w:r>
            <w:r>
              <w:rPr>
                <w:rFonts w:hint="eastAsia" w:cs="仿宋_GB2312" w:asciiTheme="minorEastAsia" w:hAnsiTheme="minorEastAsia"/>
                <w:b/>
                <w:sz w:val="24"/>
                <w:szCs w:val="24"/>
              </w:rPr>
              <w:t>本二</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sz w:val="24"/>
                <w:szCs w:val="24"/>
              </w:rPr>
              <w:t>收取标准:中标合同金额的</w:t>
            </w:r>
            <w:r>
              <w:rPr>
                <w:rFonts w:hint="eastAsia" w:cs="宋体" w:asciiTheme="minorEastAsia" w:hAnsiTheme="minorEastAsia"/>
                <w:sz w:val="24"/>
                <w:szCs w:val="24"/>
                <w:u w:val="single"/>
              </w:rPr>
              <w:t>1.5</w:t>
            </w:r>
            <w:r>
              <w:rPr>
                <w:rFonts w:hint="eastAsia" w:cs="宋体" w:asciiTheme="minorEastAsia" w:hAnsiTheme="minorEastAsia"/>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fldChar w:fldCharType="begin"/>
            </w:r>
            <w:r>
              <w:instrText xml:space="preserve"> HYPERLINK "mailto:hnhsdlxcgs@126.com" </w:instrText>
            </w:r>
            <w:r>
              <w:fldChar w:fldCharType="separate"/>
            </w:r>
            <w:r>
              <w:rPr>
                <w:rStyle w:val="27"/>
                <w:rFonts w:hint="eastAsia" w:cs="宋体" w:asciiTheme="minorEastAsia" w:hAnsiTheme="minorEastAsia"/>
                <w:bCs/>
                <w:color w:val="auto"/>
                <w:sz w:val="24"/>
                <w:szCs w:val="24"/>
                <w:lang w:val="zh-CN"/>
              </w:rPr>
              <w:t>hnhsdlxcgs@126.com</w:t>
            </w:r>
            <w:r>
              <w:rPr>
                <w:rStyle w:val="27"/>
                <w:rFonts w:hint="eastAsia" w:cs="宋体" w:asciiTheme="minorEastAsia" w:hAnsiTheme="minorEastAsia"/>
                <w:bCs/>
                <w:color w:val="auto"/>
                <w:sz w:val="24"/>
                <w:szCs w:val="24"/>
                <w:lang w:val="zh-CN"/>
              </w:rPr>
              <w:fldChar w:fldCharType="end"/>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适用范围</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1.1本招标文件仅适用于本次“投标邀请”中所述采购项目。</w:t>
      </w:r>
    </w:p>
    <w:p>
      <w:pPr>
        <w:pStyle w:val="40"/>
        <w:autoSpaceDE w:val="0"/>
        <w:autoSpaceDN w:val="0"/>
        <w:adjustRightInd w:val="0"/>
        <w:snapToGrid w:val="0"/>
        <w:spacing w:line="360" w:lineRule="auto"/>
        <w:ind w:left="964" w:firstLine="0" w:firstLineChars="0"/>
        <w:rPr>
          <w:rFonts w:cs="宋体" w:asciiTheme="minorEastAsia" w:hAnsiTheme="minorEastAsia"/>
          <w:kern w:val="0"/>
          <w:szCs w:val="21"/>
        </w:rPr>
      </w:pPr>
      <w:r>
        <w:rPr>
          <w:rFonts w:hint="eastAsia" w:cs="宋体" w:asciiTheme="minorEastAsia" w:hAnsiTheme="minorEastAsia"/>
          <w:kern w:val="0"/>
          <w:szCs w:val="21"/>
        </w:rPr>
        <w:t>1.2本招标文件解释权属于“投标邀请”所述的采购人。</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定义</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2.1 “采购项目”：“投标人须知前附表”中所述的采购项目。</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2.2“招标人”：“投标人须知前附表”中所述的组织本次招标的代理机构和采购人。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2.3“采购人”：是指依法进行政府采购的国家机关、事业单位、团体组织。采购人名称、地址、电话、联系人见“投标人须知前附表”。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2.4“代理机构”：接受采购人委托，代理采购项目的采购代理机构。代理机构名称、地址、 电话、联系人见“投标人须知前附表”。</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2.7“节能产品”或者“环保产品”：财政部发布的《节能产品政府采购清单》或者《环境标志产品政府采购清单》的产品。</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2.8.1</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2.8.2</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8"/>
        </w:numPr>
        <w:autoSpaceDE w:val="0"/>
        <w:autoSpaceDN w:val="0"/>
        <w:adjustRightInd w:val="0"/>
        <w:snapToGrid w:val="0"/>
        <w:spacing w:line="360" w:lineRule="auto"/>
        <w:ind w:firstLineChars="0"/>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合格的投标人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3.1在中华人民共和国境内注册，具有本项目生产、制造、供应或实施能力，符合、承认并承诺履行本招标文件各项规定的法人、其他组织或者自然人。</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3.2符合本项目“投标邀请”和“投标人须知前附表”中规定的合格投标人所必须具备的条件。</w:t>
      </w:r>
    </w:p>
    <w:p>
      <w:pPr>
        <w:pStyle w:val="40"/>
        <w:autoSpaceDE w:val="0"/>
        <w:autoSpaceDN w:val="0"/>
        <w:adjustRightInd w:val="0"/>
        <w:snapToGrid w:val="0"/>
        <w:spacing w:line="360" w:lineRule="auto"/>
        <w:ind w:left="420" w:firstLine="0" w:firstLineChars="0"/>
        <w:rPr>
          <w:rFonts w:cs="宋体" w:asciiTheme="minorEastAsia" w:hAnsiTheme="minorEastAsia"/>
          <w:spacing w:val="-2"/>
          <w:kern w:val="0"/>
          <w:szCs w:val="21"/>
        </w:rPr>
      </w:pPr>
      <w:r>
        <w:rPr>
          <w:rFonts w:hint="eastAsia" w:cs="宋体" w:asciiTheme="minorEastAsia" w:hAnsiTheme="minorEastAsia"/>
          <w:spacing w:val="-2"/>
          <w:kern w:val="0"/>
          <w:szCs w:val="21"/>
        </w:rPr>
        <w:t>3.3政府采购活动中查询及使用投标人信用记录的具体要求为：投标人未被列入失信被执行人、重大税收违法案件当事人名单、</w:t>
      </w:r>
      <w:r>
        <w:rPr>
          <w:rFonts w:cs="仿宋_GB2312" w:asciiTheme="minorEastAsia" w:hAnsiTheme="minorEastAsia"/>
          <w:spacing w:val="-2"/>
          <w:szCs w:val="21"/>
          <w:shd w:val="clear" w:color="auto" w:fill="FFFFFF"/>
        </w:rPr>
        <w:t>政府采购严重违法失信名单</w:t>
      </w:r>
      <w:r>
        <w:rPr>
          <w:rFonts w:hint="eastAsia" w:cs="仿宋_GB2312" w:asciiTheme="minorEastAsia" w:hAnsiTheme="minorEastAsia"/>
          <w:spacing w:val="-2"/>
          <w:szCs w:val="21"/>
          <w:shd w:val="clear" w:color="auto" w:fill="FFFFFF"/>
        </w:rPr>
        <w:t>、</w:t>
      </w:r>
      <w:r>
        <w:rPr>
          <w:rFonts w:hint="eastAsia" w:cs="宋体" w:asciiTheme="minorEastAsia" w:hAnsiTheme="minorEastAsia"/>
          <w:spacing w:val="-2"/>
          <w:kern w:val="0"/>
          <w:szCs w:val="21"/>
        </w:rPr>
        <w:t>政府采购严重违法失信行为记录名单（联合体形式投标的，联合体成员存在不良信用记录，视同联合体存在不良信用记录）。</w:t>
      </w:r>
    </w:p>
    <w:p>
      <w:pPr>
        <w:pStyle w:val="40"/>
        <w:autoSpaceDE w:val="0"/>
        <w:autoSpaceDN w:val="0"/>
        <w:adjustRightInd w:val="0"/>
        <w:snapToGrid w:val="0"/>
        <w:spacing w:line="360" w:lineRule="auto"/>
        <w:ind w:left="420" w:firstLine="0" w:firstLineChars="0"/>
        <w:rPr>
          <w:rFonts w:cs="宋体" w:asciiTheme="minorEastAsia" w:hAnsiTheme="minorEastAsia"/>
          <w:b/>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3.4单位负责人为同一人或者存在直接控股、管理关系的不同供应商，不得参加同一合同项下的政府采购活动；</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3.5除单一来源采购项目外，为采购项目提供整体设计、规范编制或者项目管理、监理、检测等服务的供应商，不得再参加该采购项目的其他采购活动。</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3.6“投标邀请”和“投标人须知前附表”规定接受联合体投标的，除应符合本章第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3.7法律、行政法规规定的其他条件。</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合格的货物和服务</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4.2投标人所提供的服务应当没有侵犯任何第三方的知识产权、技术秘密等合法权利。</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4.4投标人所投产品如被列入财政部与国家主管部门颁发的节能产品目录或环境标志产品目录，应提供相关证明，在评标时予以优先采购。</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4.5如投标人所投产品被列入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4.6投标人所投产品如被列入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adjustRightInd w:val="0"/>
        <w:snapToGrid w:val="0"/>
        <w:spacing w:line="360" w:lineRule="auto"/>
        <w:ind w:left="964" w:firstLine="0" w:firstLineChars="0"/>
        <w:rPr>
          <w:rFonts w:cs="宋体" w:asciiTheme="minorEastAsia" w:hAnsiTheme="minorEastAsia"/>
          <w:kern w:val="0"/>
          <w:szCs w:val="21"/>
        </w:rPr>
      </w:pPr>
      <w:r>
        <w:rPr>
          <w:rFonts w:hint="eastAsia" w:cs="宋体" w:asciiTheme="minorEastAsia" w:hAnsiTheme="minorEastAsia"/>
          <w:kern w:val="0"/>
          <w:szCs w:val="21"/>
        </w:rPr>
        <w:t>7.1收取标准:按照中标合同金额的比例收取。详见投标人须知前附表。</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7.2收取方式：一次性以银行划账、电汇、汇票或支票的形式支付。</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9.1招标文件由以下部分组成：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本项目招标文件的澄清、答复、修改、补充内容（如有的话）</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autoSpaceDE w:val="0"/>
        <w:autoSpaceDN w:val="0"/>
        <w:adjustRightInd w:val="0"/>
        <w:snapToGrid w:val="0"/>
        <w:spacing w:line="360" w:lineRule="auto"/>
        <w:ind w:left="420" w:firstLine="0" w:firstLineChars="0"/>
        <w:rPr>
          <w:rFonts w:cs="宋体" w:asciiTheme="minorEastAsia" w:hAnsiTheme="minorEastAsia"/>
          <w:b/>
          <w:kern w:val="0"/>
          <w:szCs w:val="21"/>
        </w:rPr>
      </w:pPr>
      <w:r>
        <w:rPr>
          <w:rFonts w:hint="eastAsia" w:cs="宋体" w:asciiTheme="minorEastAsia" w:hAnsiTheme="minorEastAsia"/>
          <w:kern w:val="0"/>
          <w:szCs w:val="21"/>
        </w:rPr>
        <w:t>10.1招标人根据采购项目的具体情况，可以在招标文件公告期满后，组织已获取招标文件的潜在投标人现场考察或者召开开标前答疑会。</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autoSpaceDE w:val="0"/>
        <w:autoSpaceDN w:val="0"/>
        <w:adjustRightInd w:val="0"/>
        <w:snapToGrid w:val="0"/>
        <w:spacing w:line="360" w:lineRule="auto"/>
        <w:ind w:left="420" w:firstLine="0" w:firstLineChars="0"/>
        <w:rPr>
          <w:rFonts w:cs="宋体" w:asciiTheme="minorEastAsia" w:hAnsiTheme="minorEastAsia"/>
          <w:b/>
          <w:kern w:val="0"/>
          <w:szCs w:val="21"/>
        </w:rPr>
      </w:pPr>
      <w:r>
        <w:rPr>
          <w:rFonts w:hint="eastAsia" w:cs="宋体" w:asciiTheme="minorEastAsia" w:hAnsiTheme="minorEastAsia"/>
          <w:kern w:val="0"/>
          <w:szCs w:val="21"/>
        </w:rPr>
        <w:t>10.4现场考察及参加开标前答疑会所发生的费用及一切责任由投标人自行承担。</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11.2招标人可以对已发出的招标文件进行必要的澄清或者修改。澄清或者修改的内容可能影响投标文件编制的，招标人将在投标截止时间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11.4如果澄清或者修改发出的时间距规定的投标截止时间不足15日，招标人将顺延提交投标文件的截止时间。</w:t>
      </w: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12.2投标计量单位，招标文件已有明确规定的，使用招标文件规定的计量单位；招标文件没有规定的，一律采用中华人民共和国法定计量单位。</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autoSpaceDE w:val="0"/>
        <w:autoSpaceDN w:val="0"/>
        <w:adjustRightInd w:val="0"/>
        <w:snapToGrid w:val="0"/>
        <w:spacing w:line="360" w:lineRule="auto"/>
        <w:ind w:left="964" w:firstLine="0" w:firstLineChars="0"/>
        <w:rPr>
          <w:rFonts w:cs="宋体" w:asciiTheme="minorEastAsia" w:hAnsiTheme="minorEastAsia"/>
          <w:kern w:val="0"/>
          <w:szCs w:val="21"/>
        </w:rPr>
      </w:pPr>
      <w:r>
        <w:rPr>
          <w:rFonts w:hint="eastAsia" w:cs="宋体" w:asciiTheme="minorEastAsia" w:hAnsiTheme="minorEastAsia"/>
          <w:kern w:val="0"/>
          <w:szCs w:val="21"/>
        </w:rPr>
        <w:t>13.1本次招标项目的投标均以人民币为计算单位。</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13.2采购人不得向投标人索要或者接受其给予的赠品、回扣或者与采购无关的其他商品、服务。</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13.3投标人应对项目要求的全部内容进行报价，少报漏报将导致其投标为非实质性响应予以拒绝。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13.5本项目所涉及的运输、施工、安装、集成、调试、验收、备品和工具等费用均包含在投标报价中。</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13.8最低报价不能作为中标的保证。</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投标有效期</w:t>
      </w:r>
    </w:p>
    <w:p>
      <w:pPr>
        <w:autoSpaceDE w:val="0"/>
        <w:autoSpaceDN w:val="0"/>
        <w:adjustRightInd w:val="0"/>
        <w:snapToGrid w:val="0"/>
        <w:spacing w:line="360" w:lineRule="auto"/>
        <w:ind w:firstLine="315" w:firstLineChars="150"/>
        <w:rPr>
          <w:rFonts w:cs="宋体" w:asciiTheme="minorEastAsia" w:hAnsiTheme="minorEastAsia"/>
          <w:kern w:val="0"/>
          <w:szCs w:val="21"/>
        </w:rPr>
      </w:pPr>
      <w:r>
        <w:rPr>
          <w:rFonts w:hint="eastAsia" w:cs="宋体" w:asciiTheme="minorEastAsia" w:hAnsiTheme="minor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315" w:firstLineChars="150"/>
        <w:rPr>
          <w:rFonts w:cs="宋体" w:asciiTheme="minorEastAsia" w:hAnsiTheme="minorEastAsia"/>
          <w:kern w:val="0"/>
          <w:szCs w:val="21"/>
        </w:rPr>
      </w:pPr>
      <w:r>
        <w:rPr>
          <w:rFonts w:hint="eastAsia" w:cs="宋体" w:asciiTheme="minorEastAsia" w:hAnsiTheme="minorEastAsia"/>
          <w:kern w:val="0"/>
          <w:szCs w:val="21"/>
        </w:rPr>
        <w:t>14.2投标有效期内投标人撤销投标文件的，招标人将不退还投标保证金。</w:t>
      </w:r>
    </w:p>
    <w:p>
      <w:pPr>
        <w:autoSpaceDE w:val="0"/>
        <w:autoSpaceDN w:val="0"/>
        <w:adjustRightInd w:val="0"/>
        <w:snapToGrid w:val="0"/>
        <w:spacing w:line="360" w:lineRule="auto"/>
        <w:ind w:firstLine="315" w:firstLineChars="150"/>
        <w:rPr>
          <w:rFonts w:cs="宋体" w:asciiTheme="minorEastAsia" w:hAnsiTheme="minorEastAsia"/>
          <w:kern w:val="0"/>
          <w:szCs w:val="21"/>
        </w:rPr>
      </w:pPr>
      <w:r>
        <w:rPr>
          <w:rFonts w:hint="eastAsia" w:cs="宋体" w:asciiTheme="minorEastAsia" w:hAnsiTheme="minor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adjustRightInd w:val="0"/>
        <w:snapToGrid w:val="0"/>
        <w:spacing w:line="360" w:lineRule="auto"/>
        <w:ind w:firstLine="315" w:firstLineChars="150"/>
        <w:rPr>
          <w:rFonts w:cs="宋体" w:asciiTheme="minorEastAsia" w:hAnsiTheme="minorEastAsia"/>
          <w:kern w:val="0"/>
          <w:szCs w:val="21"/>
        </w:rPr>
      </w:pPr>
      <w:r>
        <w:rPr>
          <w:rFonts w:hint="eastAsia" w:cs="宋体" w:asciiTheme="minorEastAsia" w:hAnsiTheme="minorEastAsia"/>
          <w:kern w:val="0"/>
          <w:szCs w:val="21"/>
        </w:rPr>
        <w:t>14.4中标人的投标文件作为项目合同的附件，其有效期至中标人全部合同义务履行完毕为止。</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投标文件构成</w:t>
      </w:r>
    </w:p>
    <w:p>
      <w:pPr>
        <w:autoSpaceDE w:val="0"/>
        <w:autoSpaceDN w:val="0"/>
        <w:adjustRightInd w:val="0"/>
        <w:snapToGrid w:val="0"/>
        <w:spacing w:line="360" w:lineRule="auto"/>
        <w:ind w:firstLine="411" w:firstLineChars="196"/>
        <w:rPr>
          <w:rFonts w:cs="宋体" w:asciiTheme="minorEastAsia" w:hAnsiTheme="minorEastAsia"/>
          <w:b/>
          <w:kern w:val="0"/>
          <w:szCs w:val="21"/>
        </w:rPr>
      </w:pPr>
      <w:r>
        <w:rPr>
          <w:rFonts w:hint="eastAsia" w:cs="宋体" w:asciiTheme="minorEastAsia" w:hAnsiTheme="minorEastAsia"/>
          <w:kern w:val="0"/>
          <w:szCs w:val="21"/>
        </w:rPr>
        <w:t>15.1投标文件的构成应符合法律法规及招标文件的要求。</w:t>
      </w:r>
    </w:p>
    <w:p>
      <w:pPr>
        <w:autoSpaceDE w:val="0"/>
        <w:autoSpaceDN w:val="0"/>
        <w:adjustRightInd w:val="0"/>
        <w:snapToGrid w:val="0"/>
        <w:spacing w:line="360" w:lineRule="auto"/>
        <w:ind w:firstLine="411" w:firstLineChars="196"/>
        <w:rPr>
          <w:rFonts w:cs="宋体" w:asciiTheme="minorEastAsia" w:hAnsiTheme="minorEastAsia"/>
          <w:b/>
          <w:kern w:val="0"/>
          <w:szCs w:val="21"/>
        </w:rPr>
      </w:pPr>
      <w:r>
        <w:rPr>
          <w:rFonts w:hint="eastAsia" w:cs="宋体" w:asciiTheme="minorEastAsia" w:hAnsiTheme="minorEastAsia"/>
          <w:kern w:val="0"/>
          <w:szCs w:val="21"/>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11" w:firstLineChars="196"/>
        <w:rPr>
          <w:rFonts w:cs="宋体" w:asciiTheme="minorEastAsia" w:hAnsiTheme="minorEastAsia"/>
          <w:b/>
          <w:kern w:val="0"/>
          <w:szCs w:val="21"/>
        </w:rPr>
      </w:pPr>
      <w:r>
        <w:rPr>
          <w:rFonts w:hint="eastAsia" w:cs="宋体" w:asciiTheme="minorEastAsia" w:hAnsiTheme="minorEastAsia"/>
          <w:kern w:val="0"/>
          <w:szCs w:val="21"/>
        </w:rPr>
        <w:t>15.3投标文件由资格证明材料、符合性证明材料、其它材料等组成。</w:t>
      </w:r>
    </w:p>
    <w:p>
      <w:pPr>
        <w:autoSpaceDE w:val="0"/>
        <w:autoSpaceDN w:val="0"/>
        <w:adjustRightInd w:val="0"/>
        <w:snapToGrid w:val="0"/>
        <w:spacing w:line="360" w:lineRule="auto"/>
        <w:ind w:firstLine="411" w:firstLineChars="196"/>
        <w:rPr>
          <w:rFonts w:cs="宋体" w:asciiTheme="minorEastAsia" w:hAnsiTheme="minorEastAsia"/>
          <w:b/>
          <w:kern w:val="0"/>
          <w:szCs w:val="21"/>
        </w:rPr>
      </w:pPr>
      <w:r>
        <w:rPr>
          <w:rFonts w:hint="eastAsia" w:cs="宋体" w:asciiTheme="minorEastAsia" w:hAnsiTheme="minor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11" w:firstLineChars="196"/>
        <w:rPr>
          <w:rFonts w:cs="宋体" w:asciiTheme="minorEastAsia" w:hAnsiTheme="minorEastAsia"/>
          <w:b/>
          <w:kern w:val="0"/>
          <w:szCs w:val="21"/>
        </w:rPr>
      </w:pPr>
      <w:r>
        <w:rPr>
          <w:rFonts w:hint="eastAsia" w:cs="宋体" w:asciiTheme="minorEastAsia" w:hAnsiTheme="minorEastAsia"/>
          <w:kern w:val="0"/>
          <w:szCs w:val="21"/>
        </w:rPr>
        <w:t>15.5投标人登录许昌公共资源交易系统下载“许昌投标文件制作系统SEARUN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adjustRightInd w:val="0"/>
        <w:snapToGrid w:val="0"/>
        <w:spacing w:line="360" w:lineRule="auto"/>
        <w:ind w:firstLine="411" w:firstLineChars="196"/>
        <w:rPr>
          <w:rFonts w:cs="宋体" w:asciiTheme="minorEastAsia" w:hAnsiTheme="minorEastAsia"/>
          <w:b/>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投标文件格式</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16.2投标人应按招标文件提供的格式编写投标文件。招标文件未提供标准格式的投标人可自行拟定。</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autoSpaceDE w:val="0"/>
        <w:autoSpaceDN w:val="0"/>
        <w:adjustRightInd w:val="0"/>
        <w:snapToGrid w:val="0"/>
        <w:spacing w:line="360" w:lineRule="auto"/>
        <w:ind w:left="964" w:firstLine="0" w:firstLineChars="0"/>
        <w:rPr>
          <w:rFonts w:cs="宋体" w:asciiTheme="minorEastAsia" w:hAnsiTheme="minorEastAsia"/>
          <w:b/>
          <w:kern w:val="0"/>
          <w:szCs w:val="21"/>
        </w:rPr>
      </w:pPr>
      <w:r>
        <w:rPr>
          <w:rFonts w:hint="eastAsia" w:cs="宋体" w:asciiTheme="minorEastAsia" w:hAnsiTheme="minorEastAsia"/>
          <w:b/>
          <w:kern w:val="0"/>
          <w:szCs w:val="21"/>
        </w:rPr>
        <w:t>17.1投标保证金的缴纳</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adjustRightInd w:val="0"/>
        <w:snapToGrid w:val="0"/>
        <w:spacing w:line="360" w:lineRule="auto"/>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0"/>
        <w:autoSpaceDE w:val="0"/>
        <w:autoSpaceDN w:val="0"/>
        <w:adjustRightInd w:val="0"/>
        <w:snapToGrid w:val="0"/>
        <w:spacing w:line="360" w:lineRule="auto"/>
        <w:ind w:left="544" w:firstLine="0" w:firstLineChars="0"/>
        <w:rPr>
          <w:rFonts w:cs="宋体" w:asciiTheme="minorEastAsia" w:hAnsiTheme="minorEastAsia"/>
          <w:b/>
          <w:kern w:val="0"/>
          <w:szCs w:val="21"/>
        </w:rPr>
      </w:pPr>
      <w:r>
        <w:rPr>
          <w:rFonts w:hint="eastAsia" w:cs="宋体" w:asciiTheme="minorEastAsia" w:hAnsiTheme="minorEastAsia"/>
          <w:b/>
          <w:kern w:val="0"/>
          <w:szCs w:val="21"/>
        </w:rPr>
        <w:t>17.2投标保证金的退还</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18.1投标人应提交投标文件份数见“投标人须知前附表”。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18.2在招标文件中已明示需盖章及签名之处，电子投标文件应按招标文件要求加盖投标人电子印章和法人电子印章或授权代表电子印章。</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18.3纸质投标文件是指投标人电子投标文件制作完成后生成的后缀名为“.PDF”的文件打印的投标文件。纸质投标文件正本和副本封面上应清楚标明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18.4纸质投标文件副本可以是纸质投标文件的正本复印而成。</w:t>
      </w: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投标文件的密封</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19.1投标人应将纸质投标文件“正本”、“ 副本”密封包装。使用电子介质存储的投标文件单独密封包装，并随纸质投标文件一并提交。</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19.2投标文件如果未按规定密封，招标人将拒绝接收。</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投标截止时间</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20.1投标人必须在“投标邀请”和“投标人须知前附表”中规定的投标截止时间前，将所有投标文件送达招标文件指定的开标地点。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20.2招标人收到投标文件后，应当如实记载投标文件的送达时间和密封情况，签收保存，并向投标人出具签收回执。任何单位和个人不得在开标前开启投标文件。</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22.1投标人在投标截止时间前，对所递交的纸质投标文件进行补充、修改或者撤回的，须书面通知招标人。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22.2投标人补充、修改的内容并作为投标文件的组成部分。补充或修改应当按招标文件要求签署、盖章、密封、递交，并应注明“修改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22.3投标人在递交纸质投标文件后，可以撤回其投标，但投标人必须在规定的投标截止时间前以书面形式告知招标人。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22.4投标人不得在投标有效期内撤销投标文件，否则招标人将不退还其投标保证金。</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pStyle w:val="40"/>
        <w:tabs>
          <w:tab w:val="left" w:pos="1260"/>
        </w:tabs>
        <w:autoSpaceDE w:val="0"/>
        <w:autoSpaceDN w:val="0"/>
        <w:adjustRightInd w:val="0"/>
        <w:snapToGrid w:val="0"/>
        <w:spacing w:line="360" w:lineRule="auto"/>
        <w:ind w:left="600" w:firstLine="0" w:firstLineChars="0"/>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开标</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24.1招标人将按招标文件规定的时间和地点组织公开开标。开标由代理机构主持，邀请投标人参加。评标委员会成员不得参加开标活动。</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24.2招标人应当对开标、评标现场活动进行全程录音录像。录音录像应当清晰可辨，音像资料作为采购文件一并存档。</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24.4投标人不足3家的，不得开标。</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24.5开标过程由采购代理机构负责记录，由参加开标的各投标人代表和相关工作人员签字确认后随采购文件一并存档。</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24.7投标人未参加开标的，视同认可开标结果。</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资格审查</w:t>
      </w:r>
    </w:p>
    <w:p>
      <w:pPr>
        <w:pStyle w:val="40"/>
        <w:autoSpaceDE w:val="0"/>
        <w:autoSpaceDN w:val="0"/>
        <w:adjustRightInd w:val="0"/>
        <w:snapToGrid w:val="0"/>
        <w:spacing w:line="360" w:lineRule="auto"/>
        <w:ind w:left="420" w:firstLine="0" w:firstLineChars="0"/>
        <w:rPr>
          <w:rFonts w:cs="宋体" w:asciiTheme="minorEastAsia" w:hAnsiTheme="minorEastAsia"/>
          <w:b/>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（3）社会影响较大。</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26.3评审专家与投标人存在下列利害关系之一的,应当回避: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26.5采购人不得担任评标小组长。</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26.7评标委员会成员名单在评标结果公告前应当保密。</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符合性审查</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27.1评标委员会依据有关法律法规和招标文件的规定，对符合资格的投标人的投标文件进行符合性审查，以确定其是否满足招标文件的实质性要求。</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27.2审查、评价投标文件是否符合招标文件的商务、技术等实质性要求。</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27.3可要求投标人对投标文件有关事项作出澄清或者说明。</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投标文件的澄清</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28.1对于投标文件中含义不明确、同类问题表述不一致或者有明显文字和计算错误的内容，评标委员会应当以书面形式要求投标人作出必要的澄清、说明或者补正。</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28.3投标人的澄清文件是其投标文件的组成部分。</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（3）单价金额小数点或者百分比有明显错位的，以开标一览表的总价为准，并修改单价；</w:t>
      </w:r>
    </w:p>
    <w:p>
      <w:pPr>
        <w:pStyle w:val="40"/>
        <w:autoSpaceDE w:val="0"/>
        <w:autoSpaceDN w:val="0"/>
        <w:adjustRightInd w:val="0"/>
        <w:snapToGrid w:val="0"/>
        <w:spacing w:line="360" w:lineRule="auto"/>
        <w:ind w:left="420" w:firstLine="0" w:firstLineChars="0"/>
        <w:rPr>
          <w:rFonts w:cs="宋体" w:asciiTheme="minorEastAsia" w:hAnsiTheme="minorEastAsia"/>
          <w:b/>
          <w:kern w:val="0"/>
          <w:szCs w:val="21"/>
        </w:rPr>
      </w:pPr>
      <w:r>
        <w:rPr>
          <w:rFonts w:hint="eastAsia" w:cs="宋体" w:asciiTheme="minorEastAsia" w:hAnsiTheme="minor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9"/>
        </w:numPr>
        <w:autoSpaceDE w:val="0"/>
        <w:autoSpaceDN w:val="0"/>
        <w:adjustRightInd w:val="0"/>
        <w:snapToGrid w:val="0"/>
        <w:spacing w:line="360" w:lineRule="auto"/>
        <w:ind w:firstLineChars="0"/>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(2)投标文件未按招标文件要求签署、盖章的；</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(3)不具备招标文件中规定的资格要求的；</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(4)报价超过招标文件中规定的预算金额或者最高限价的；</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30.2有下列情形之一的，视为投标人串通投标，其投标无效：</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(1)不同投标人的投标文件由同一单位或者个人编制；</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(2)不同投标人委托同一单位或者个人办理投标事宜；</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(3)不同投标人的投标文件载明的项目管理成员或者联系人员为同一人；</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(4)不同投标人的投标文件异常一致或者投标报价呈规律性差异；</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(5)不同投标人的投标文件相互混装；</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(6)不同投标人的投标保证金从同一单位或者个人的账户转出。</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30.5</w:t>
      </w:r>
      <w:r>
        <w:rPr>
          <w:rFonts w:cs="宋体" w:asciiTheme="minorEastAsia" w:hAnsiTheme="minorEastAsia"/>
          <w:kern w:val="0"/>
          <w:szCs w:val="21"/>
        </w:rPr>
        <w:t>法律、法规和招标文件规定的其他无效情形。</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autoSpaceDE w:val="0"/>
        <w:autoSpaceDN w:val="0"/>
        <w:adjustRightInd w:val="0"/>
        <w:snapToGrid w:val="0"/>
        <w:spacing w:line="360" w:lineRule="auto"/>
        <w:ind w:left="964" w:firstLine="0" w:firstLineChars="0"/>
        <w:rPr>
          <w:rFonts w:cs="宋体" w:asciiTheme="minorEastAsia" w:hAnsiTheme="minorEastAsia"/>
          <w:kern w:val="0"/>
          <w:szCs w:val="21"/>
        </w:rPr>
      </w:pPr>
      <w:r>
        <w:rPr>
          <w:rFonts w:hint="eastAsia" w:cs="宋体" w:asciiTheme="minorEastAsia" w:hAnsiTheme="minorEastAsia"/>
          <w:kern w:val="0"/>
          <w:szCs w:val="21"/>
        </w:rPr>
        <w:t>33.1评标方法分为最低评标价法和综合评分法。</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（1）最低评标价法</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（2）综合评分法，是指投标文件满足招标文件全部实质性要求，且按照评审因素的量化指标评审得分最高的投标人为中标候选人的评标方法。</w:t>
      </w:r>
    </w:p>
    <w:p>
      <w:pPr>
        <w:pStyle w:val="40"/>
        <w:autoSpaceDE w:val="0"/>
        <w:autoSpaceDN w:val="0"/>
        <w:adjustRightInd w:val="0"/>
        <w:snapToGrid w:val="0"/>
        <w:spacing w:line="360" w:lineRule="auto"/>
        <w:ind w:left="1804" w:firstLine="0" w:firstLineChars="0"/>
        <w:rPr>
          <w:rFonts w:cs="宋体" w:asciiTheme="minorEastAsia" w:hAnsiTheme="minorEastAsia"/>
          <w:kern w:val="0"/>
          <w:szCs w:val="21"/>
        </w:rPr>
      </w:pPr>
      <w:r>
        <w:rPr>
          <w:rFonts w:hint="eastAsia" w:cs="宋体" w:asciiTheme="minorEastAsia" w:hAnsiTheme="minorEastAsia"/>
          <w:kern w:val="0"/>
          <w:szCs w:val="21"/>
        </w:rPr>
        <w:t>33.2价格分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（2）评标过程中，不得去掉报价中的最高报价和最低报价。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（3）因落实政府采购政策进行价格调整的，以调整后的价格计算评标基准价和投标报价。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33.3本次评标具体评标方法、评标标准见（第六章 资格审查与评标）。</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推荐中标候选人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(1)确定参与评标至评标结束前私自接触投标人；</w:t>
      </w:r>
    </w:p>
    <w:p>
      <w:pPr>
        <w:pStyle w:val="40"/>
        <w:autoSpaceDE w:val="0"/>
        <w:autoSpaceDN w:val="0"/>
        <w:adjustRightInd w:val="0"/>
        <w:snapToGrid w:val="0"/>
        <w:spacing w:line="360" w:lineRule="auto"/>
        <w:ind w:left="420" w:firstLine="0" w:firstLineChars="0"/>
        <w:rPr>
          <w:rFonts w:cs="宋体" w:asciiTheme="minorEastAsia" w:hAnsiTheme="minorEastAsia"/>
          <w:spacing w:val="-4"/>
          <w:kern w:val="0"/>
          <w:szCs w:val="21"/>
        </w:rPr>
      </w:pPr>
      <w:r>
        <w:rPr>
          <w:rFonts w:hint="eastAsia" w:cs="宋体" w:asciiTheme="minorEastAsia" w:hAnsiTheme="minorEastAsia"/>
          <w:spacing w:val="-4"/>
          <w:kern w:val="0"/>
          <w:szCs w:val="21"/>
        </w:rPr>
        <w:t>(2)接受投标人提出的与投标文件不一致的澄清或者说明，《投标人须知》26条规定的情形除外；</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(3)违反评标纪律发表倾向性意见或者征询采购人的倾向性意见；</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(4)对需要专业判断的主观评审因素协商评分；</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(5)在评标过程中擅离职守，影响评标程序正常进行的；</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(6)记录、复制或者带走任何评标资料；</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(7)其他不遵守评标纪律的行为。</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保密</w:t>
      </w:r>
    </w:p>
    <w:p>
      <w:pPr>
        <w:pStyle w:val="40"/>
        <w:autoSpaceDE w:val="0"/>
        <w:autoSpaceDN w:val="0"/>
        <w:adjustRightInd w:val="0"/>
        <w:snapToGrid w:val="0"/>
        <w:spacing w:line="360" w:lineRule="auto"/>
        <w:ind w:left="420" w:firstLine="0" w:firstLineChars="0"/>
        <w:rPr>
          <w:rFonts w:cs="宋体" w:asciiTheme="minorEastAsia" w:hAnsiTheme="minorEastAsia"/>
          <w:spacing w:val="-2"/>
          <w:kern w:val="0"/>
          <w:szCs w:val="21"/>
        </w:rPr>
      </w:pPr>
      <w:r>
        <w:rPr>
          <w:rFonts w:hint="eastAsia" w:cs="宋体" w:asciiTheme="minorEastAsia" w:hAnsiTheme="minorEastAsia"/>
          <w:spacing w:val="-2"/>
          <w:kern w:val="0"/>
          <w:szCs w:val="21"/>
        </w:rPr>
        <w:t>36.1评审专家应当遵守评审工作纪律，不得泄露评审文件、评审情况和评审中获悉的商业秘密。</w:t>
      </w:r>
    </w:p>
    <w:p>
      <w:pPr>
        <w:pStyle w:val="40"/>
        <w:autoSpaceDE w:val="0"/>
        <w:autoSpaceDN w:val="0"/>
        <w:adjustRightInd w:val="0"/>
        <w:snapToGrid w:val="0"/>
        <w:spacing w:line="360" w:lineRule="auto"/>
        <w:ind w:left="420" w:firstLine="0" w:firstLineChars="0"/>
        <w:rPr>
          <w:rFonts w:cs="宋体" w:asciiTheme="minorEastAsia" w:hAnsiTheme="minorEastAsia"/>
          <w:b/>
          <w:kern w:val="0"/>
          <w:szCs w:val="21"/>
        </w:rPr>
      </w:pPr>
      <w:r>
        <w:rPr>
          <w:rFonts w:hint="eastAsia" w:cs="宋体" w:asciiTheme="minorEastAsia" w:hAnsiTheme="minorEastAsia"/>
          <w:kern w:val="0"/>
          <w:szCs w:val="21"/>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37.1采购人应当自收到评标报告之日起5个工作日内，在评标报告确定的中标候选人名单中按顺序确定中标人。中标候选人并列的，由采购人采取随机抽取的方式确定。</w:t>
      </w:r>
    </w:p>
    <w:p>
      <w:pPr>
        <w:autoSpaceDE w:val="0"/>
        <w:autoSpaceDN w:val="0"/>
        <w:adjustRightInd w:val="0"/>
        <w:snapToGrid w:val="0"/>
        <w:spacing w:line="360" w:lineRule="auto"/>
        <w:ind w:left="420"/>
        <w:rPr>
          <w:rFonts w:cs="宋体" w:asciiTheme="minorEastAsia" w:hAnsiTheme="minorEastAsia"/>
          <w:kern w:val="0"/>
          <w:szCs w:val="21"/>
        </w:rPr>
      </w:pPr>
      <w:r>
        <w:rPr>
          <w:rFonts w:hint="eastAsia" w:cs="宋体" w:asciiTheme="minorEastAsia" w:hAnsiTheme="minor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38.1采购人确认中标人后，招标人在公告中标结果的同时，向中标人发出中标通知书。</w:t>
      </w:r>
    </w:p>
    <w:p>
      <w:pPr>
        <w:pStyle w:val="40"/>
        <w:autoSpaceDE w:val="0"/>
        <w:autoSpaceDN w:val="0"/>
        <w:adjustRightInd w:val="0"/>
        <w:snapToGrid w:val="0"/>
        <w:spacing w:line="360" w:lineRule="auto"/>
        <w:ind w:left="420" w:firstLine="0" w:firstLineChars="0"/>
        <w:rPr>
          <w:rFonts w:cs="宋体" w:asciiTheme="minorEastAsia" w:hAnsiTheme="minorEastAsia"/>
          <w:kern w:val="0"/>
          <w:szCs w:val="21"/>
        </w:rPr>
      </w:pPr>
      <w:r>
        <w:rPr>
          <w:rFonts w:hint="eastAsia" w:cs="宋体" w:asciiTheme="minorEastAsia" w:hAnsiTheme="minorEastAsia"/>
          <w:kern w:val="0"/>
          <w:szCs w:val="21"/>
        </w:rPr>
        <w:t>38.2中标通知书发出后，采购人不得违法改变中标结果，中标人无正当理由不得放弃中标。</w:t>
      </w:r>
    </w:p>
    <w:p>
      <w:pPr>
        <w:pStyle w:val="40"/>
        <w:autoSpaceDE w:val="0"/>
        <w:autoSpaceDN w:val="0"/>
        <w:adjustRightInd w:val="0"/>
        <w:snapToGrid w:val="0"/>
        <w:spacing w:line="360" w:lineRule="auto"/>
        <w:ind w:left="420" w:firstLine="0" w:firstLineChars="0"/>
        <w:rPr>
          <w:rFonts w:cs="宋体" w:asciiTheme="minorEastAsia" w:hAnsiTheme="minorEastAsia"/>
          <w:b/>
          <w:kern w:val="0"/>
          <w:szCs w:val="21"/>
        </w:rPr>
      </w:pPr>
      <w:r>
        <w:rPr>
          <w:rFonts w:hint="eastAsia" w:cs="宋体" w:asciiTheme="minorEastAsia" w:hAnsiTheme="minorEastAsia"/>
          <w:kern w:val="0"/>
          <w:szCs w:val="21"/>
        </w:rPr>
        <w:t>38.3中标人在接到中标通知时，须向代理机构发送投标报价及分项报价一览表（包含主要中标标的的名称、规格型号、数量、单价、服务要求等）电子文档，并同时通知代理机构联系人。</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39.1供应商认为采购文件、采购过程和中标结果使自己的权益受到损害的，可以依法向采购人、采购代理机构提出质疑。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(1)对采购文件提出质疑的，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(2)对采购过程提出质疑的，为各采购程序环节结束之日起七个工作日内，以书面形式向采购人和采购代理机构一次性提出；</w:t>
      </w:r>
    </w:p>
    <w:p>
      <w:pPr>
        <w:pStyle w:val="40"/>
        <w:autoSpaceDE w:val="0"/>
        <w:autoSpaceDN w:val="0"/>
        <w:adjustRightInd w:val="0"/>
        <w:snapToGrid w:val="0"/>
        <w:spacing w:line="360" w:lineRule="auto"/>
        <w:ind w:left="544" w:firstLine="0" w:firstLineChars="0"/>
        <w:rPr>
          <w:rFonts w:cs="宋体" w:asciiTheme="minorEastAsia" w:hAnsiTheme="minorEastAsia"/>
          <w:kern w:val="0"/>
          <w:szCs w:val="21"/>
        </w:rPr>
      </w:pPr>
      <w:r>
        <w:rPr>
          <w:rFonts w:hint="eastAsia" w:cs="宋体" w:asciiTheme="minorEastAsia" w:hAnsiTheme="minorEastAsia"/>
          <w:kern w:val="0"/>
          <w:szCs w:val="21"/>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39.2</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0"/>
        <w:numPr>
          <w:ilvl w:val="0"/>
          <w:numId w:val="8"/>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adjustRightInd w:val="0"/>
        <w:snapToGrid w:val="0"/>
        <w:spacing w:line="360" w:lineRule="auto"/>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ind w:firstLine="340"/>
      </w:pPr>
    </w:p>
    <w:p>
      <w:pPr>
        <w:pStyle w:val="2"/>
        <w:ind w:firstLine="340"/>
      </w:pPr>
    </w:p>
    <w:p>
      <w:pPr>
        <w:pStyle w:val="2"/>
        <w:ind w:firstLine="340"/>
      </w:pPr>
    </w:p>
    <w:p>
      <w:pPr>
        <w:pStyle w:val="2"/>
        <w:ind w:firstLine="340"/>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ind w:firstLine="340"/>
        <w:contextualSpacing/>
        <w:rPr>
          <w:rFonts w:cs="仿宋_GB2312" w:asciiTheme="minorEastAsia" w:hAnsiTheme="minorEastAsia"/>
          <w:lang w:val="zh-CN"/>
        </w:rPr>
      </w:pPr>
    </w:p>
    <w:p>
      <w:pPr>
        <w:pStyle w:val="13"/>
        <w:spacing w:line="360" w:lineRule="auto"/>
        <w:ind w:firstLine="211"/>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p>
            <w:pPr>
              <w:pStyle w:val="2"/>
              <w:ind w:firstLine="0" w:firstLineChars="0"/>
            </w:pPr>
            <w:r>
              <w:rPr>
                <w:rFonts w:hint="eastAsia" w:asciiTheme="minorEastAsia" w:hAnsiTheme="minorEastAsia" w:eastAsiaTheme="minorEastAsia" w:cstheme="minorBidi"/>
                <w:bCs/>
                <w:kern w:val="2"/>
                <w:sz w:val="21"/>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widowControl/>
        <w:shd w:val="clear" w:color="auto" w:fill="FFFFFF"/>
        <w:spacing w:line="360" w:lineRule="atLeast"/>
        <w:ind w:firstLine="426"/>
        <w:jc w:val="left"/>
        <w:rPr>
          <w:rFonts w:cs="仿宋" w:asciiTheme="minorEastAsia" w:hAnsiTheme="minorEastAsia"/>
          <w:kern w:val="0"/>
          <w:sz w:val="24"/>
          <w:szCs w:val="24"/>
          <w:shd w:val="clear" w:color="auto" w:fill="FFFFFF"/>
        </w:rPr>
      </w:pPr>
      <w:r>
        <w:rPr>
          <w:rFonts w:hint="eastAsia" w:cs="仿宋" w:asciiTheme="minorEastAsia" w:hAnsiTheme="minorEastAsia"/>
          <w:kern w:val="0"/>
          <w:sz w:val="24"/>
          <w:szCs w:val="24"/>
          <w:shd w:val="clear" w:color="auto" w:fill="FFFFFF"/>
        </w:rPr>
        <w:t>A包：</w:t>
      </w:r>
    </w:p>
    <w:tbl>
      <w:tblPr>
        <w:tblStyle w:val="28"/>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7"/>
        <w:gridCol w:w="606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290"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rPr>
              <w:t>分值构成</w:t>
            </w:r>
          </w:p>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rPr>
              <w:t>(总分100分)</w:t>
            </w:r>
          </w:p>
        </w:tc>
        <w:tc>
          <w:tcPr>
            <w:tcW w:w="7245" w:type="dxa"/>
            <w:gridSpan w:val="2"/>
            <w:shd w:val="clear" w:color="auto" w:fill="FFFFFF"/>
            <w:tcMar>
              <w:left w:w="108" w:type="dxa"/>
              <w:right w:w="108" w:type="dxa"/>
            </w:tcMar>
            <w:vAlign w:val="center"/>
          </w:tcPr>
          <w:p>
            <w:pPr>
              <w:widowControl/>
              <w:spacing w:line="360" w:lineRule="atLeast"/>
              <w:ind w:firstLine="480"/>
              <w:jc w:val="center"/>
              <w:rPr>
                <w:rFonts w:cs="仿宋" w:asciiTheme="minorEastAsia" w:hAnsiTheme="minorEastAsia"/>
                <w:sz w:val="24"/>
                <w:szCs w:val="24"/>
              </w:rPr>
            </w:pPr>
            <w:r>
              <w:rPr>
                <w:rFonts w:hint="eastAsia" w:cs="仿宋" w:asciiTheme="minorEastAsia" w:hAnsiTheme="minorEastAsia"/>
                <w:kern w:val="0"/>
                <w:sz w:val="24"/>
                <w:szCs w:val="24"/>
              </w:rPr>
              <w:t>价格分值：</w:t>
            </w:r>
            <w:r>
              <w:rPr>
                <w:rFonts w:hint="eastAsia" w:cs="仿宋" w:asciiTheme="minorEastAsia" w:hAnsiTheme="minorEastAsia"/>
                <w:kern w:val="0"/>
                <w:sz w:val="24"/>
                <w:szCs w:val="24"/>
                <w:u w:val="single"/>
              </w:rPr>
              <w:t> 35 </w:t>
            </w:r>
            <w:r>
              <w:rPr>
                <w:rFonts w:hint="eastAsia" w:cs="仿宋" w:asciiTheme="minorEastAsia" w:hAnsiTheme="minorEastAsia"/>
                <w:kern w:val="0"/>
                <w:sz w:val="24"/>
                <w:szCs w:val="24"/>
              </w:rPr>
              <w:t>分</w:t>
            </w:r>
          </w:p>
          <w:p>
            <w:pPr>
              <w:widowControl/>
              <w:spacing w:line="360" w:lineRule="atLeast"/>
              <w:ind w:firstLine="480"/>
              <w:jc w:val="center"/>
              <w:rPr>
                <w:rFonts w:cs="仿宋" w:asciiTheme="minorEastAsia" w:hAnsiTheme="minorEastAsia"/>
                <w:sz w:val="24"/>
                <w:szCs w:val="24"/>
              </w:rPr>
            </w:pPr>
            <w:r>
              <w:rPr>
                <w:rFonts w:hint="eastAsia" w:cs="仿宋" w:asciiTheme="minorEastAsia" w:hAnsiTheme="minorEastAsia"/>
                <w:kern w:val="0"/>
                <w:sz w:val="24"/>
                <w:szCs w:val="24"/>
              </w:rPr>
              <w:t>商务部分：</w:t>
            </w:r>
            <w:r>
              <w:rPr>
                <w:rFonts w:hint="eastAsia" w:cs="仿宋" w:asciiTheme="minorEastAsia" w:hAnsiTheme="minorEastAsia"/>
                <w:kern w:val="0"/>
                <w:sz w:val="24"/>
                <w:szCs w:val="24"/>
                <w:u w:val="single"/>
              </w:rPr>
              <w:t xml:space="preserve">  30 </w:t>
            </w:r>
            <w:r>
              <w:rPr>
                <w:rFonts w:hint="eastAsia" w:cs="仿宋" w:asciiTheme="minorEastAsia" w:hAnsiTheme="minorEastAsia"/>
                <w:kern w:val="0"/>
                <w:sz w:val="24"/>
                <w:szCs w:val="24"/>
              </w:rPr>
              <w:t>分</w:t>
            </w:r>
          </w:p>
          <w:p>
            <w:pPr>
              <w:widowControl/>
              <w:spacing w:line="360" w:lineRule="atLeast"/>
              <w:ind w:firstLine="480"/>
              <w:jc w:val="center"/>
              <w:rPr>
                <w:rFonts w:cs="仿宋" w:asciiTheme="minorEastAsia" w:hAnsiTheme="minorEastAsia"/>
                <w:sz w:val="24"/>
                <w:szCs w:val="24"/>
              </w:rPr>
            </w:pPr>
            <w:r>
              <w:rPr>
                <w:rFonts w:hint="eastAsia" w:cs="仿宋" w:asciiTheme="minorEastAsia" w:hAnsiTheme="minorEastAsia"/>
                <w:kern w:val="0"/>
                <w:sz w:val="24"/>
                <w:szCs w:val="24"/>
              </w:rPr>
              <w:t>技术部分：</w:t>
            </w:r>
            <w:r>
              <w:rPr>
                <w:rFonts w:hint="eastAsia" w:cs="仿宋" w:asciiTheme="minorEastAsia" w:hAnsiTheme="minorEastAsia"/>
                <w:kern w:val="0"/>
                <w:sz w:val="24"/>
                <w:szCs w:val="24"/>
                <w:u w:val="single"/>
              </w:rPr>
              <w:t xml:space="preserve"> 35</w:t>
            </w:r>
            <w:r>
              <w:rPr>
                <w:rFonts w:cs="Calibri" w:asciiTheme="minorEastAsia" w:hAnsiTheme="minorEastAsia"/>
                <w:kern w:val="0"/>
                <w:sz w:val="24"/>
                <w:szCs w:val="24"/>
                <w:u w:val="single"/>
              </w:rPr>
              <w:t> </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302"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一、价格部分（满分</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u w:val="single"/>
              </w:rPr>
              <w:t>35</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评分标准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rPr>
              <w:t>投标报价</w:t>
            </w:r>
          </w:p>
        </w:tc>
        <w:tc>
          <w:tcPr>
            <w:tcW w:w="6069" w:type="dxa"/>
            <w:shd w:val="clear" w:color="auto" w:fill="FFFFFF"/>
            <w:tcMar>
              <w:left w:w="108" w:type="dxa"/>
              <w:right w:w="108" w:type="dxa"/>
            </w:tcMar>
            <w:vAlign w:val="center"/>
          </w:tcPr>
          <w:p>
            <w:pPr>
              <w:spacing w:line="360" w:lineRule="auto"/>
              <w:rPr>
                <w:rFonts w:cs="仿宋" w:asciiTheme="minorEastAsia" w:hAnsiTheme="minorEastAsia"/>
                <w:sz w:val="24"/>
                <w:szCs w:val="24"/>
              </w:rPr>
            </w:pPr>
            <w:r>
              <w:rPr>
                <w:rFonts w:hint="eastAsia" w:cs="仿宋" w:asciiTheme="minorEastAsia" w:hAnsiTheme="minorEastAsia"/>
                <w:sz w:val="24"/>
                <w:szCs w:val="24"/>
              </w:rPr>
              <w:t>评标基准价：满足招标文件要求的有效投标报价中，最低的投标报价为评标基准价。</w:t>
            </w:r>
          </w:p>
          <w:p>
            <w:pPr>
              <w:spacing w:line="360" w:lineRule="auto"/>
              <w:rPr>
                <w:rFonts w:cs="仿宋" w:asciiTheme="minorEastAsia" w:hAnsiTheme="minorEastAsia"/>
                <w:sz w:val="24"/>
                <w:szCs w:val="24"/>
              </w:rPr>
            </w:pPr>
            <w:r>
              <w:rPr>
                <w:rFonts w:hint="eastAsia" w:cs="仿宋" w:asciiTheme="minorEastAsia" w:hAnsiTheme="minorEastAsia"/>
                <w:sz w:val="24"/>
                <w:szCs w:val="24"/>
              </w:rPr>
              <w:t>投标报价得分=（评标基准价/投标报价）×35</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cs="Calibri" w:asciiTheme="minorEastAsia" w:hAnsiTheme="minorEastAsia"/>
                <w:kern w:val="0"/>
                <w:sz w:val="24"/>
                <w:szCs w:val="24"/>
                <w:u w:val="single"/>
              </w:rPr>
              <w:t> </w:t>
            </w:r>
            <w:r>
              <w:rPr>
                <w:rFonts w:hint="eastAsia" w:cs="仿宋" w:asciiTheme="minorEastAsia" w:hAnsiTheme="minorEastAsia"/>
                <w:kern w:val="0"/>
                <w:sz w:val="24"/>
                <w:szCs w:val="24"/>
                <w:u w:val="single"/>
              </w:rPr>
              <w:t>35</w:t>
            </w:r>
            <w:r>
              <w:rPr>
                <w:rFonts w:hint="eastAsia" w:cs="宋体" w:asciiTheme="minorEastAsia" w:hAnsiTheme="minorEastAsia"/>
                <w:kern w:val="0"/>
                <w:sz w:val="24"/>
                <w:szCs w:val="24"/>
                <w:u w:val="single"/>
              </w:rPr>
              <w:t> </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302"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二、商务部分（满分</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u w:val="single"/>
              </w:rPr>
              <w:t>30</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评分标准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057" w:type="dxa"/>
            <w:shd w:val="clear" w:color="auto" w:fill="FFFFFF"/>
            <w:tcMar>
              <w:left w:w="108" w:type="dxa"/>
              <w:right w:w="108" w:type="dxa"/>
            </w:tcMar>
            <w:vAlign w:val="center"/>
          </w:tcPr>
          <w:p>
            <w:pPr>
              <w:widowControl/>
              <w:spacing w:line="360" w:lineRule="atLeast"/>
              <w:jc w:val="center"/>
              <w:rPr>
                <w:rFonts w:cs="仿宋" w:asciiTheme="minorEastAsia" w:hAnsiTheme="minorEastAsia"/>
                <w:sz w:val="24"/>
                <w:szCs w:val="24"/>
              </w:rPr>
            </w:pPr>
            <w:r>
              <w:rPr>
                <w:rFonts w:hint="eastAsia" w:cs="仿宋" w:asciiTheme="minorEastAsia" w:hAnsiTheme="minorEastAsia"/>
                <w:kern w:val="0"/>
                <w:sz w:val="24"/>
                <w:szCs w:val="24"/>
              </w:rPr>
              <w:t>信誉</w:t>
            </w:r>
          </w:p>
        </w:tc>
        <w:tc>
          <w:tcPr>
            <w:tcW w:w="6069" w:type="dxa"/>
            <w:shd w:val="clear" w:color="auto" w:fill="FFFFFF"/>
            <w:tcMar>
              <w:left w:w="108" w:type="dxa"/>
              <w:right w:w="108" w:type="dxa"/>
            </w:tcMar>
            <w:vAlign w:val="center"/>
          </w:tcPr>
          <w:p>
            <w:pPr>
              <w:spacing w:line="360" w:lineRule="auto"/>
              <w:rPr>
                <w:rFonts w:cs="仿宋" w:asciiTheme="minorEastAsia" w:hAnsiTheme="minorEastAsia"/>
                <w:sz w:val="24"/>
                <w:szCs w:val="24"/>
              </w:rPr>
            </w:pPr>
            <w:r>
              <w:rPr>
                <w:rFonts w:hint="eastAsia" w:cs="仿宋" w:asciiTheme="minorEastAsia" w:hAnsiTheme="minorEastAsia"/>
                <w:sz w:val="24"/>
                <w:szCs w:val="24"/>
              </w:rPr>
              <w:t>1、投标人提供产品的CCC证书复印件盖投标人公章、ISO9001:2008质量管理体系认证证书复印件盖投标人公章、ISO14001:2004环境管理体系认证证书复印件盖投标人公章、ISO18001：2007职业健康安全管理体系认证证书复印件盖投标人公章；每有一项得2分，满分8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u w:val="single"/>
              </w:rPr>
              <w:t>8</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057" w:type="dxa"/>
            <w:shd w:val="clear" w:color="auto" w:fill="FFFFFF"/>
            <w:tcMar>
              <w:left w:w="108" w:type="dxa"/>
              <w:right w:w="108" w:type="dxa"/>
            </w:tcMar>
            <w:vAlign w:val="center"/>
          </w:tcPr>
          <w:p>
            <w:pPr>
              <w:widowControl/>
              <w:spacing w:line="360" w:lineRule="atLeast"/>
              <w:jc w:val="center"/>
              <w:rPr>
                <w:rFonts w:cs="仿宋" w:asciiTheme="minorEastAsia" w:hAnsiTheme="minorEastAsia"/>
                <w:sz w:val="24"/>
                <w:szCs w:val="24"/>
              </w:rPr>
            </w:pPr>
            <w:r>
              <w:rPr>
                <w:rFonts w:hint="eastAsia" w:cs="仿宋" w:asciiTheme="minorEastAsia" w:hAnsiTheme="minorEastAsia"/>
                <w:kern w:val="0"/>
                <w:sz w:val="24"/>
                <w:szCs w:val="24"/>
              </w:rPr>
              <w:t>售后服务及培训</w:t>
            </w:r>
          </w:p>
        </w:tc>
        <w:tc>
          <w:tcPr>
            <w:tcW w:w="6069" w:type="dxa"/>
            <w:shd w:val="clear" w:color="auto" w:fill="FFFFFF"/>
            <w:tcMar>
              <w:left w:w="108" w:type="dxa"/>
              <w:right w:w="108" w:type="dxa"/>
            </w:tcMar>
            <w:vAlign w:val="center"/>
          </w:tcPr>
          <w:p>
            <w:pPr>
              <w:pStyle w:val="66"/>
              <w:spacing w:line="360" w:lineRule="auto"/>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1、有详细可行的售后服务计划、人员培训计划、售后服务队伍的得3分，只有简单描述的得1分，没有相关描述的不得分；</w:t>
            </w:r>
          </w:p>
          <w:p>
            <w:pPr>
              <w:pStyle w:val="66"/>
              <w:spacing w:line="360" w:lineRule="auto"/>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 xml:space="preserve">2、对质保期内人员到达现场时间、问题响应时间、解决问题时间，描述详细、可行、时间短的得3分，只有简单描述、时间较长的得1分，无相关描述不得分。 </w:t>
            </w:r>
          </w:p>
          <w:p>
            <w:pPr>
              <w:pStyle w:val="66"/>
              <w:spacing w:line="360" w:lineRule="auto"/>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3、</w:t>
            </w:r>
            <w:r>
              <w:rPr>
                <w:rFonts w:hint="eastAsia" w:cs="仿宋" w:asciiTheme="minorEastAsia" w:hAnsiTheme="minorEastAsia" w:eastAsiaTheme="minorEastAsia"/>
                <w:sz w:val="24"/>
                <w:lang w:val="en-GB"/>
              </w:rPr>
              <w:t>具有明确的培训内容、计划合理得2分。否则不得分。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u w:val="single"/>
              </w:rPr>
              <w:t>8</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057" w:type="dxa"/>
            <w:shd w:val="clear" w:color="auto" w:fill="FFFFFF"/>
            <w:tcMar>
              <w:left w:w="108" w:type="dxa"/>
              <w:right w:w="108" w:type="dxa"/>
            </w:tcMar>
            <w:vAlign w:val="center"/>
          </w:tcPr>
          <w:p>
            <w:pPr>
              <w:widowControl/>
              <w:spacing w:line="400" w:lineRule="atLeast"/>
              <w:jc w:val="center"/>
              <w:rPr>
                <w:rFonts w:cs="宋体" w:asciiTheme="minorEastAsia" w:hAnsiTheme="minorEastAsia"/>
                <w:kern w:val="0"/>
                <w:sz w:val="24"/>
                <w:szCs w:val="24"/>
              </w:rPr>
            </w:pPr>
            <w:r>
              <w:rPr>
                <w:rFonts w:hint="eastAsia" w:cs="仿宋" w:asciiTheme="minorEastAsia" w:hAnsiTheme="minorEastAsia"/>
                <w:kern w:val="0"/>
                <w:sz w:val="24"/>
                <w:szCs w:val="24"/>
              </w:rPr>
              <w:t>业绩</w:t>
            </w:r>
          </w:p>
        </w:tc>
        <w:tc>
          <w:tcPr>
            <w:tcW w:w="6069" w:type="dxa"/>
            <w:shd w:val="clear" w:color="auto" w:fill="FFFFFF"/>
            <w:tcMar>
              <w:left w:w="108" w:type="dxa"/>
              <w:right w:w="108" w:type="dxa"/>
            </w:tcMar>
            <w:vAlign w:val="center"/>
          </w:tcPr>
          <w:p>
            <w:pPr>
              <w:spacing w:line="360" w:lineRule="auto"/>
              <w:rPr>
                <w:rFonts w:asciiTheme="minorEastAsia" w:hAnsiTheme="minorEastAsia"/>
                <w:sz w:val="24"/>
                <w:szCs w:val="24"/>
              </w:rPr>
            </w:pPr>
            <w:r>
              <w:rPr>
                <w:rFonts w:hint="eastAsia" w:asciiTheme="minorEastAsia" w:hAnsiTheme="minorEastAsia"/>
                <w:sz w:val="24"/>
                <w:szCs w:val="24"/>
              </w:rPr>
              <w:t>2015年1月1日以来具有与本包采购内容类似的项目业绩，且单项合同金额在本包采购预算金额及以上的，（合同、中标通知书），每提供一套得3分，满分9分（以合同时间为准）。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kern w:val="0"/>
                <w:sz w:val="24"/>
                <w:szCs w:val="24"/>
                <w:u w:val="single"/>
              </w:rPr>
            </w:pPr>
            <w:r>
              <w:rPr>
                <w:rFonts w:hint="eastAsia" w:cs="仿宋" w:asciiTheme="minorEastAsia" w:hAnsiTheme="minorEastAsia"/>
                <w:kern w:val="0"/>
                <w:sz w:val="24"/>
                <w:szCs w:val="24"/>
                <w:u w:val="single"/>
              </w:rPr>
              <w:t>9</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057" w:type="dxa"/>
            <w:shd w:val="clear" w:color="auto" w:fill="FFFFFF"/>
            <w:tcMar>
              <w:left w:w="108" w:type="dxa"/>
              <w:right w:w="108" w:type="dxa"/>
            </w:tcMar>
            <w:vAlign w:val="center"/>
          </w:tcPr>
          <w:p>
            <w:pPr>
              <w:widowControl/>
              <w:spacing w:line="440" w:lineRule="exact"/>
              <w:jc w:val="center"/>
              <w:rPr>
                <w:rFonts w:asciiTheme="minorEastAsia" w:hAnsiTheme="minorEastAsia"/>
                <w:sz w:val="24"/>
                <w:szCs w:val="24"/>
              </w:rPr>
            </w:pPr>
            <w:r>
              <w:rPr>
                <w:rFonts w:hint="eastAsia" w:asciiTheme="minorEastAsia" w:hAnsiTheme="minorEastAsia"/>
                <w:sz w:val="24"/>
                <w:szCs w:val="24"/>
              </w:rPr>
              <w:t>投标文件规范程度</w:t>
            </w:r>
          </w:p>
        </w:tc>
        <w:tc>
          <w:tcPr>
            <w:tcW w:w="6069" w:type="dxa"/>
            <w:shd w:val="clear" w:color="auto" w:fill="FFFFFF"/>
            <w:tcMar>
              <w:left w:w="108" w:type="dxa"/>
              <w:right w:w="108" w:type="dxa"/>
            </w:tcMar>
            <w:vAlign w:val="center"/>
          </w:tcPr>
          <w:p>
            <w:pPr>
              <w:widowControl/>
              <w:spacing w:line="360" w:lineRule="exact"/>
              <w:rPr>
                <w:rFonts w:asciiTheme="minorEastAsia" w:hAnsiTheme="minorEastAsia"/>
                <w:sz w:val="24"/>
                <w:szCs w:val="24"/>
              </w:rPr>
            </w:pPr>
            <w:r>
              <w:rPr>
                <w:rFonts w:hint="eastAsia" w:asciiTheme="minorEastAsia" w:hAnsiTheme="minorEastAsia"/>
                <w:sz w:val="24"/>
                <w:szCs w:val="24"/>
              </w:rPr>
              <w:t>1、编制规范、文字清晰、无差错3分。</w:t>
            </w:r>
          </w:p>
          <w:p>
            <w:pPr>
              <w:widowControl/>
              <w:spacing w:line="360" w:lineRule="exact"/>
              <w:jc w:val="left"/>
              <w:rPr>
                <w:rFonts w:asciiTheme="minorEastAsia" w:hAnsiTheme="minorEastAsia"/>
                <w:sz w:val="24"/>
                <w:szCs w:val="24"/>
              </w:rPr>
            </w:pPr>
            <w:r>
              <w:rPr>
                <w:rFonts w:hint="eastAsia" w:asciiTheme="minorEastAsia" w:hAnsiTheme="minorEastAsia"/>
                <w:sz w:val="24"/>
                <w:szCs w:val="24"/>
              </w:rPr>
              <w:t>2、所提供资料准确完整2分。</w:t>
            </w:r>
          </w:p>
        </w:tc>
        <w:tc>
          <w:tcPr>
            <w:tcW w:w="1176" w:type="dxa"/>
            <w:shd w:val="clear" w:color="auto" w:fill="FFFFFF"/>
            <w:tcMar>
              <w:left w:w="108" w:type="dxa"/>
              <w:right w:w="108" w:type="dxa"/>
            </w:tcMar>
            <w:vAlign w:val="center"/>
          </w:tcPr>
          <w:p>
            <w:pPr>
              <w:widowControl/>
              <w:spacing w:line="330" w:lineRule="atLeast"/>
              <w:jc w:val="center"/>
              <w:rPr>
                <w:rFonts w:asciiTheme="minorEastAsia" w:hAnsiTheme="minorEastAsia"/>
                <w:sz w:val="24"/>
                <w:szCs w:val="24"/>
              </w:rPr>
            </w:pPr>
            <w:r>
              <w:rPr>
                <w:rFonts w:hint="eastAsia" w:cs="仿宋" w:asciiTheme="minorEastAsia" w:hAnsiTheme="minorEastAsia"/>
                <w:kern w:val="0"/>
                <w:sz w:val="24"/>
                <w:szCs w:val="24"/>
                <w:u w:val="single"/>
              </w:rPr>
              <w:t>5</w:t>
            </w:r>
            <w:r>
              <w:rPr>
                <w:rFonts w:hint="eastAsia" w:cs="仿宋" w:asciiTheme="minorEastAsia" w:hAnsiTheme="minorEastAsia"/>
                <w:kern w:val="0"/>
                <w:sz w:val="24"/>
                <w:szCs w:val="24"/>
              </w:rPr>
              <w:t>分</w:t>
            </w: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8302"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三、技术部分（满分</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u w:val="single"/>
              </w:rPr>
              <w:t>35</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b/>
                <w:kern w:val="0"/>
                <w:sz w:val="24"/>
                <w:szCs w:val="24"/>
              </w:rPr>
            </w:pPr>
            <w:r>
              <w:rPr>
                <w:rFonts w:hint="eastAsia" w:cs="仿宋" w:asciiTheme="minorEastAsia" w:hAnsiTheme="minorEastAsia"/>
                <w:b/>
                <w:kern w:val="0"/>
                <w:sz w:val="24"/>
                <w:szCs w:val="24"/>
              </w:rPr>
              <w:t>评分</w:t>
            </w:r>
          </w:p>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评分标准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057" w:type="dxa"/>
            <w:shd w:val="clear" w:color="auto" w:fill="FFFFFF"/>
            <w:tcMar>
              <w:left w:w="108" w:type="dxa"/>
              <w:right w:w="108" w:type="dxa"/>
            </w:tcMar>
            <w:vAlign w:val="center"/>
          </w:tcPr>
          <w:p>
            <w:pPr>
              <w:widowControl/>
              <w:spacing w:line="440" w:lineRule="exact"/>
              <w:jc w:val="center"/>
              <w:rPr>
                <w:rFonts w:asciiTheme="minorEastAsia" w:hAnsiTheme="minorEastAsia"/>
                <w:sz w:val="24"/>
                <w:szCs w:val="24"/>
              </w:rPr>
            </w:pPr>
            <w:r>
              <w:rPr>
                <w:rFonts w:hint="eastAsia" w:asciiTheme="minorEastAsia" w:hAnsiTheme="minorEastAsia"/>
                <w:sz w:val="24"/>
                <w:szCs w:val="24"/>
              </w:rPr>
              <w:t>技术参数</w:t>
            </w:r>
          </w:p>
        </w:tc>
        <w:tc>
          <w:tcPr>
            <w:tcW w:w="6069" w:type="dxa"/>
            <w:shd w:val="clear" w:color="auto" w:fill="FFFFFF"/>
            <w:tcMar>
              <w:left w:w="108" w:type="dxa"/>
              <w:right w:w="108" w:type="dxa"/>
            </w:tcMar>
            <w:vAlign w:val="center"/>
          </w:tcPr>
          <w:p>
            <w:pPr>
              <w:widowControl/>
              <w:spacing w:line="360" w:lineRule="exact"/>
              <w:jc w:val="left"/>
              <w:rPr>
                <w:rFonts w:asciiTheme="minorEastAsia" w:hAnsiTheme="minorEastAsia"/>
                <w:sz w:val="24"/>
                <w:szCs w:val="24"/>
              </w:rPr>
            </w:pPr>
            <w:r>
              <w:rPr>
                <w:rFonts w:hint="eastAsia" w:asciiTheme="minorEastAsia" w:hAnsiTheme="minorEastAsia"/>
                <w:sz w:val="24"/>
                <w:szCs w:val="24"/>
              </w:rPr>
              <w:t>供应商所投货物的技术参数、性能指标能够全部满足招标文件得30分；</w:t>
            </w:r>
          </w:p>
          <w:p>
            <w:pPr>
              <w:widowControl/>
              <w:spacing w:line="360" w:lineRule="exact"/>
              <w:jc w:val="left"/>
              <w:rPr>
                <w:rFonts w:asciiTheme="minorEastAsia" w:hAnsiTheme="minorEastAsia"/>
                <w:sz w:val="24"/>
                <w:szCs w:val="24"/>
              </w:rPr>
            </w:pPr>
            <w:r>
              <w:rPr>
                <w:rFonts w:hint="eastAsia" w:asciiTheme="minorEastAsia" w:hAnsiTheme="minorEastAsia"/>
                <w:sz w:val="24"/>
                <w:szCs w:val="24"/>
              </w:rPr>
              <w:t>采购需求中加</w:t>
            </w:r>
            <w:r>
              <w:rPr>
                <w:rFonts w:hint="eastAsia" w:cs="宋体" w:asciiTheme="minorEastAsia" w:hAnsiTheme="minorEastAsia"/>
                <w:kern w:val="0"/>
                <w:sz w:val="24"/>
                <w:szCs w:val="24"/>
              </w:rPr>
              <w:t>★</w:t>
            </w:r>
            <w:r>
              <w:rPr>
                <w:rFonts w:hint="eastAsia" w:asciiTheme="minorEastAsia" w:hAnsiTheme="minorEastAsia"/>
                <w:sz w:val="24"/>
                <w:szCs w:val="24"/>
              </w:rPr>
              <w:t>号技术参数，投标人每优于一项加1分，加分最多不超过5分。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kern w:val="0"/>
                <w:sz w:val="24"/>
                <w:szCs w:val="24"/>
              </w:rPr>
            </w:pPr>
            <w:r>
              <w:rPr>
                <w:rFonts w:hint="eastAsia" w:cs="仿宋" w:asciiTheme="minorEastAsia" w:hAnsiTheme="minorEastAsia"/>
                <w:kern w:val="0"/>
                <w:sz w:val="24"/>
                <w:szCs w:val="24"/>
                <w:u w:val="single"/>
              </w:rPr>
              <w:t>35</w:t>
            </w:r>
            <w:r>
              <w:rPr>
                <w:rFonts w:hint="eastAsia" w:cs="仿宋" w:asciiTheme="minorEastAsia" w:hAnsiTheme="minorEastAsia"/>
                <w:kern w:val="0"/>
                <w:sz w:val="24"/>
                <w:szCs w:val="24"/>
              </w:rPr>
              <w:t>分</w:t>
            </w:r>
          </w:p>
        </w:tc>
      </w:tr>
    </w:tbl>
    <w:p>
      <w:pPr>
        <w:widowControl/>
        <w:shd w:val="clear" w:color="auto" w:fill="FFFFFF"/>
        <w:spacing w:line="360" w:lineRule="atLeast"/>
        <w:ind w:firstLine="426"/>
        <w:jc w:val="left"/>
        <w:rPr>
          <w:rFonts w:cs="仿宋" w:asciiTheme="minorEastAsia" w:hAnsiTheme="minorEastAsia"/>
          <w:kern w:val="0"/>
          <w:sz w:val="24"/>
          <w:szCs w:val="24"/>
          <w:shd w:val="clear" w:color="auto" w:fill="FFFFFF"/>
        </w:rPr>
      </w:pPr>
      <w:r>
        <w:rPr>
          <w:rFonts w:hint="eastAsia" w:cs="仿宋" w:asciiTheme="minorEastAsia" w:hAnsiTheme="minorEastAsia"/>
          <w:kern w:val="0"/>
          <w:sz w:val="24"/>
          <w:szCs w:val="24"/>
          <w:shd w:val="clear" w:color="auto" w:fill="FFFFFF"/>
        </w:rPr>
        <w:t>B包：</w:t>
      </w:r>
    </w:p>
    <w:tbl>
      <w:tblPr>
        <w:tblStyle w:val="28"/>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7"/>
        <w:gridCol w:w="606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rPr>
              <w:t>分值构成</w:t>
            </w:r>
          </w:p>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rPr>
              <w:t>(总分100分)</w:t>
            </w:r>
          </w:p>
        </w:tc>
        <w:tc>
          <w:tcPr>
            <w:tcW w:w="7245" w:type="dxa"/>
            <w:gridSpan w:val="2"/>
            <w:shd w:val="clear" w:color="auto" w:fill="FFFFFF"/>
            <w:tcMar>
              <w:left w:w="108" w:type="dxa"/>
              <w:right w:w="108" w:type="dxa"/>
            </w:tcMar>
            <w:vAlign w:val="center"/>
          </w:tcPr>
          <w:p>
            <w:pPr>
              <w:widowControl/>
              <w:spacing w:line="360" w:lineRule="atLeast"/>
              <w:ind w:firstLine="480"/>
              <w:jc w:val="center"/>
              <w:rPr>
                <w:rFonts w:cs="仿宋" w:asciiTheme="minorEastAsia" w:hAnsiTheme="minorEastAsia"/>
                <w:sz w:val="24"/>
                <w:szCs w:val="24"/>
              </w:rPr>
            </w:pPr>
            <w:r>
              <w:rPr>
                <w:rFonts w:hint="eastAsia" w:cs="仿宋" w:asciiTheme="minorEastAsia" w:hAnsiTheme="minorEastAsia"/>
                <w:kern w:val="0"/>
                <w:sz w:val="24"/>
                <w:szCs w:val="24"/>
              </w:rPr>
              <w:t>价格分值：</w:t>
            </w:r>
            <w:r>
              <w:rPr>
                <w:rFonts w:hint="eastAsia" w:cs="仿宋" w:asciiTheme="minorEastAsia" w:hAnsiTheme="minorEastAsia"/>
                <w:kern w:val="0"/>
                <w:sz w:val="24"/>
                <w:szCs w:val="24"/>
                <w:u w:val="single"/>
              </w:rPr>
              <w:t> 35 </w:t>
            </w:r>
            <w:r>
              <w:rPr>
                <w:rFonts w:hint="eastAsia" w:cs="仿宋" w:asciiTheme="minorEastAsia" w:hAnsiTheme="minorEastAsia"/>
                <w:kern w:val="0"/>
                <w:sz w:val="24"/>
                <w:szCs w:val="24"/>
              </w:rPr>
              <w:t>分</w:t>
            </w:r>
          </w:p>
          <w:p>
            <w:pPr>
              <w:widowControl/>
              <w:spacing w:line="360" w:lineRule="atLeast"/>
              <w:ind w:firstLine="480"/>
              <w:jc w:val="center"/>
              <w:rPr>
                <w:rFonts w:cs="仿宋" w:asciiTheme="minorEastAsia" w:hAnsiTheme="minorEastAsia"/>
                <w:sz w:val="24"/>
                <w:szCs w:val="24"/>
              </w:rPr>
            </w:pPr>
            <w:r>
              <w:rPr>
                <w:rFonts w:hint="eastAsia" w:cs="仿宋" w:asciiTheme="minorEastAsia" w:hAnsiTheme="minorEastAsia"/>
                <w:kern w:val="0"/>
                <w:sz w:val="24"/>
                <w:szCs w:val="24"/>
              </w:rPr>
              <w:t>商务部分：</w:t>
            </w:r>
            <w:r>
              <w:rPr>
                <w:rFonts w:hint="eastAsia" w:cs="仿宋" w:asciiTheme="minorEastAsia" w:hAnsiTheme="minorEastAsia"/>
                <w:kern w:val="0"/>
                <w:sz w:val="24"/>
                <w:szCs w:val="24"/>
                <w:u w:val="single"/>
              </w:rPr>
              <w:t xml:space="preserve">  30 </w:t>
            </w:r>
            <w:r>
              <w:rPr>
                <w:rFonts w:hint="eastAsia" w:cs="仿宋" w:asciiTheme="minorEastAsia" w:hAnsiTheme="minorEastAsia"/>
                <w:kern w:val="0"/>
                <w:sz w:val="24"/>
                <w:szCs w:val="24"/>
              </w:rPr>
              <w:t>分</w:t>
            </w:r>
          </w:p>
          <w:p>
            <w:pPr>
              <w:widowControl/>
              <w:spacing w:line="360" w:lineRule="atLeast"/>
              <w:ind w:firstLine="480"/>
              <w:jc w:val="center"/>
              <w:rPr>
                <w:rFonts w:cs="仿宋" w:asciiTheme="minorEastAsia" w:hAnsiTheme="minorEastAsia"/>
                <w:sz w:val="24"/>
                <w:szCs w:val="24"/>
              </w:rPr>
            </w:pPr>
            <w:r>
              <w:rPr>
                <w:rFonts w:hint="eastAsia" w:cs="仿宋" w:asciiTheme="minorEastAsia" w:hAnsiTheme="minorEastAsia"/>
                <w:kern w:val="0"/>
                <w:sz w:val="24"/>
                <w:szCs w:val="24"/>
              </w:rPr>
              <w:t>技术部分：</w:t>
            </w:r>
            <w:r>
              <w:rPr>
                <w:rFonts w:hint="eastAsia" w:cs="仿宋" w:asciiTheme="minorEastAsia" w:hAnsiTheme="minorEastAsia"/>
                <w:kern w:val="0"/>
                <w:sz w:val="24"/>
                <w:szCs w:val="24"/>
                <w:u w:val="single"/>
              </w:rPr>
              <w:t xml:space="preserve"> 35</w:t>
            </w:r>
            <w:r>
              <w:rPr>
                <w:rFonts w:cs="Calibri" w:asciiTheme="minorEastAsia" w:hAnsiTheme="minorEastAsia"/>
                <w:kern w:val="0"/>
                <w:sz w:val="24"/>
                <w:szCs w:val="24"/>
                <w:u w:val="single"/>
              </w:rPr>
              <w:t> </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302"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一、价格部分（满分</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u w:val="single"/>
              </w:rPr>
              <w:t>35</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评分标准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rPr>
              <w:t>投标报价</w:t>
            </w:r>
          </w:p>
        </w:tc>
        <w:tc>
          <w:tcPr>
            <w:tcW w:w="6069" w:type="dxa"/>
            <w:shd w:val="clear" w:color="auto" w:fill="FFFFFF"/>
            <w:tcMar>
              <w:left w:w="108" w:type="dxa"/>
              <w:right w:w="108" w:type="dxa"/>
            </w:tcMar>
            <w:vAlign w:val="center"/>
          </w:tcPr>
          <w:p>
            <w:pPr>
              <w:spacing w:line="360" w:lineRule="auto"/>
              <w:rPr>
                <w:rFonts w:cs="仿宋" w:asciiTheme="minorEastAsia" w:hAnsiTheme="minorEastAsia"/>
                <w:sz w:val="24"/>
                <w:szCs w:val="24"/>
              </w:rPr>
            </w:pPr>
            <w:r>
              <w:rPr>
                <w:rFonts w:hint="eastAsia" w:cs="仿宋" w:asciiTheme="minorEastAsia" w:hAnsiTheme="minorEastAsia"/>
                <w:sz w:val="24"/>
                <w:szCs w:val="24"/>
              </w:rPr>
              <w:t>评标基准价：满足招标文件要求的有效投标报价中，最低的投标报价为评标基准价。</w:t>
            </w:r>
          </w:p>
          <w:p>
            <w:pPr>
              <w:spacing w:line="360" w:lineRule="auto"/>
              <w:rPr>
                <w:rFonts w:cs="仿宋" w:asciiTheme="minorEastAsia" w:hAnsiTheme="minorEastAsia"/>
                <w:sz w:val="24"/>
                <w:szCs w:val="24"/>
              </w:rPr>
            </w:pPr>
            <w:r>
              <w:rPr>
                <w:rFonts w:hint="eastAsia" w:cs="仿宋" w:asciiTheme="minorEastAsia" w:hAnsiTheme="minorEastAsia"/>
                <w:sz w:val="24"/>
                <w:szCs w:val="24"/>
              </w:rPr>
              <w:t>投标报价得分=（评标基准价/投标报价）×35</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cs="Calibri" w:asciiTheme="minorEastAsia" w:hAnsiTheme="minorEastAsia"/>
                <w:kern w:val="0"/>
                <w:sz w:val="24"/>
                <w:szCs w:val="24"/>
                <w:u w:val="single"/>
              </w:rPr>
              <w:t> </w:t>
            </w:r>
            <w:r>
              <w:rPr>
                <w:rFonts w:hint="eastAsia" w:cs="仿宋" w:asciiTheme="minorEastAsia" w:hAnsiTheme="minorEastAsia"/>
                <w:kern w:val="0"/>
                <w:sz w:val="24"/>
                <w:szCs w:val="24"/>
                <w:u w:val="single"/>
              </w:rPr>
              <w:t>35</w:t>
            </w:r>
            <w:r>
              <w:rPr>
                <w:rFonts w:hint="eastAsia" w:cs="宋体" w:asciiTheme="minorEastAsia" w:hAnsiTheme="minorEastAsia"/>
                <w:kern w:val="0"/>
                <w:sz w:val="24"/>
                <w:szCs w:val="24"/>
                <w:u w:val="single"/>
              </w:rPr>
              <w:t> </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302"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二、商务部分（满分</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u w:val="single"/>
              </w:rPr>
              <w:t>30</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评分标准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057" w:type="dxa"/>
            <w:shd w:val="clear" w:color="auto" w:fill="FFFFFF"/>
            <w:tcMar>
              <w:left w:w="108" w:type="dxa"/>
              <w:right w:w="108" w:type="dxa"/>
            </w:tcMar>
            <w:vAlign w:val="center"/>
          </w:tcPr>
          <w:p>
            <w:pPr>
              <w:widowControl/>
              <w:spacing w:line="360" w:lineRule="atLeast"/>
              <w:jc w:val="center"/>
              <w:rPr>
                <w:rFonts w:cs="仿宋" w:asciiTheme="minorEastAsia" w:hAnsiTheme="minorEastAsia"/>
                <w:sz w:val="24"/>
                <w:szCs w:val="24"/>
              </w:rPr>
            </w:pPr>
            <w:r>
              <w:rPr>
                <w:rFonts w:hint="eastAsia" w:cs="仿宋" w:asciiTheme="minorEastAsia" w:hAnsiTheme="minorEastAsia"/>
                <w:kern w:val="0"/>
                <w:sz w:val="24"/>
                <w:szCs w:val="24"/>
              </w:rPr>
              <w:t>信誉</w:t>
            </w:r>
          </w:p>
        </w:tc>
        <w:tc>
          <w:tcPr>
            <w:tcW w:w="6069" w:type="dxa"/>
            <w:shd w:val="clear" w:color="auto" w:fill="FFFFFF"/>
            <w:tcMar>
              <w:left w:w="108" w:type="dxa"/>
              <w:right w:w="108" w:type="dxa"/>
            </w:tcMar>
            <w:vAlign w:val="center"/>
          </w:tcPr>
          <w:p>
            <w:pPr>
              <w:spacing w:line="360" w:lineRule="auto"/>
              <w:rPr>
                <w:rFonts w:cs="仿宋" w:asciiTheme="minorEastAsia" w:hAnsiTheme="minorEastAsia"/>
                <w:sz w:val="24"/>
                <w:szCs w:val="24"/>
              </w:rPr>
            </w:pPr>
            <w:r>
              <w:rPr>
                <w:rFonts w:hint="eastAsia" w:cs="仿宋" w:asciiTheme="minorEastAsia" w:hAnsiTheme="minorEastAsia"/>
                <w:sz w:val="24"/>
                <w:szCs w:val="24"/>
              </w:rPr>
              <w:t>1、投标人提供产品的CCC证书复印件盖投标人公章、ISO9001:2008质量管理体系认证证书复印件盖投标人公章、ISO14001:2004环境管理体系认证证书复印件盖投标人公章、ISO18001：2007职业健康安全管理体系认证证书复印件盖投标人公章；每有一项得2分，满分8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u w:val="single"/>
              </w:rPr>
              <w:t>8</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057" w:type="dxa"/>
            <w:shd w:val="clear" w:color="auto" w:fill="FFFFFF"/>
            <w:tcMar>
              <w:left w:w="108" w:type="dxa"/>
              <w:right w:w="108" w:type="dxa"/>
            </w:tcMar>
            <w:vAlign w:val="center"/>
          </w:tcPr>
          <w:p>
            <w:pPr>
              <w:widowControl/>
              <w:spacing w:line="360" w:lineRule="atLeast"/>
              <w:jc w:val="center"/>
              <w:rPr>
                <w:rFonts w:cs="仿宋" w:asciiTheme="minorEastAsia" w:hAnsiTheme="minorEastAsia"/>
                <w:sz w:val="24"/>
                <w:szCs w:val="24"/>
              </w:rPr>
            </w:pPr>
            <w:r>
              <w:rPr>
                <w:rFonts w:hint="eastAsia" w:cs="仿宋" w:asciiTheme="minorEastAsia" w:hAnsiTheme="minorEastAsia"/>
                <w:kern w:val="0"/>
                <w:sz w:val="24"/>
                <w:szCs w:val="24"/>
              </w:rPr>
              <w:t>售后服务及培训</w:t>
            </w:r>
          </w:p>
        </w:tc>
        <w:tc>
          <w:tcPr>
            <w:tcW w:w="6069" w:type="dxa"/>
            <w:shd w:val="clear" w:color="auto" w:fill="FFFFFF"/>
            <w:tcMar>
              <w:left w:w="108" w:type="dxa"/>
              <w:right w:w="108" w:type="dxa"/>
            </w:tcMar>
            <w:vAlign w:val="center"/>
          </w:tcPr>
          <w:p>
            <w:pPr>
              <w:pStyle w:val="66"/>
              <w:spacing w:line="360" w:lineRule="auto"/>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1、有详细可行的售后服务计划、人员培训计划、售后服务队伍的得3分，只有简单描述的得1分，没有相关描述的不得分；</w:t>
            </w:r>
          </w:p>
          <w:p>
            <w:pPr>
              <w:pStyle w:val="66"/>
              <w:spacing w:line="360" w:lineRule="auto"/>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 xml:space="preserve">2、对质保期内人员到达现场时间、问题响应时间、解决问题时间，描述详细、可行、时间短的得3分，只有简单描述、时间较长的得1分，无相关描述不得分。 </w:t>
            </w:r>
          </w:p>
          <w:p>
            <w:pPr>
              <w:pStyle w:val="66"/>
              <w:spacing w:line="360" w:lineRule="auto"/>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3、</w:t>
            </w:r>
            <w:r>
              <w:rPr>
                <w:rFonts w:hint="eastAsia" w:cs="仿宋" w:asciiTheme="minorEastAsia" w:hAnsiTheme="minorEastAsia" w:eastAsiaTheme="minorEastAsia"/>
                <w:sz w:val="24"/>
                <w:lang w:val="en-GB"/>
              </w:rPr>
              <w:t>具有明确的培训内容、计划合理得2分。否则不得分。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u w:val="single"/>
              </w:rPr>
              <w:t>8</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057" w:type="dxa"/>
            <w:shd w:val="clear" w:color="auto" w:fill="FFFFFF"/>
            <w:tcMar>
              <w:left w:w="108" w:type="dxa"/>
              <w:right w:w="108" w:type="dxa"/>
            </w:tcMar>
            <w:vAlign w:val="center"/>
          </w:tcPr>
          <w:p>
            <w:pPr>
              <w:widowControl/>
              <w:spacing w:line="400" w:lineRule="atLeast"/>
              <w:jc w:val="center"/>
              <w:rPr>
                <w:rFonts w:cs="宋体" w:asciiTheme="minorEastAsia" w:hAnsiTheme="minorEastAsia"/>
                <w:kern w:val="0"/>
                <w:sz w:val="24"/>
                <w:szCs w:val="24"/>
              </w:rPr>
            </w:pPr>
            <w:r>
              <w:rPr>
                <w:rFonts w:hint="eastAsia" w:cs="仿宋" w:asciiTheme="minorEastAsia" w:hAnsiTheme="minorEastAsia"/>
                <w:kern w:val="0"/>
                <w:sz w:val="24"/>
                <w:szCs w:val="24"/>
              </w:rPr>
              <w:t>业绩</w:t>
            </w:r>
          </w:p>
        </w:tc>
        <w:tc>
          <w:tcPr>
            <w:tcW w:w="6069" w:type="dxa"/>
            <w:shd w:val="clear" w:color="auto" w:fill="FFFFFF"/>
            <w:tcMar>
              <w:left w:w="108" w:type="dxa"/>
              <w:right w:w="108" w:type="dxa"/>
            </w:tcMar>
            <w:vAlign w:val="center"/>
          </w:tcPr>
          <w:p>
            <w:pPr>
              <w:spacing w:line="360" w:lineRule="auto"/>
              <w:rPr>
                <w:rFonts w:asciiTheme="minorEastAsia" w:hAnsiTheme="minorEastAsia"/>
                <w:sz w:val="24"/>
                <w:szCs w:val="24"/>
              </w:rPr>
            </w:pPr>
            <w:r>
              <w:rPr>
                <w:rFonts w:hint="eastAsia" w:asciiTheme="minorEastAsia" w:hAnsiTheme="minorEastAsia"/>
                <w:sz w:val="24"/>
                <w:szCs w:val="24"/>
              </w:rPr>
              <w:t>2015年1月1日以来具有与本包采购内容类似的项目业绩，且单项合同金额在本包采购预算金额及以上的，（合同、中标通知书），每提供一套得3分，满分9分（以合同时间为准）。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kern w:val="0"/>
                <w:sz w:val="24"/>
                <w:szCs w:val="24"/>
                <w:u w:val="single"/>
              </w:rPr>
            </w:pPr>
            <w:r>
              <w:rPr>
                <w:rFonts w:hint="eastAsia" w:cs="仿宋" w:asciiTheme="minorEastAsia" w:hAnsiTheme="minorEastAsia"/>
                <w:kern w:val="0"/>
                <w:sz w:val="24"/>
                <w:szCs w:val="24"/>
                <w:u w:val="single"/>
              </w:rPr>
              <w:t>9</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057" w:type="dxa"/>
            <w:shd w:val="clear" w:color="auto" w:fill="FFFFFF"/>
            <w:tcMar>
              <w:left w:w="108" w:type="dxa"/>
              <w:right w:w="108" w:type="dxa"/>
            </w:tcMar>
            <w:vAlign w:val="center"/>
          </w:tcPr>
          <w:p>
            <w:pPr>
              <w:widowControl/>
              <w:spacing w:line="440" w:lineRule="exact"/>
              <w:jc w:val="center"/>
              <w:rPr>
                <w:rFonts w:asciiTheme="minorEastAsia" w:hAnsiTheme="minorEastAsia"/>
                <w:sz w:val="24"/>
                <w:szCs w:val="24"/>
              </w:rPr>
            </w:pPr>
            <w:r>
              <w:rPr>
                <w:rFonts w:hint="eastAsia" w:asciiTheme="minorEastAsia" w:hAnsiTheme="minorEastAsia"/>
                <w:sz w:val="24"/>
                <w:szCs w:val="24"/>
              </w:rPr>
              <w:t>投标文件规范程度</w:t>
            </w:r>
          </w:p>
        </w:tc>
        <w:tc>
          <w:tcPr>
            <w:tcW w:w="6069" w:type="dxa"/>
            <w:shd w:val="clear" w:color="auto" w:fill="FFFFFF"/>
            <w:tcMar>
              <w:left w:w="108" w:type="dxa"/>
              <w:right w:w="108" w:type="dxa"/>
            </w:tcMar>
            <w:vAlign w:val="center"/>
          </w:tcPr>
          <w:p>
            <w:pPr>
              <w:widowControl/>
              <w:spacing w:line="360" w:lineRule="exact"/>
              <w:rPr>
                <w:rFonts w:asciiTheme="minorEastAsia" w:hAnsiTheme="minorEastAsia"/>
                <w:sz w:val="24"/>
                <w:szCs w:val="24"/>
              </w:rPr>
            </w:pPr>
            <w:r>
              <w:rPr>
                <w:rFonts w:hint="eastAsia" w:asciiTheme="minorEastAsia" w:hAnsiTheme="minorEastAsia"/>
                <w:sz w:val="24"/>
                <w:szCs w:val="24"/>
              </w:rPr>
              <w:t>1、编制规范、文字清晰、无差错3分。</w:t>
            </w:r>
          </w:p>
          <w:p>
            <w:pPr>
              <w:widowControl/>
              <w:spacing w:line="360" w:lineRule="exact"/>
              <w:jc w:val="left"/>
              <w:rPr>
                <w:rFonts w:asciiTheme="minorEastAsia" w:hAnsiTheme="minorEastAsia"/>
                <w:sz w:val="24"/>
                <w:szCs w:val="24"/>
              </w:rPr>
            </w:pPr>
            <w:r>
              <w:rPr>
                <w:rFonts w:hint="eastAsia" w:asciiTheme="minorEastAsia" w:hAnsiTheme="minorEastAsia"/>
                <w:sz w:val="24"/>
                <w:szCs w:val="24"/>
              </w:rPr>
              <w:t>2、所提供资料准确完整2分。</w:t>
            </w:r>
          </w:p>
        </w:tc>
        <w:tc>
          <w:tcPr>
            <w:tcW w:w="1176" w:type="dxa"/>
            <w:shd w:val="clear" w:color="auto" w:fill="FFFFFF"/>
            <w:tcMar>
              <w:left w:w="108" w:type="dxa"/>
              <w:right w:w="108" w:type="dxa"/>
            </w:tcMar>
            <w:vAlign w:val="center"/>
          </w:tcPr>
          <w:p>
            <w:pPr>
              <w:widowControl/>
              <w:spacing w:line="330" w:lineRule="atLeast"/>
              <w:jc w:val="center"/>
              <w:rPr>
                <w:rFonts w:asciiTheme="minorEastAsia" w:hAnsiTheme="minorEastAsia"/>
                <w:sz w:val="24"/>
                <w:szCs w:val="24"/>
              </w:rPr>
            </w:pPr>
            <w:r>
              <w:rPr>
                <w:rFonts w:hint="eastAsia" w:cs="仿宋" w:asciiTheme="minorEastAsia" w:hAnsiTheme="minorEastAsia"/>
                <w:kern w:val="0"/>
                <w:sz w:val="24"/>
                <w:szCs w:val="24"/>
                <w:u w:val="single"/>
              </w:rPr>
              <w:t>5</w:t>
            </w:r>
            <w:r>
              <w:rPr>
                <w:rFonts w:hint="eastAsia" w:cs="仿宋" w:asciiTheme="minorEastAsia" w:hAnsiTheme="minorEastAsia"/>
                <w:kern w:val="0"/>
                <w:sz w:val="24"/>
                <w:szCs w:val="24"/>
              </w:rPr>
              <w:t>分</w:t>
            </w: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8302"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三、技术部分（满分</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u w:val="single"/>
              </w:rPr>
              <w:t>35</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b/>
                <w:kern w:val="0"/>
                <w:sz w:val="24"/>
                <w:szCs w:val="24"/>
              </w:rPr>
            </w:pPr>
            <w:r>
              <w:rPr>
                <w:rFonts w:hint="eastAsia" w:cs="仿宋" w:asciiTheme="minorEastAsia" w:hAnsiTheme="minorEastAsia"/>
                <w:b/>
                <w:kern w:val="0"/>
                <w:sz w:val="24"/>
                <w:szCs w:val="24"/>
              </w:rPr>
              <w:t>评分</w:t>
            </w:r>
          </w:p>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评分标准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057" w:type="dxa"/>
            <w:shd w:val="clear" w:color="auto" w:fill="FFFFFF"/>
            <w:tcMar>
              <w:left w:w="108" w:type="dxa"/>
              <w:right w:w="108" w:type="dxa"/>
            </w:tcMar>
            <w:vAlign w:val="center"/>
          </w:tcPr>
          <w:p>
            <w:pPr>
              <w:widowControl/>
              <w:spacing w:line="440" w:lineRule="exact"/>
              <w:jc w:val="center"/>
              <w:rPr>
                <w:rFonts w:asciiTheme="minorEastAsia" w:hAnsiTheme="minorEastAsia"/>
                <w:sz w:val="24"/>
                <w:szCs w:val="24"/>
              </w:rPr>
            </w:pPr>
            <w:r>
              <w:rPr>
                <w:rFonts w:hint="eastAsia" w:asciiTheme="minorEastAsia" w:hAnsiTheme="minorEastAsia"/>
                <w:sz w:val="24"/>
                <w:szCs w:val="24"/>
              </w:rPr>
              <w:t>技术参数</w:t>
            </w:r>
          </w:p>
        </w:tc>
        <w:tc>
          <w:tcPr>
            <w:tcW w:w="6069" w:type="dxa"/>
            <w:shd w:val="clear" w:color="auto" w:fill="FFFFFF"/>
            <w:tcMar>
              <w:left w:w="108" w:type="dxa"/>
              <w:right w:w="108" w:type="dxa"/>
            </w:tcMar>
            <w:vAlign w:val="center"/>
          </w:tcPr>
          <w:p>
            <w:pPr>
              <w:widowControl/>
              <w:spacing w:line="360" w:lineRule="exact"/>
              <w:jc w:val="left"/>
              <w:rPr>
                <w:rFonts w:asciiTheme="minorEastAsia" w:hAnsiTheme="minorEastAsia"/>
                <w:sz w:val="24"/>
                <w:szCs w:val="24"/>
              </w:rPr>
            </w:pPr>
            <w:r>
              <w:rPr>
                <w:rFonts w:hint="eastAsia" w:asciiTheme="minorEastAsia" w:hAnsiTheme="minorEastAsia"/>
                <w:sz w:val="24"/>
                <w:szCs w:val="24"/>
              </w:rPr>
              <w:t>供应商所投货物的技术参数、性能指标能够全部满足招标文件得30分；</w:t>
            </w:r>
          </w:p>
          <w:p>
            <w:pPr>
              <w:widowControl/>
              <w:spacing w:line="360" w:lineRule="exact"/>
              <w:jc w:val="left"/>
              <w:rPr>
                <w:rFonts w:asciiTheme="minorEastAsia" w:hAnsiTheme="minorEastAsia"/>
                <w:sz w:val="24"/>
                <w:szCs w:val="24"/>
              </w:rPr>
            </w:pPr>
            <w:r>
              <w:rPr>
                <w:rFonts w:hint="eastAsia" w:asciiTheme="minorEastAsia" w:hAnsiTheme="minorEastAsia"/>
                <w:sz w:val="24"/>
                <w:szCs w:val="24"/>
              </w:rPr>
              <w:t>采购需求中加</w:t>
            </w:r>
            <w:r>
              <w:rPr>
                <w:rFonts w:hint="eastAsia" w:cs="宋体" w:asciiTheme="minorEastAsia" w:hAnsiTheme="minorEastAsia"/>
                <w:kern w:val="0"/>
                <w:sz w:val="24"/>
                <w:szCs w:val="24"/>
              </w:rPr>
              <w:t>★</w:t>
            </w:r>
            <w:r>
              <w:rPr>
                <w:rFonts w:hint="eastAsia" w:asciiTheme="minorEastAsia" w:hAnsiTheme="minorEastAsia"/>
                <w:sz w:val="24"/>
                <w:szCs w:val="24"/>
              </w:rPr>
              <w:t>号技术参数，投标人每优于一项加1分，加分最多不超过5分。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kern w:val="0"/>
                <w:sz w:val="24"/>
                <w:szCs w:val="24"/>
              </w:rPr>
            </w:pPr>
            <w:r>
              <w:rPr>
                <w:rFonts w:hint="eastAsia" w:cs="仿宋" w:asciiTheme="minorEastAsia" w:hAnsiTheme="minorEastAsia"/>
                <w:kern w:val="0"/>
                <w:sz w:val="24"/>
                <w:szCs w:val="24"/>
                <w:u w:val="single"/>
              </w:rPr>
              <w:t>35</w:t>
            </w:r>
            <w:r>
              <w:rPr>
                <w:rFonts w:hint="eastAsia" w:cs="仿宋" w:asciiTheme="minorEastAsia" w:hAnsiTheme="minorEastAsia"/>
                <w:kern w:val="0"/>
                <w:sz w:val="24"/>
                <w:szCs w:val="24"/>
              </w:rPr>
              <w:t>分</w:t>
            </w:r>
          </w:p>
        </w:tc>
      </w:tr>
    </w:tbl>
    <w:p>
      <w:pPr>
        <w:widowControl/>
        <w:shd w:val="clear" w:color="auto" w:fill="FFFFFF"/>
        <w:spacing w:line="360" w:lineRule="atLeast"/>
        <w:ind w:firstLine="426"/>
        <w:jc w:val="left"/>
        <w:rPr>
          <w:rFonts w:cs="仿宋" w:asciiTheme="minorEastAsia" w:hAnsiTheme="minorEastAsia"/>
          <w:kern w:val="0"/>
          <w:sz w:val="24"/>
          <w:szCs w:val="24"/>
          <w:shd w:val="clear" w:color="auto" w:fill="FFFFFF"/>
        </w:rPr>
      </w:pPr>
      <w:r>
        <w:rPr>
          <w:rFonts w:hint="eastAsia" w:cs="仿宋" w:asciiTheme="minorEastAsia" w:hAnsiTheme="minorEastAsia"/>
          <w:kern w:val="0"/>
          <w:sz w:val="24"/>
          <w:szCs w:val="24"/>
          <w:shd w:val="clear" w:color="auto" w:fill="FFFFFF"/>
        </w:rPr>
        <w:t>C包：</w:t>
      </w:r>
    </w:p>
    <w:tbl>
      <w:tblPr>
        <w:tblStyle w:val="28"/>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7"/>
        <w:gridCol w:w="606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rPr>
              <w:t>分值构成</w:t>
            </w:r>
          </w:p>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rPr>
              <w:t>(总分100分)</w:t>
            </w:r>
          </w:p>
        </w:tc>
        <w:tc>
          <w:tcPr>
            <w:tcW w:w="7245" w:type="dxa"/>
            <w:gridSpan w:val="2"/>
            <w:shd w:val="clear" w:color="auto" w:fill="FFFFFF"/>
            <w:tcMar>
              <w:left w:w="108" w:type="dxa"/>
              <w:right w:w="108" w:type="dxa"/>
            </w:tcMar>
            <w:vAlign w:val="center"/>
          </w:tcPr>
          <w:p>
            <w:pPr>
              <w:widowControl/>
              <w:spacing w:line="360" w:lineRule="atLeast"/>
              <w:ind w:firstLine="480"/>
              <w:jc w:val="center"/>
              <w:rPr>
                <w:rFonts w:cs="仿宋" w:asciiTheme="minorEastAsia" w:hAnsiTheme="minorEastAsia"/>
                <w:sz w:val="24"/>
                <w:szCs w:val="24"/>
              </w:rPr>
            </w:pPr>
            <w:r>
              <w:rPr>
                <w:rFonts w:hint="eastAsia" w:cs="仿宋" w:asciiTheme="minorEastAsia" w:hAnsiTheme="minorEastAsia"/>
                <w:kern w:val="0"/>
                <w:sz w:val="24"/>
                <w:szCs w:val="24"/>
              </w:rPr>
              <w:t>价格分值：</w:t>
            </w:r>
            <w:r>
              <w:rPr>
                <w:rFonts w:hint="eastAsia" w:cs="仿宋" w:asciiTheme="minorEastAsia" w:hAnsiTheme="minorEastAsia"/>
                <w:kern w:val="0"/>
                <w:sz w:val="24"/>
                <w:szCs w:val="24"/>
                <w:u w:val="single"/>
              </w:rPr>
              <w:t> 35 </w:t>
            </w:r>
            <w:r>
              <w:rPr>
                <w:rFonts w:hint="eastAsia" w:cs="仿宋" w:asciiTheme="minorEastAsia" w:hAnsiTheme="minorEastAsia"/>
                <w:kern w:val="0"/>
                <w:sz w:val="24"/>
                <w:szCs w:val="24"/>
              </w:rPr>
              <w:t>分</w:t>
            </w:r>
          </w:p>
          <w:p>
            <w:pPr>
              <w:widowControl/>
              <w:spacing w:line="360" w:lineRule="atLeast"/>
              <w:ind w:firstLine="480"/>
              <w:jc w:val="center"/>
              <w:rPr>
                <w:rFonts w:cs="仿宋" w:asciiTheme="minorEastAsia" w:hAnsiTheme="minorEastAsia"/>
                <w:sz w:val="24"/>
                <w:szCs w:val="24"/>
              </w:rPr>
            </w:pPr>
            <w:r>
              <w:rPr>
                <w:rFonts w:hint="eastAsia" w:cs="仿宋" w:asciiTheme="minorEastAsia" w:hAnsiTheme="minorEastAsia"/>
                <w:kern w:val="0"/>
                <w:sz w:val="24"/>
                <w:szCs w:val="24"/>
              </w:rPr>
              <w:t>商务部分：</w:t>
            </w:r>
            <w:r>
              <w:rPr>
                <w:rFonts w:hint="eastAsia" w:cs="仿宋" w:asciiTheme="minorEastAsia" w:hAnsiTheme="minorEastAsia"/>
                <w:kern w:val="0"/>
                <w:sz w:val="24"/>
                <w:szCs w:val="24"/>
                <w:u w:val="single"/>
              </w:rPr>
              <w:t xml:space="preserve">  30 </w:t>
            </w:r>
            <w:r>
              <w:rPr>
                <w:rFonts w:hint="eastAsia" w:cs="仿宋" w:asciiTheme="minorEastAsia" w:hAnsiTheme="minorEastAsia"/>
                <w:kern w:val="0"/>
                <w:sz w:val="24"/>
                <w:szCs w:val="24"/>
              </w:rPr>
              <w:t>分</w:t>
            </w:r>
          </w:p>
          <w:p>
            <w:pPr>
              <w:widowControl/>
              <w:spacing w:line="360" w:lineRule="atLeast"/>
              <w:ind w:firstLine="480"/>
              <w:jc w:val="center"/>
              <w:rPr>
                <w:rFonts w:cs="仿宋" w:asciiTheme="minorEastAsia" w:hAnsiTheme="minorEastAsia"/>
                <w:sz w:val="24"/>
                <w:szCs w:val="24"/>
              </w:rPr>
            </w:pPr>
            <w:r>
              <w:rPr>
                <w:rFonts w:hint="eastAsia" w:cs="仿宋" w:asciiTheme="minorEastAsia" w:hAnsiTheme="minorEastAsia"/>
                <w:kern w:val="0"/>
                <w:sz w:val="24"/>
                <w:szCs w:val="24"/>
              </w:rPr>
              <w:t>技术部分：</w:t>
            </w:r>
            <w:r>
              <w:rPr>
                <w:rFonts w:hint="eastAsia" w:cs="仿宋" w:asciiTheme="minorEastAsia" w:hAnsiTheme="minorEastAsia"/>
                <w:kern w:val="0"/>
                <w:sz w:val="24"/>
                <w:szCs w:val="24"/>
                <w:u w:val="single"/>
              </w:rPr>
              <w:t xml:space="preserve"> 35</w:t>
            </w:r>
            <w:r>
              <w:rPr>
                <w:rFonts w:cs="Calibri" w:asciiTheme="minorEastAsia" w:hAnsiTheme="minorEastAsia"/>
                <w:kern w:val="0"/>
                <w:sz w:val="24"/>
                <w:szCs w:val="24"/>
                <w:u w:val="single"/>
              </w:rPr>
              <w:t> </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302"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一、价格部分（满分</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u w:val="single"/>
              </w:rPr>
              <w:t>35</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评分标准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rPr>
              <w:t>投标报价</w:t>
            </w:r>
          </w:p>
        </w:tc>
        <w:tc>
          <w:tcPr>
            <w:tcW w:w="6069" w:type="dxa"/>
            <w:shd w:val="clear" w:color="auto" w:fill="FFFFFF"/>
            <w:tcMar>
              <w:left w:w="108" w:type="dxa"/>
              <w:right w:w="108" w:type="dxa"/>
            </w:tcMar>
            <w:vAlign w:val="center"/>
          </w:tcPr>
          <w:p>
            <w:pPr>
              <w:spacing w:line="360" w:lineRule="auto"/>
              <w:rPr>
                <w:rFonts w:cs="仿宋" w:asciiTheme="minorEastAsia" w:hAnsiTheme="minorEastAsia"/>
                <w:sz w:val="24"/>
                <w:szCs w:val="24"/>
              </w:rPr>
            </w:pPr>
            <w:r>
              <w:rPr>
                <w:rFonts w:hint="eastAsia" w:cs="仿宋" w:asciiTheme="minorEastAsia" w:hAnsiTheme="minorEastAsia"/>
                <w:sz w:val="24"/>
                <w:szCs w:val="24"/>
              </w:rPr>
              <w:t>评标基准价：满足招标文件要求的有效投标报价中，最低的投标报价为评标基准价。</w:t>
            </w:r>
          </w:p>
          <w:p>
            <w:pPr>
              <w:spacing w:line="360" w:lineRule="auto"/>
              <w:rPr>
                <w:rFonts w:cs="仿宋" w:asciiTheme="minorEastAsia" w:hAnsiTheme="minorEastAsia"/>
                <w:sz w:val="24"/>
                <w:szCs w:val="24"/>
              </w:rPr>
            </w:pPr>
            <w:r>
              <w:rPr>
                <w:rFonts w:hint="eastAsia" w:cs="仿宋" w:asciiTheme="minorEastAsia" w:hAnsiTheme="minorEastAsia"/>
                <w:sz w:val="24"/>
                <w:szCs w:val="24"/>
              </w:rPr>
              <w:t>投标报价得分=（评标基准价/投标报价）×35</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cs="Calibri" w:asciiTheme="minorEastAsia" w:hAnsiTheme="minorEastAsia"/>
                <w:kern w:val="0"/>
                <w:sz w:val="24"/>
                <w:szCs w:val="24"/>
                <w:u w:val="single"/>
              </w:rPr>
              <w:t> </w:t>
            </w:r>
            <w:r>
              <w:rPr>
                <w:rFonts w:hint="eastAsia" w:cs="仿宋" w:asciiTheme="minorEastAsia" w:hAnsiTheme="minorEastAsia"/>
                <w:kern w:val="0"/>
                <w:sz w:val="24"/>
                <w:szCs w:val="24"/>
                <w:u w:val="single"/>
              </w:rPr>
              <w:t>35</w:t>
            </w:r>
            <w:r>
              <w:rPr>
                <w:rFonts w:hint="eastAsia" w:cs="宋体" w:asciiTheme="minorEastAsia" w:hAnsiTheme="minorEastAsia"/>
                <w:kern w:val="0"/>
                <w:sz w:val="24"/>
                <w:szCs w:val="24"/>
                <w:u w:val="single"/>
              </w:rPr>
              <w:t> </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302"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二、商务部分（满分</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u w:val="single"/>
              </w:rPr>
              <w:t>30</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评分标准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057" w:type="dxa"/>
            <w:shd w:val="clear" w:color="auto" w:fill="FFFFFF"/>
            <w:tcMar>
              <w:left w:w="108" w:type="dxa"/>
              <w:right w:w="108" w:type="dxa"/>
            </w:tcMar>
            <w:vAlign w:val="center"/>
          </w:tcPr>
          <w:p>
            <w:pPr>
              <w:widowControl/>
              <w:spacing w:line="360" w:lineRule="atLeast"/>
              <w:jc w:val="center"/>
              <w:rPr>
                <w:rFonts w:cs="仿宋" w:asciiTheme="minorEastAsia" w:hAnsiTheme="minorEastAsia"/>
                <w:sz w:val="24"/>
                <w:szCs w:val="24"/>
              </w:rPr>
            </w:pPr>
            <w:r>
              <w:rPr>
                <w:rFonts w:hint="eastAsia" w:cs="仿宋" w:asciiTheme="minorEastAsia" w:hAnsiTheme="minorEastAsia"/>
                <w:kern w:val="0"/>
                <w:sz w:val="24"/>
                <w:szCs w:val="24"/>
              </w:rPr>
              <w:t>信誉</w:t>
            </w:r>
          </w:p>
        </w:tc>
        <w:tc>
          <w:tcPr>
            <w:tcW w:w="6069" w:type="dxa"/>
            <w:shd w:val="clear" w:color="auto" w:fill="FFFFFF"/>
            <w:tcMar>
              <w:left w:w="108" w:type="dxa"/>
              <w:right w:w="108" w:type="dxa"/>
            </w:tcMar>
            <w:vAlign w:val="center"/>
          </w:tcPr>
          <w:p>
            <w:pPr>
              <w:spacing w:line="360" w:lineRule="auto"/>
              <w:rPr>
                <w:rFonts w:cs="仿宋" w:asciiTheme="minorEastAsia" w:hAnsiTheme="minorEastAsia"/>
                <w:sz w:val="24"/>
                <w:szCs w:val="24"/>
              </w:rPr>
            </w:pPr>
            <w:r>
              <w:rPr>
                <w:rFonts w:hint="eastAsia" w:cs="仿宋" w:asciiTheme="minorEastAsia" w:hAnsiTheme="minorEastAsia"/>
                <w:sz w:val="24"/>
                <w:szCs w:val="24"/>
              </w:rPr>
              <w:t>1、投标人提供产品的CCC证书复印件盖投标人公章、ISO9001:2008质量管理体系认证证书复印件盖投标人公章、ISO14001:2004环境管理体系认证证书复印件盖投标人公章、ISO18001：2007职业健康安全管理体系认证证书复印件盖投标人公章；每有一项得2分，满分8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u w:val="single"/>
              </w:rPr>
              <w:t>8</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057" w:type="dxa"/>
            <w:shd w:val="clear" w:color="auto" w:fill="FFFFFF"/>
            <w:tcMar>
              <w:left w:w="108" w:type="dxa"/>
              <w:right w:w="108" w:type="dxa"/>
            </w:tcMar>
            <w:vAlign w:val="center"/>
          </w:tcPr>
          <w:p>
            <w:pPr>
              <w:widowControl/>
              <w:spacing w:line="360" w:lineRule="atLeast"/>
              <w:jc w:val="center"/>
              <w:rPr>
                <w:rFonts w:cs="仿宋" w:asciiTheme="minorEastAsia" w:hAnsiTheme="minorEastAsia"/>
                <w:sz w:val="24"/>
                <w:szCs w:val="24"/>
              </w:rPr>
            </w:pPr>
            <w:r>
              <w:rPr>
                <w:rFonts w:hint="eastAsia" w:cs="仿宋" w:asciiTheme="minorEastAsia" w:hAnsiTheme="minorEastAsia"/>
                <w:kern w:val="0"/>
                <w:sz w:val="24"/>
                <w:szCs w:val="24"/>
              </w:rPr>
              <w:t>售后服务及培训</w:t>
            </w:r>
          </w:p>
        </w:tc>
        <w:tc>
          <w:tcPr>
            <w:tcW w:w="6069" w:type="dxa"/>
            <w:shd w:val="clear" w:color="auto" w:fill="FFFFFF"/>
            <w:tcMar>
              <w:left w:w="108" w:type="dxa"/>
              <w:right w:w="108" w:type="dxa"/>
            </w:tcMar>
            <w:vAlign w:val="center"/>
          </w:tcPr>
          <w:p>
            <w:pPr>
              <w:pStyle w:val="66"/>
              <w:spacing w:line="360" w:lineRule="auto"/>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1、有详细可行的售后服务计划、人员培训计划、售后服务队伍的得3分，只有简单描述的得1分，没有相关描述的不得分；</w:t>
            </w:r>
          </w:p>
          <w:p>
            <w:pPr>
              <w:pStyle w:val="66"/>
              <w:spacing w:line="360" w:lineRule="auto"/>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 xml:space="preserve">2、对质保期内人员到达现场时间、问题响应时间、解决问题时间，描述详细、可行、时间短的得3分，只有简单描述、时间较长的得1分，无相关描述不得分。 </w:t>
            </w:r>
          </w:p>
          <w:p>
            <w:pPr>
              <w:pStyle w:val="66"/>
              <w:spacing w:line="360" w:lineRule="auto"/>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3、</w:t>
            </w:r>
            <w:r>
              <w:rPr>
                <w:rFonts w:hint="eastAsia" w:cs="仿宋" w:asciiTheme="minorEastAsia" w:hAnsiTheme="minorEastAsia" w:eastAsiaTheme="minorEastAsia"/>
                <w:sz w:val="24"/>
                <w:lang w:val="en-GB"/>
              </w:rPr>
              <w:t>具有明确的培训内容、计划合理得2分。否则不得分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kern w:val="0"/>
                <w:sz w:val="24"/>
                <w:szCs w:val="24"/>
                <w:u w:val="single"/>
              </w:rPr>
              <w:t>8</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057" w:type="dxa"/>
            <w:shd w:val="clear" w:color="auto" w:fill="FFFFFF"/>
            <w:tcMar>
              <w:left w:w="108" w:type="dxa"/>
              <w:right w:w="108" w:type="dxa"/>
            </w:tcMar>
            <w:vAlign w:val="center"/>
          </w:tcPr>
          <w:p>
            <w:pPr>
              <w:widowControl/>
              <w:spacing w:line="400" w:lineRule="atLeast"/>
              <w:jc w:val="center"/>
              <w:rPr>
                <w:rFonts w:cs="宋体" w:asciiTheme="minorEastAsia" w:hAnsiTheme="minorEastAsia"/>
                <w:kern w:val="0"/>
                <w:sz w:val="24"/>
                <w:szCs w:val="24"/>
              </w:rPr>
            </w:pPr>
            <w:r>
              <w:rPr>
                <w:rFonts w:hint="eastAsia" w:cs="仿宋" w:asciiTheme="minorEastAsia" w:hAnsiTheme="minorEastAsia"/>
                <w:kern w:val="0"/>
                <w:sz w:val="24"/>
                <w:szCs w:val="24"/>
              </w:rPr>
              <w:t>业绩</w:t>
            </w:r>
          </w:p>
        </w:tc>
        <w:tc>
          <w:tcPr>
            <w:tcW w:w="6069" w:type="dxa"/>
            <w:shd w:val="clear" w:color="auto" w:fill="FFFFFF"/>
            <w:tcMar>
              <w:left w:w="108" w:type="dxa"/>
              <w:right w:w="108" w:type="dxa"/>
            </w:tcMar>
            <w:vAlign w:val="center"/>
          </w:tcPr>
          <w:p>
            <w:pPr>
              <w:spacing w:line="360" w:lineRule="auto"/>
              <w:rPr>
                <w:rFonts w:asciiTheme="minorEastAsia" w:hAnsiTheme="minorEastAsia"/>
                <w:sz w:val="24"/>
                <w:szCs w:val="24"/>
              </w:rPr>
            </w:pPr>
            <w:r>
              <w:rPr>
                <w:rFonts w:hint="eastAsia" w:asciiTheme="minorEastAsia" w:hAnsiTheme="minorEastAsia"/>
                <w:sz w:val="24"/>
                <w:szCs w:val="24"/>
              </w:rPr>
              <w:t>2015年1月1日以来具有与本包采购内容类似的项目业绩，且单项合同金额在本包采购预算金额及以上的，（合同、中标通知书），每提供一套得3分，满分9分（以合同时间为准）。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kern w:val="0"/>
                <w:sz w:val="24"/>
                <w:szCs w:val="24"/>
                <w:u w:val="single"/>
              </w:rPr>
            </w:pPr>
            <w:r>
              <w:rPr>
                <w:rFonts w:hint="eastAsia" w:cs="仿宋" w:asciiTheme="minorEastAsia" w:hAnsiTheme="minorEastAsia"/>
                <w:kern w:val="0"/>
                <w:sz w:val="24"/>
                <w:szCs w:val="24"/>
                <w:u w:val="single"/>
              </w:rPr>
              <w:t>9</w:t>
            </w:r>
            <w:r>
              <w:rPr>
                <w:rFonts w:hint="eastAsia" w:cs="仿宋" w:asciiTheme="minorEastAsia" w:hAnsi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057" w:type="dxa"/>
            <w:shd w:val="clear" w:color="auto" w:fill="FFFFFF"/>
            <w:tcMar>
              <w:left w:w="108" w:type="dxa"/>
              <w:right w:w="108" w:type="dxa"/>
            </w:tcMar>
            <w:vAlign w:val="center"/>
          </w:tcPr>
          <w:p>
            <w:pPr>
              <w:widowControl/>
              <w:spacing w:line="440" w:lineRule="exact"/>
              <w:jc w:val="center"/>
              <w:rPr>
                <w:rFonts w:asciiTheme="minorEastAsia" w:hAnsiTheme="minorEastAsia"/>
                <w:sz w:val="24"/>
                <w:szCs w:val="24"/>
              </w:rPr>
            </w:pPr>
            <w:r>
              <w:rPr>
                <w:rFonts w:hint="eastAsia" w:asciiTheme="minorEastAsia" w:hAnsiTheme="minorEastAsia"/>
                <w:sz w:val="24"/>
                <w:szCs w:val="24"/>
              </w:rPr>
              <w:t>投标文件规范程度</w:t>
            </w:r>
          </w:p>
        </w:tc>
        <w:tc>
          <w:tcPr>
            <w:tcW w:w="6069" w:type="dxa"/>
            <w:shd w:val="clear" w:color="auto" w:fill="FFFFFF"/>
            <w:tcMar>
              <w:left w:w="108" w:type="dxa"/>
              <w:right w:w="108" w:type="dxa"/>
            </w:tcMar>
            <w:vAlign w:val="center"/>
          </w:tcPr>
          <w:p>
            <w:pPr>
              <w:widowControl/>
              <w:spacing w:line="360" w:lineRule="exact"/>
              <w:rPr>
                <w:rFonts w:asciiTheme="minorEastAsia" w:hAnsiTheme="minorEastAsia"/>
                <w:sz w:val="24"/>
                <w:szCs w:val="24"/>
              </w:rPr>
            </w:pPr>
            <w:r>
              <w:rPr>
                <w:rFonts w:hint="eastAsia" w:asciiTheme="minorEastAsia" w:hAnsiTheme="minorEastAsia"/>
                <w:sz w:val="24"/>
                <w:szCs w:val="24"/>
              </w:rPr>
              <w:t>1、编制规范、文字清晰、无差错3分。</w:t>
            </w:r>
          </w:p>
          <w:p>
            <w:pPr>
              <w:widowControl/>
              <w:spacing w:line="360" w:lineRule="exact"/>
              <w:jc w:val="left"/>
              <w:rPr>
                <w:rFonts w:asciiTheme="minorEastAsia" w:hAnsiTheme="minorEastAsia"/>
                <w:sz w:val="24"/>
                <w:szCs w:val="24"/>
              </w:rPr>
            </w:pPr>
            <w:r>
              <w:rPr>
                <w:rFonts w:hint="eastAsia" w:asciiTheme="minorEastAsia" w:hAnsiTheme="minorEastAsia"/>
                <w:sz w:val="24"/>
                <w:szCs w:val="24"/>
              </w:rPr>
              <w:t>2、所提供资料准确完整2分。</w:t>
            </w:r>
          </w:p>
        </w:tc>
        <w:tc>
          <w:tcPr>
            <w:tcW w:w="1176" w:type="dxa"/>
            <w:shd w:val="clear" w:color="auto" w:fill="FFFFFF"/>
            <w:tcMar>
              <w:left w:w="108" w:type="dxa"/>
              <w:right w:w="108" w:type="dxa"/>
            </w:tcMar>
            <w:vAlign w:val="center"/>
          </w:tcPr>
          <w:p>
            <w:pPr>
              <w:widowControl/>
              <w:spacing w:line="330" w:lineRule="atLeast"/>
              <w:jc w:val="center"/>
              <w:rPr>
                <w:rFonts w:asciiTheme="minorEastAsia" w:hAnsiTheme="minorEastAsia"/>
                <w:sz w:val="24"/>
                <w:szCs w:val="24"/>
              </w:rPr>
            </w:pPr>
            <w:r>
              <w:rPr>
                <w:rFonts w:hint="eastAsia" w:cs="仿宋" w:asciiTheme="minorEastAsia" w:hAnsiTheme="minorEastAsia"/>
                <w:kern w:val="0"/>
                <w:sz w:val="24"/>
                <w:szCs w:val="24"/>
                <w:u w:val="single"/>
              </w:rPr>
              <w:t>5</w:t>
            </w:r>
            <w:r>
              <w:rPr>
                <w:rFonts w:hint="eastAsia" w:cs="仿宋" w:asciiTheme="minorEastAsia" w:hAnsiTheme="minorEastAsia"/>
                <w:kern w:val="0"/>
                <w:sz w:val="24"/>
                <w:szCs w:val="24"/>
              </w:rPr>
              <w:t>分</w:t>
            </w: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8302" w:type="dxa"/>
            <w:gridSpan w:val="3"/>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三、技术部分（满分</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u w:val="single"/>
              </w:rPr>
              <w:t>35</w:t>
            </w:r>
            <w:r>
              <w:rPr>
                <w:rFonts w:hint="eastAsia" w:cs="宋体" w:asciiTheme="minorEastAsia" w:hAnsiTheme="minorEastAsia"/>
                <w:b/>
                <w:kern w:val="0"/>
                <w:sz w:val="24"/>
                <w:szCs w:val="24"/>
                <w:u w:val="single"/>
              </w:rPr>
              <w:t> </w:t>
            </w:r>
            <w:r>
              <w:rPr>
                <w:rFonts w:hint="eastAsia" w:cs="仿宋" w:asciiTheme="minorEastAsia" w:hAnsiTheme="minorEastAsia"/>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057" w:type="dxa"/>
            <w:shd w:val="clear" w:color="auto" w:fill="FFFFFF"/>
            <w:tcMar>
              <w:left w:w="108" w:type="dxa"/>
              <w:right w:w="108" w:type="dxa"/>
            </w:tcMar>
            <w:vAlign w:val="center"/>
          </w:tcPr>
          <w:p>
            <w:pPr>
              <w:widowControl/>
              <w:spacing w:line="330" w:lineRule="atLeast"/>
              <w:jc w:val="center"/>
              <w:rPr>
                <w:rFonts w:cs="仿宋" w:asciiTheme="minorEastAsia" w:hAnsiTheme="minorEastAsia"/>
                <w:b/>
                <w:kern w:val="0"/>
                <w:sz w:val="24"/>
                <w:szCs w:val="24"/>
              </w:rPr>
            </w:pPr>
            <w:r>
              <w:rPr>
                <w:rFonts w:hint="eastAsia" w:cs="仿宋" w:asciiTheme="minorEastAsia" w:hAnsiTheme="minorEastAsia"/>
                <w:b/>
                <w:kern w:val="0"/>
                <w:sz w:val="24"/>
                <w:szCs w:val="24"/>
              </w:rPr>
              <w:t>评分</w:t>
            </w:r>
          </w:p>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因素</w:t>
            </w:r>
          </w:p>
        </w:tc>
        <w:tc>
          <w:tcPr>
            <w:tcW w:w="6069"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评分标准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sz w:val="24"/>
                <w:szCs w:val="24"/>
              </w:rPr>
            </w:pPr>
            <w:r>
              <w:rPr>
                <w:rFonts w:hint="eastAsia" w:cs="仿宋" w:asciiTheme="minorEastAsia" w:hAnsiTheme="minorEastAsia"/>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057" w:type="dxa"/>
            <w:shd w:val="clear" w:color="auto" w:fill="FFFFFF"/>
            <w:tcMar>
              <w:left w:w="108" w:type="dxa"/>
              <w:right w:w="108" w:type="dxa"/>
            </w:tcMar>
            <w:vAlign w:val="center"/>
          </w:tcPr>
          <w:p>
            <w:pPr>
              <w:widowControl/>
              <w:spacing w:line="440" w:lineRule="exact"/>
              <w:jc w:val="center"/>
              <w:rPr>
                <w:rFonts w:asciiTheme="minorEastAsia" w:hAnsiTheme="minorEastAsia"/>
                <w:sz w:val="24"/>
                <w:szCs w:val="24"/>
              </w:rPr>
            </w:pPr>
            <w:r>
              <w:rPr>
                <w:rFonts w:hint="eastAsia" w:asciiTheme="minorEastAsia" w:hAnsiTheme="minorEastAsia"/>
                <w:sz w:val="24"/>
                <w:szCs w:val="24"/>
              </w:rPr>
              <w:t>技术参数</w:t>
            </w:r>
          </w:p>
        </w:tc>
        <w:tc>
          <w:tcPr>
            <w:tcW w:w="6069" w:type="dxa"/>
            <w:shd w:val="clear" w:color="auto" w:fill="FFFFFF"/>
            <w:tcMar>
              <w:left w:w="108" w:type="dxa"/>
              <w:right w:w="108" w:type="dxa"/>
            </w:tcMar>
            <w:vAlign w:val="center"/>
          </w:tcPr>
          <w:p>
            <w:pPr>
              <w:widowControl/>
              <w:spacing w:line="360" w:lineRule="exact"/>
              <w:jc w:val="left"/>
              <w:rPr>
                <w:rFonts w:asciiTheme="minorEastAsia" w:hAnsiTheme="minorEastAsia"/>
                <w:sz w:val="24"/>
                <w:szCs w:val="24"/>
              </w:rPr>
            </w:pPr>
            <w:r>
              <w:rPr>
                <w:rFonts w:hint="eastAsia" w:asciiTheme="minorEastAsia" w:hAnsiTheme="minorEastAsia"/>
                <w:sz w:val="24"/>
                <w:szCs w:val="24"/>
              </w:rPr>
              <w:t>供应商所投货物的技术参数、性能指标能够全部满足招标文件得30分；</w:t>
            </w:r>
          </w:p>
          <w:p>
            <w:pPr>
              <w:widowControl/>
              <w:spacing w:line="360" w:lineRule="exact"/>
              <w:jc w:val="left"/>
              <w:rPr>
                <w:rFonts w:asciiTheme="minorEastAsia" w:hAnsiTheme="minorEastAsia"/>
                <w:sz w:val="24"/>
                <w:szCs w:val="24"/>
              </w:rPr>
            </w:pPr>
            <w:r>
              <w:rPr>
                <w:rFonts w:hint="eastAsia" w:asciiTheme="minorEastAsia" w:hAnsiTheme="minorEastAsia"/>
                <w:sz w:val="24"/>
                <w:szCs w:val="24"/>
              </w:rPr>
              <w:t>采购需求中加</w:t>
            </w:r>
            <w:r>
              <w:rPr>
                <w:rFonts w:hint="eastAsia" w:cs="宋体" w:asciiTheme="minorEastAsia" w:hAnsiTheme="minorEastAsia"/>
                <w:kern w:val="0"/>
                <w:sz w:val="24"/>
                <w:szCs w:val="24"/>
              </w:rPr>
              <w:t>★</w:t>
            </w:r>
            <w:r>
              <w:rPr>
                <w:rFonts w:hint="eastAsia" w:asciiTheme="minorEastAsia" w:hAnsiTheme="minorEastAsia"/>
                <w:sz w:val="24"/>
                <w:szCs w:val="24"/>
              </w:rPr>
              <w:t>号技术参数，投标人每优于一项加1分，加分最多不超过5分。</w:t>
            </w:r>
          </w:p>
        </w:tc>
        <w:tc>
          <w:tcPr>
            <w:tcW w:w="1176" w:type="dxa"/>
            <w:shd w:val="clear" w:color="auto" w:fill="FFFFFF"/>
            <w:tcMar>
              <w:left w:w="108" w:type="dxa"/>
              <w:right w:w="108" w:type="dxa"/>
            </w:tcMar>
            <w:vAlign w:val="center"/>
          </w:tcPr>
          <w:p>
            <w:pPr>
              <w:widowControl/>
              <w:spacing w:line="330" w:lineRule="atLeast"/>
              <w:jc w:val="center"/>
              <w:rPr>
                <w:rFonts w:cs="仿宋" w:asciiTheme="minorEastAsia" w:hAnsiTheme="minorEastAsia"/>
                <w:kern w:val="0"/>
                <w:sz w:val="24"/>
                <w:szCs w:val="24"/>
              </w:rPr>
            </w:pPr>
            <w:r>
              <w:rPr>
                <w:rFonts w:hint="eastAsia" w:cs="仿宋" w:asciiTheme="minorEastAsia" w:hAnsiTheme="minorEastAsia"/>
                <w:kern w:val="0"/>
                <w:sz w:val="24"/>
                <w:szCs w:val="24"/>
                <w:u w:val="single"/>
              </w:rPr>
              <w:t>35</w:t>
            </w:r>
            <w:r>
              <w:rPr>
                <w:rFonts w:hint="eastAsia" w:cs="仿宋" w:asciiTheme="minorEastAsia" w:hAnsiTheme="minorEastAsia"/>
                <w:kern w:val="0"/>
                <w:sz w:val="24"/>
                <w:szCs w:val="24"/>
              </w:rPr>
              <w:t>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r>
        <w:rPr>
          <w:rFonts w:ascii="宋体" w:hAnsi="宋体" w:cs="Courier New"/>
          <w:szCs w:val="21"/>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ind w:firstLine="482" w:firstLineChars="200"/>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w:t>
      </w:r>
      <w:r>
        <w:rPr>
          <w:rFonts w:hint="eastAsia" w:ascii="宋体" w:hAnsi="宋体"/>
          <w:b/>
          <w:sz w:val="24"/>
          <w:u w:val="single"/>
        </w:rPr>
        <w:t xml:space="preserve">     </w:t>
      </w:r>
      <w:r>
        <w:rPr>
          <w:rFonts w:hint="eastAsia" w:ascii="宋体" w:hAnsi="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spacing w:line="360" w:lineRule="auto"/>
        <w:rPr>
          <w:rFonts w:ascii="宋体" w:hAnsi="宋体" w:cs="微软雅黑"/>
          <w:b/>
          <w:bCs/>
          <w:sz w:val="24"/>
          <w:szCs w:val="24"/>
        </w:rPr>
      </w:pPr>
      <w:r>
        <w:rPr>
          <w:rFonts w:hint="eastAsia" w:ascii="宋体" w:hAnsi="宋体"/>
          <w:sz w:val="24"/>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left"/>
        <w:rPr>
          <w:rStyle w:val="55"/>
          <w:rFonts w:ascii="宋体" w:hAnsi="宋体" w:eastAsia="宋体"/>
        </w:rPr>
      </w:pPr>
    </w:p>
    <w:p>
      <w:pPr>
        <w:jc w:val="left"/>
        <w:rPr>
          <w:rStyle w:val="55"/>
          <w:rFonts w:ascii="宋体" w:hAnsi="宋体" w:eastAsia="宋体"/>
        </w:rPr>
      </w:pPr>
      <w:r>
        <w:rPr>
          <w:rStyle w:val="55"/>
          <w:rFonts w:hint="eastAsia" w:ascii="宋体" w:hAnsi="宋体" w:eastAsia="宋体"/>
        </w:rPr>
        <w:t>投标文件封皮格式</w:t>
      </w:r>
      <w:bookmarkStart w:id="1" w:name="_Toc16238"/>
      <w:bookmarkStart w:id="2" w:name="_Toc12595"/>
      <w:bookmarkStart w:id="3" w:name="_Toc5131"/>
      <w:bookmarkStart w:id="4" w:name="_Toc14398"/>
    </w:p>
    <w:p>
      <w:pPr>
        <w:pStyle w:val="2"/>
        <w:ind w:firstLine="340"/>
      </w:pPr>
    </w:p>
    <w:p>
      <w:pPr>
        <w:jc w:val="right"/>
        <w:rPr>
          <w:rStyle w:val="55"/>
          <w:rFonts w:ascii="宋体" w:hAnsi="宋体" w:eastAsia="宋体"/>
        </w:rPr>
      </w:pPr>
      <w:r>
        <w:rPr>
          <w:rStyle w:val="55"/>
          <w:rFonts w:hint="eastAsia" w:ascii="宋体" w:hAnsi="宋体" w:eastAsia="宋体"/>
        </w:rPr>
        <w:t>正本/副本</w:t>
      </w:r>
    </w:p>
    <w:bookmarkEnd w:id="1"/>
    <w:bookmarkEnd w:id="2"/>
    <w:bookmarkEnd w:id="3"/>
    <w:bookmarkEnd w:id="4"/>
    <w:p>
      <w:pPr>
        <w:jc w:val="left"/>
        <w:rPr>
          <w:rStyle w:val="55"/>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0" w:firstLineChars="0"/>
      </w:pPr>
    </w:p>
    <w:p>
      <w:pPr>
        <w:rPr>
          <w:rFonts w:ascii="宋体" w:hAnsi="宋体" w:eastAsia="宋体" w:cs="微软雅黑"/>
          <w:sz w:val="28"/>
          <w:szCs w:val="28"/>
        </w:rPr>
      </w:pPr>
    </w:p>
    <w:p>
      <w:pPr>
        <w:ind w:left="1079" w:leftChars="514" w:firstLine="1400" w:firstLineChars="500"/>
        <w:jc w:val="left"/>
        <w:rPr>
          <w:rFonts w:ascii="宋体" w:hAnsi="宋体" w:eastAsia="宋体" w:cs="微软雅黑"/>
          <w:sz w:val="28"/>
          <w:szCs w:val="28"/>
          <w:u w:val="single"/>
        </w:rPr>
      </w:pPr>
      <w:r>
        <w:rPr>
          <w:rFonts w:hint="eastAsia" w:ascii="宋体" w:hAnsi="宋体" w:eastAsia="宋体" w:cs="微软雅黑"/>
          <w:sz w:val="28"/>
          <w:szCs w:val="28"/>
        </w:rPr>
        <w:t>投  标  人：      （盖单位章）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6274126"/>
      <w:bookmarkStart w:id="6" w:name="_Toc174185203"/>
      <w:bookmarkStart w:id="7" w:name="_Toc184023138"/>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Cs w:val="21"/>
                <w:lang w:val="zh-CN"/>
              </w:rPr>
              <w:t>交付日期（日历天）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xml:space="preserve">         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2"/>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2"/>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2"/>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2"/>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2"/>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2"/>
        <w:spacing w:line="480" w:lineRule="auto"/>
        <w:ind w:firstLine="540" w:firstLineChars="225"/>
        <w:jc w:val="left"/>
        <w:rPr>
          <w:rFonts w:asciiTheme="minorEastAsia" w:hAnsiTheme="minorEastAsia"/>
          <w:szCs w:val="24"/>
        </w:rPr>
      </w:pPr>
    </w:p>
    <w:p>
      <w:pPr>
        <w:pStyle w:val="42"/>
        <w:spacing w:line="480" w:lineRule="auto"/>
        <w:ind w:firstLine="540" w:firstLineChars="225"/>
        <w:jc w:val="left"/>
        <w:rPr>
          <w:rFonts w:asciiTheme="minorEastAsia" w:hAnsiTheme="minorEastAsia"/>
          <w:szCs w:val="24"/>
        </w:rPr>
      </w:pPr>
    </w:p>
    <w:p>
      <w:pPr>
        <w:pStyle w:val="42"/>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2"/>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5"/>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4"/>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日    期：</w:t>
      </w:r>
      <w:r>
        <w:rPr>
          <w:rFonts w:hint="eastAsia" w:cs="宋体" w:asciiTheme="minorEastAsia" w:hAnsiTheme="minorEastAsia"/>
          <w:szCs w:val="21"/>
          <w:lang w:val="zh-CN"/>
        </w:rPr>
        <w:t xml:space="preserve">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spacing w:before="50" w:afterLines="50" w:line="360" w:lineRule="auto"/>
        <w:ind w:firstLine="2692" w:firstLineChars="745"/>
        <w:contextualSpacing/>
        <w:jc w:val="left"/>
        <w:rPr>
          <w:rFonts w:ascii="宋体" w:hAnsi="宋体"/>
          <w:b/>
          <w:bCs/>
          <w:sz w:val="36"/>
          <w:szCs w:val="36"/>
        </w:rPr>
      </w:pPr>
      <w:r>
        <w:rPr>
          <w:rFonts w:hint="eastAsia" w:ascii="宋体" w:hAnsi="宋体"/>
          <w:b/>
          <w:bCs/>
          <w:sz w:val="36"/>
          <w:szCs w:val="36"/>
        </w:rPr>
        <w:t>4.1</w:t>
      </w:r>
      <w:r>
        <w:rPr>
          <w:rFonts w:hint="eastAsia" w:hAnsi="宋体"/>
          <w:b/>
          <w:snapToGrid w:val="0"/>
          <w:kern w:val="0"/>
          <w:sz w:val="36"/>
          <w:szCs w:val="36"/>
        </w:rPr>
        <w:t>投标分项报价表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sz w:val="36"/>
          <w:szCs w:val="36"/>
        </w:rPr>
      </w:pPr>
    </w:p>
    <w:p>
      <w:pPr>
        <w:pageBreakBefore/>
        <w:spacing w:before="50" w:afterLines="50" w:line="360" w:lineRule="auto"/>
        <w:ind w:firstLine="2692" w:firstLineChars="745"/>
        <w:contextualSpacing/>
        <w:jc w:val="left"/>
        <w:rPr>
          <w:rFonts w:hAnsi="宋体"/>
          <w:b/>
          <w:snapToGrid w:val="0"/>
          <w:kern w:val="0"/>
          <w:sz w:val="36"/>
          <w:szCs w:val="36"/>
        </w:rPr>
      </w:pPr>
      <w:r>
        <w:rPr>
          <w:rFonts w:hint="eastAsia" w:hAnsi="宋体"/>
          <w:b/>
          <w:snapToGrid w:val="0"/>
          <w:kern w:val="0"/>
          <w:sz w:val="36"/>
          <w:szCs w:val="36"/>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ascii="宋体" w:hAnsi="宋体"/>
          <w:b/>
          <w:bCs/>
          <w:sz w:val="36"/>
          <w:szCs w:val="36"/>
        </w:rPr>
      </w:pPr>
    </w:p>
    <w:p>
      <w:pPr>
        <w:pStyle w:val="2"/>
        <w:ind w:firstLine="340"/>
      </w:pPr>
    </w:p>
    <w:p>
      <w:pPr>
        <w:pStyle w:val="2"/>
        <w:ind w:firstLine="340"/>
      </w:pPr>
    </w:p>
    <w:p>
      <w:pPr>
        <w:spacing w:before="50" w:afterLines="50" w:line="360" w:lineRule="auto"/>
        <w:ind w:firstLine="2692" w:firstLineChars="745"/>
        <w:contextualSpacing/>
        <w:jc w:val="left"/>
        <w:rPr>
          <w:rFonts w:hAnsi="宋体"/>
          <w:b/>
          <w:snapToGrid w:val="0"/>
          <w:kern w:val="0"/>
          <w:sz w:val="36"/>
          <w:szCs w:val="36"/>
        </w:rPr>
      </w:pPr>
      <w:r>
        <w:rPr>
          <w:rFonts w:hint="eastAsia" w:hAnsi="宋体"/>
          <w:b/>
          <w:snapToGrid w:val="0"/>
          <w:kern w:val="0"/>
          <w:sz w:val="36"/>
          <w:szCs w:val="36"/>
        </w:rPr>
        <w:t>4.3</w:t>
      </w:r>
      <w:r>
        <w:rPr>
          <w:rFonts w:hint="eastAsia" w:hAnsi="宋体"/>
          <w:b/>
          <w:bCs/>
          <w:snapToGrid w:val="0"/>
          <w:kern w:val="0"/>
          <w:sz w:val="36"/>
          <w:szCs w:val="36"/>
        </w:rPr>
        <w:t>技术方案（实施方案）</w:t>
      </w:r>
    </w:p>
    <w:p>
      <w:pPr>
        <w:autoSpaceDE w:val="0"/>
        <w:autoSpaceDN w:val="0"/>
        <w:adjustRightInd w:val="0"/>
        <w:spacing w:line="480" w:lineRule="auto"/>
        <w:jc w:val="center"/>
        <w:rPr>
          <w:rFonts w:ascii="宋体" w:cs="宋体"/>
          <w:sz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outlineLvl w:val="0"/>
        <w:rPr>
          <w:rFonts w:ascii="宋体" w:cs="宋体"/>
          <w:sz w:val="24"/>
          <w:lang w:val="zh-CN"/>
        </w:rPr>
      </w:pPr>
    </w:p>
    <w:p>
      <w:pPr>
        <w:spacing w:line="480" w:lineRule="exact"/>
        <w:jc w:val="center"/>
        <w:rPr>
          <w:rFonts w:ascii="宋体" w:hAnsi="宋体"/>
          <w:b/>
          <w:bCs/>
          <w:sz w:val="36"/>
          <w:szCs w:val="36"/>
        </w:rPr>
      </w:pPr>
    </w:p>
    <w:p>
      <w:pPr>
        <w:spacing w:line="300" w:lineRule="exact"/>
        <w:rPr>
          <w:rFonts w:asciiTheme="minorEastAsia" w:hAnsiTheme="minorEastAsia"/>
          <w:sz w:val="24"/>
          <w:szCs w:val="24"/>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ascii="宋体" w:hAnsi="宋体"/>
          <w:b/>
          <w:bCs/>
          <w:sz w:val="36"/>
          <w:szCs w:val="36"/>
        </w:rPr>
      </w:pPr>
      <w:r>
        <w:rPr>
          <w:rFonts w:hint="eastAsia" w:ascii="宋体" w:hAnsi="宋体"/>
          <w:b/>
          <w:bCs/>
          <w:sz w:val="36"/>
          <w:szCs w:val="36"/>
        </w:rPr>
        <w:br w:type="page"/>
      </w: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4.4</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br w:type="page"/>
      </w: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4.6“节能产品政府采购清单”强制节能产品情况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pageBreakBefore/>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4.7 “节能产品政府采购清单”优先采购产品情况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4.8 “环境标志产品政府采购清单”优先采购产品情况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pStyle w:val="2"/>
        <w:ind w:firstLine="340"/>
      </w:pPr>
    </w:p>
    <w:p>
      <w:pPr>
        <w:pStyle w:val="2"/>
        <w:ind w:firstLine="340"/>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4.9中小企业声明函</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p>
    <w:p>
      <w:pPr>
        <w:spacing w:beforeLines="50" w:afterLines="50" w:line="360" w:lineRule="auto"/>
        <w:ind w:right="420" w:firstLine="4680" w:firstLineChars="1950"/>
        <w:rPr>
          <w:rFonts w:cs="宋体" w:asciiTheme="minorEastAsia" w:hAnsiTheme="minorEastAsia"/>
          <w:sz w:val="24"/>
          <w:szCs w:val="24"/>
          <w:lang w:val="zh-CN"/>
        </w:rPr>
      </w:pPr>
      <w:r>
        <w:rPr>
          <w:rFonts w:hint="eastAsia" w:cs="宋体" w:asciiTheme="minorEastAsia" w:hAnsiTheme="minorEastAsia"/>
          <w:sz w:val="24"/>
          <w:szCs w:val="24"/>
          <w:lang w:val="zh-CN"/>
        </w:rPr>
        <w:t>日    期：</w:t>
      </w:r>
      <w:r>
        <w:rPr>
          <w:rFonts w:hint="eastAsia" w:cs="宋体" w:asciiTheme="minorEastAsia" w:hAnsiTheme="minorEastAsia"/>
          <w:szCs w:val="21"/>
          <w:lang w:val="zh-CN"/>
        </w:rPr>
        <w:t xml:space="preserve">    </w:t>
      </w:r>
      <w:r>
        <w:rPr>
          <w:rFonts w:hint="eastAsia" w:cs="宋体" w:asciiTheme="minorEastAsia" w:hAnsiTheme="minorEastAsia"/>
          <w:szCs w:val="21"/>
        </w:rPr>
        <w:t>年    月    日</w:t>
      </w:r>
    </w:p>
    <w:p>
      <w:pPr>
        <w:pStyle w:val="2"/>
        <w:ind w:firstLine="340"/>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11" w:name="OLE_LINK14"/>
      <w:bookmarkStart w:id="12" w:name="OLE_LINK13"/>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4.10残疾人福利性单位声明函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Lines="50" w:afterLines="50" w:line="360" w:lineRule="auto"/>
        <w:ind w:right="420"/>
        <w:rPr>
          <w:rFonts w:cs="宋体" w:asciiTheme="minorEastAsia" w:hAnsiTheme="minorEastAsia"/>
          <w:sz w:val="24"/>
          <w:szCs w:val="24"/>
          <w:lang w:val="zh-CN"/>
        </w:rPr>
      </w:pPr>
      <w:r>
        <w:rPr>
          <w:rFonts w:hint="eastAsia" w:ascii="宋体" w:hAnsi="宋体"/>
          <w:sz w:val="24"/>
          <w:szCs w:val="24"/>
        </w:rPr>
        <w:t xml:space="preserve">                                   </w:t>
      </w:r>
      <w:r>
        <w:rPr>
          <w:rFonts w:hint="eastAsia" w:cs="宋体" w:asciiTheme="minorEastAsia" w:hAnsiTheme="minorEastAsia"/>
          <w:sz w:val="24"/>
          <w:szCs w:val="24"/>
          <w:lang w:val="zh-CN"/>
        </w:rPr>
        <w:t>日    期：</w:t>
      </w:r>
      <w:r>
        <w:rPr>
          <w:rFonts w:hint="eastAsia" w:cs="宋体" w:asciiTheme="minorEastAsia" w:hAnsiTheme="minorEastAsia"/>
          <w:szCs w:val="21"/>
          <w:lang w:val="zh-CN"/>
        </w:rPr>
        <w:t xml:space="preserve">    </w:t>
      </w:r>
      <w:r>
        <w:rPr>
          <w:rFonts w:hint="eastAsia" w:cs="宋体" w:asciiTheme="minorEastAsia" w:hAnsiTheme="minorEastAsia"/>
          <w:szCs w:val="21"/>
        </w:rPr>
        <w:t>年    月    日</w:t>
      </w:r>
    </w:p>
    <w:p>
      <w:pPr>
        <w:spacing w:line="360" w:lineRule="auto"/>
        <w:rPr>
          <w:rFonts w:ascii="宋体" w:hAnsi="宋体"/>
          <w:sz w:val="24"/>
          <w:szCs w:val="24"/>
        </w:rPr>
      </w:pPr>
    </w:p>
    <w:p/>
    <w:p/>
    <w:p/>
    <w:p>
      <w:pPr>
        <w:spacing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80" w:firstLineChars="200"/>
        <w:jc w:val="center"/>
        <w:rPr>
          <w:rFonts w:ascii="宋体" w:hAnsi="宋体"/>
          <w:sz w:val="24"/>
          <w:szCs w:val="24"/>
        </w:rPr>
      </w:pPr>
      <w:r>
        <w:rPr>
          <w:rFonts w:hint="eastAsia" w:ascii="宋体" w:hAnsi="宋体"/>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pageBreakBefore/>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3D0B4"/>
    <w:multiLevelType w:val="singleLevel"/>
    <w:tmpl w:val="8B63D0B4"/>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386092F"/>
    <w:multiLevelType w:val="multilevel"/>
    <w:tmpl w:val="2386092F"/>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1"/>
      <w:suff w:val="nothing"/>
      <w:lvlText w:val="%1、"/>
      <w:lvlJc w:val="left"/>
    </w:lvl>
  </w:abstractNum>
  <w:abstractNum w:abstractNumId="9">
    <w:nsid w:val="5A4CF89E"/>
    <w:multiLevelType w:val="singleLevel"/>
    <w:tmpl w:val="5A4CF89E"/>
    <w:lvl w:ilvl="0" w:tentative="0">
      <w:start w:val="1"/>
      <w:numFmt w:val="chineseCounting"/>
      <w:suff w:val="nothing"/>
      <w:lvlText w:val="%1、"/>
      <w:lvlJc w:val="left"/>
      <w:rPr>
        <w:rFonts w:hint="eastAsia"/>
      </w:rPr>
    </w:lvl>
  </w:abstractNum>
  <w:num w:numId="1">
    <w:abstractNumId w:val="1"/>
  </w:num>
  <w:num w:numId="2">
    <w:abstractNumId w:val="2"/>
  </w:num>
  <w:num w:numId="3">
    <w:abstractNumId w:val="8"/>
  </w:num>
  <w:num w:numId="4">
    <w:abstractNumId w:val="7"/>
  </w:num>
  <w:num w:numId="5">
    <w:abstractNumId w:val="9"/>
  </w:num>
  <w:num w:numId="6">
    <w:abstractNumId w:val="0"/>
  </w:num>
  <w:num w:numId="7">
    <w:abstractNumId w:val="6"/>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1E41"/>
    <w:rsid w:val="00002C4C"/>
    <w:rsid w:val="00013791"/>
    <w:rsid w:val="0003367D"/>
    <w:rsid w:val="000872DB"/>
    <w:rsid w:val="000A3C3F"/>
    <w:rsid w:val="000B201C"/>
    <w:rsid w:val="000C3D13"/>
    <w:rsid w:val="000C43A8"/>
    <w:rsid w:val="000D4782"/>
    <w:rsid w:val="000E1D47"/>
    <w:rsid w:val="000E2879"/>
    <w:rsid w:val="000F40BE"/>
    <w:rsid w:val="000F54CC"/>
    <w:rsid w:val="000F58D4"/>
    <w:rsid w:val="00111469"/>
    <w:rsid w:val="00127285"/>
    <w:rsid w:val="00134F7C"/>
    <w:rsid w:val="0013548F"/>
    <w:rsid w:val="0014197D"/>
    <w:rsid w:val="00145494"/>
    <w:rsid w:val="00160D27"/>
    <w:rsid w:val="001727F2"/>
    <w:rsid w:val="00175B61"/>
    <w:rsid w:val="00187214"/>
    <w:rsid w:val="001924CC"/>
    <w:rsid w:val="001B1020"/>
    <w:rsid w:val="001B69F1"/>
    <w:rsid w:val="001B74A6"/>
    <w:rsid w:val="001C3E6D"/>
    <w:rsid w:val="001E41A0"/>
    <w:rsid w:val="00206013"/>
    <w:rsid w:val="00215B36"/>
    <w:rsid w:val="002512EE"/>
    <w:rsid w:val="0028028C"/>
    <w:rsid w:val="002A39A2"/>
    <w:rsid w:val="002A4DFE"/>
    <w:rsid w:val="002A7EAE"/>
    <w:rsid w:val="002B609F"/>
    <w:rsid w:val="002C1175"/>
    <w:rsid w:val="002E0182"/>
    <w:rsid w:val="002F1C13"/>
    <w:rsid w:val="002F21EF"/>
    <w:rsid w:val="002F73C5"/>
    <w:rsid w:val="0031369F"/>
    <w:rsid w:val="003337C9"/>
    <w:rsid w:val="003452C0"/>
    <w:rsid w:val="003621FB"/>
    <w:rsid w:val="00363726"/>
    <w:rsid w:val="00370C13"/>
    <w:rsid w:val="003738A2"/>
    <w:rsid w:val="00381E7A"/>
    <w:rsid w:val="0039389E"/>
    <w:rsid w:val="00397A66"/>
    <w:rsid w:val="003B4728"/>
    <w:rsid w:val="003C1CEA"/>
    <w:rsid w:val="003E00B7"/>
    <w:rsid w:val="00405074"/>
    <w:rsid w:val="004057F4"/>
    <w:rsid w:val="00405B90"/>
    <w:rsid w:val="00407B16"/>
    <w:rsid w:val="00450C1D"/>
    <w:rsid w:val="00460A21"/>
    <w:rsid w:val="004707A2"/>
    <w:rsid w:val="00470F50"/>
    <w:rsid w:val="0047442D"/>
    <w:rsid w:val="00496923"/>
    <w:rsid w:val="004D7A3D"/>
    <w:rsid w:val="00505787"/>
    <w:rsid w:val="0051397E"/>
    <w:rsid w:val="00524045"/>
    <w:rsid w:val="0052568F"/>
    <w:rsid w:val="005379C6"/>
    <w:rsid w:val="00540913"/>
    <w:rsid w:val="00554A15"/>
    <w:rsid w:val="0057038A"/>
    <w:rsid w:val="0058754D"/>
    <w:rsid w:val="00596AC0"/>
    <w:rsid w:val="005B1ED4"/>
    <w:rsid w:val="005B2D12"/>
    <w:rsid w:val="005B74A3"/>
    <w:rsid w:val="005D1C10"/>
    <w:rsid w:val="005D67CC"/>
    <w:rsid w:val="005E646F"/>
    <w:rsid w:val="006045FE"/>
    <w:rsid w:val="00612485"/>
    <w:rsid w:val="00623A30"/>
    <w:rsid w:val="00636AAD"/>
    <w:rsid w:val="006678C9"/>
    <w:rsid w:val="00685B99"/>
    <w:rsid w:val="00687F09"/>
    <w:rsid w:val="00694DB2"/>
    <w:rsid w:val="006B21A2"/>
    <w:rsid w:val="006B666C"/>
    <w:rsid w:val="006E678E"/>
    <w:rsid w:val="006F1C15"/>
    <w:rsid w:val="007054C2"/>
    <w:rsid w:val="0071213B"/>
    <w:rsid w:val="00713175"/>
    <w:rsid w:val="0071475E"/>
    <w:rsid w:val="00743367"/>
    <w:rsid w:val="00754C86"/>
    <w:rsid w:val="0076324F"/>
    <w:rsid w:val="0078154E"/>
    <w:rsid w:val="007A7133"/>
    <w:rsid w:val="007C1ABD"/>
    <w:rsid w:val="007C3011"/>
    <w:rsid w:val="007D329B"/>
    <w:rsid w:val="007F6031"/>
    <w:rsid w:val="008009DE"/>
    <w:rsid w:val="008364DC"/>
    <w:rsid w:val="008540F9"/>
    <w:rsid w:val="008570DB"/>
    <w:rsid w:val="00885877"/>
    <w:rsid w:val="00892227"/>
    <w:rsid w:val="008B3AF4"/>
    <w:rsid w:val="008D07A8"/>
    <w:rsid w:val="008D433C"/>
    <w:rsid w:val="008E3F2A"/>
    <w:rsid w:val="008F5584"/>
    <w:rsid w:val="00924D0B"/>
    <w:rsid w:val="00933EBF"/>
    <w:rsid w:val="009434C1"/>
    <w:rsid w:val="00944E8F"/>
    <w:rsid w:val="00962F9B"/>
    <w:rsid w:val="00970083"/>
    <w:rsid w:val="0097065A"/>
    <w:rsid w:val="00995B7E"/>
    <w:rsid w:val="009C12AB"/>
    <w:rsid w:val="009D0785"/>
    <w:rsid w:val="009D27F1"/>
    <w:rsid w:val="009E21A9"/>
    <w:rsid w:val="00A1058E"/>
    <w:rsid w:val="00A12702"/>
    <w:rsid w:val="00A13BB5"/>
    <w:rsid w:val="00A1672D"/>
    <w:rsid w:val="00A3046B"/>
    <w:rsid w:val="00A33B37"/>
    <w:rsid w:val="00A3752F"/>
    <w:rsid w:val="00A4670A"/>
    <w:rsid w:val="00A57254"/>
    <w:rsid w:val="00A700D5"/>
    <w:rsid w:val="00AA08F1"/>
    <w:rsid w:val="00AA7B7B"/>
    <w:rsid w:val="00AD45D1"/>
    <w:rsid w:val="00AD60E2"/>
    <w:rsid w:val="00AD70B4"/>
    <w:rsid w:val="00AE3952"/>
    <w:rsid w:val="00AF2871"/>
    <w:rsid w:val="00B02692"/>
    <w:rsid w:val="00B027E7"/>
    <w:rsid w:val="00B0554A"/>
    <w:rsid w:val="00B07A0D"/>
    <w:rsid w:val="00B3409A"/>
    <w:rsid w:val="00B5501C"/>
    <w:rsid w:val="00B560C9"/>
    <w:rsid w:val="00BA016F"/>
    <w:rsid w:val="00BB16B9"/>
    <w:rsid w:val="00BE2E79"/>
    <w:rsid w:val="00BF7BB6"/>
    <w:rsid w:val="00C118B0"/>
    <w:rsid w:val="00C20F00"/>
    <w:rsid w:val="00C227C2"/>
    <w:rsid w:val="00C97A01"/>
    <w:rsid w:val="00CC29D4"/>
    <w:rsid w:val="00CC425F"/>
    <w:rsid w:val="00CD1643"/>
    <w:rsid w:val="00CD277F"/>
    <w:rsid w:val="00CD3054"/>
    <w:rsid w:val="00CD47B7"/>
    <w:rsid w:val="00CE38EA"/>
    <w:rsid w:val="00D50484"/>
    <w:rsid w:val="00D53665"/>
    <w:rsid w:val="00D62D7E"/>
    <w:rsid w:val="00D71B7B"/>
    <w:rsid w:val="00D81A59"/>
    <w:rsid w:val="00D84B9E"/>
    <w:rsid w:val="00D863AD"/>
    <w:rsid w:val="00D86948"/>
    <w:rsid w:val="00DE647B"/>
    <w:rsid w:val="00DF19C5"/>
    <w:rsid w:val="00E31BA0"/>
    <w:rsid w:val="00E57F8B"/>
    <w:rsid w:val="00E84EA0"/>
    <w:rsid w:val="00E957C7"/>
    <w:rsid w:val="00EA2836"/>
    <w:rsid w:val="00EC63C3"/>
    <w:rsid w:val="00ED05AA"/>
    <w:rsid w:val="00ED546F"/>
    <w:rsid w:val="00EF181B"/>
    <w:rsid w:val="00F306B0"/>
    <w:rsid w:val="00F32163"/>
    <w:rsid w:val="00F36547"/>
    <w:rsid w:val="00F71CA7"/>
    <w:rsid w:val="00F81ADA"/>
    <w:rsid w:val="00FA7D95"/>
    <w:rsid w:val="00FC40F1"/>
    <w:rsid w:val="01392F69"/>
    <w:rsid w:val="016D1552"/>
    <w:rsid w:val="01A83A9C"/>
    <w:rsid w:val="055532AD"/>
    <w:rsid w:val="057B4035"/>
    <w:rsid w:val="05AE2502"/>
    <w:rsid w:val="068D06E4"/>
    <w:rsid w:val="07E91846"/>
    <w:rsid w:val="0C997530"/>
    <w:rsid w:val="0CBF7A63"/>
    <w:rsid w:val="10763E9B"/>
    <w:rsid w:val="121543F0"/>
    <w:rsid w:val="14DA4A7D"/>
    <w:rsid w:val="172D1EAF"/>
    <w:rsid w:val="18175A3A"/>
    <w:rsid w:val="1923419C"/>
    <w:rsid w:val="1A8F6DB5"/>
    <w:rsid w:val="1AB55F89"/>
    <w:rsid w:val="1B0E5593"/>
    <w:rsid w:val="1C67689D"/>
    <w:rsid w:val="1CC73663"/>
    <w:rsid w:val="1DF81DF2"/>
    <w:rsid w:val="2069343C"/>
    <w:rsid w:val="2237674F"/>
    <w:rsid w:val="23352E19"/>
    <w:rsid w:val="236E1275"/>
    <w:rsid w:val="290F43CC"/>
    <w:rsid w:val="29760B17"/>
    <w:rsid w:val="2AC20B63"/>
    <w:rsid w:val="2AE827FA"/>
    <w:rsid w:val="2DC274BC"/>
    <w:rsid w:val="2E245EDE"/>
    <w:rsid w:val="2ECE42C1"/>
    <w:rsid w:val="2F2F45A9"/>
    <w:rsid w:val="2F3C0ED0"/>
    <w:rsid w:val="2FD220F5"/>
    <w:rsid w:val="33884386"/>
    <w:rsid w:val="33FC2073"/>
    <w:rsid w:val="35451E5E"/>
    <w:rsid w:val="35D6360F"/>
    <w:rsid w:val="37F108AB"/>
    <w:rsid w:val="3A876708"/>
    <w:rsid w:val="3B893F47"/>
    <w:rsid w:val="3BEA0923"/>
    <w:rsid w:val="3CE34CFB"/>
    <w:rsid w:val="44813CAF"/>
    <w:rsid w:val="47385F96"/>
    <w:rsid w:val="479F493E"/>
    <w:rsid w:val="48D60749"/>
    <w:rsid w:val="4C5B183F"/>
    <w:rsid w:val="4DD66FAF"/>
    <w:rsid w:val="4F016809"/>
    <w:rsid w:val="4FDD62D6"/>
    <w:rsid w:val="50502604"/>
    <w:rsid w:val="528B1967"/>
    <w:rsid w:val="53BB78C4"/>
    <w:rsid w:val="57D71414"/>
    <w:rsid w:val="57DE1812"/>
    <w:rsid w:val="5AED159E"/>
    <w:rsid w:val="5BAD7659"/>
    <w:rsid w:val="633E58E6"/>
    <w:rsid w:val="656658F4"/>
    <w:rsid w:val="660C6F4D"/>
    <w:rsid w:val="66772B30"/>
    <w:rsid w:val="66EA5A3C"/>
    <w:rsid w:val="69A3533E"/>
    <w:rsid w:val="69EA41FA"/>
    <w:rsid w:val="6D5126A9"/>
    <w:rsid w:val="6D867776"/>
    <w:rsid w:val="6D9D14D9"/>
    <w:rsid w:val="6E875EA8"/>
    <w:rsid w:val="7061191F"/>
    <w:rsid w:val="71405FB7"/>
    <w:rsid w:val="74666D0E"/>
    <w:rsid w:val="78C30048"/>
    <w:rsid w:val="7B9A0CC6"/>
    <w:rsid w:val="7DC132DF"/>
    <w:rsid w:val="7DD171A5"/>
    <w:rsid w:val="7E757AE0"/>
    <w:rsid w:val="7F5A2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5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3"/>
    <w:qFormat/>
    <w:uiPriority w:val="0"/>
    <w:rPr>
      <w:rFonts w:eastAsia="宋体"/>
      <w:sz w:val="24"/>
    </w:rPr>
  </w:style>
  <w:style w:type="paragraph" w:styleId="14">
    <w:name w:val="Date"/>
    <w:basedOn w:val="1"/>
    <w:next w:val="1"/>
    <w:link w:val="34"/>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Balloon Text"/>
    <w:basedOn w:val="1"/>
    <w:link w:val="65"/>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rPr>
  </w:style>
  <w:style w:type="character" w:styleId="26">
    <w:name w:val="Emphasis"/>
    <w:basedOn w:val="22"/>
    <w:qFormat/>
    <w:uiPriority w:val="20"/>
  </w:style>
  <w:style w:type="character" w:styleId="27">
    <w:name w:val="Hyperlink"/>
    <w:basedOn w:val="22"/>
    <w:unhideWhenUsed/>
    <w:qFormat/>
    <w:uiPriority w:val="99"/>
    <w:rPr>
      <w:color w:val="000000"/>
      <w:u w:val="none"/>
    </w:rPr>
  </w:style>
  <w:style w:type="character" w:customStyle="1" w:styleId="29">
    <w:name w:val="标题 1 Char"/>
    <w:basedOn w:val="22"/>
    <w:link w:val="4"/>
    <w:qFormat/>
    <w:uiPriority w:val="0"/>
    <w:rPr>
      <w:rFonts w:ascii="Calibri" w:hAnsi="Calibri" w:eastAsia="宋体" w:cs="Times New Roman"/>
      <w:b/>
      <w:bCs/>
      <w:kern w:val="44"/>
      <w:sz w:val="44"/>
      <w:szCs w:val="44"/>
    </w:rPr>
  </w:style>
  <w:style w:type="character" w:customStyle="1" w:styleId="30">
    <w:name w:val="标题 2 Char"/>
    <w:basedOn w:val="22"/>
    <w:qFormat/>
    <w:uiPriority w:val="0"/>
    <w:rPr>
      <w:rFonts w:ascii="Arial" w:hAnsi="Arial" w:eastAsia="黑体" w:cs="Times New Roman"/>
      <w:b/>
      <w:bCs/>
      <w:kern w:val="0"/>
      <w:sz w:val="32"/>
      <w:szCs w:val="32"/>
    </w:rPr>
  </w:style>
  <w:style w:type="character" w:customStyle="1" w:styleId="31">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2"/>
    <w:link w:val="7"/>
    <w:qFormat/>
    <w:uiPriority w:val="0"/>
    <w:rPr>
      <w:rFonts w:ascii="Arial" w:hAnsi="Arial" w:eastAsia="黑体" w:cs="Times New Roman"/>
      <w:b/>
      <w:bCs/>
      <w:kern w:val="0"/>
      <w:sz w:val="28"/>
      <w:szCs w:val="28"/>
    </w:rPr>
  </w:style>
  <w:style w:type="character" w:customStyle="1" w:styleId="33">
    <w:name w:val="纯文本 Char"/>
    <w:basedOn w:val="22"/>
    <w:link w:val="13"/>
    <w:qFormat/>
    <w:uiPriority w:val="0"/>
    <w:rPr>
      <w:rFonts w:eastAsia="宋体"/>
      <w:sz w:val="24"/>
    </w:rPr>
  </w:style>
  <w:style w:type="character" w:customStyle="1" w:styleId="34">
    <w:name w:val="日期 Char"/>
    <w:basedOn w:val="22"/>
    <w:link w:val="14"/>
    <w:qFormat/>
    <w:uiPriority w:val="99"/>
  </w:style>
  <w:style w:type="character" w:customStyle="1" w:styleId="35">
    <w:name w:val="页脚 Char"/>
    <w:basedOn w:val="22"/>
    <w:link w:val="17"/>
    <w:qFormat/>
    <w:uiPriority w:val="99"/>
    <w:rPr>
      <w:sz w:val="18"/>
      <w:szCs w:val="18"/>
    </w:rPr>
  </w:style>
  <w:style w:type="character" w:customStyle="1" w:styleId="36">
    <w:name w:val="页眉 Char"/>
    <w:basedOn w:val="22"/>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2"/>
    <w:link w:val="10"/>
    <w:qFormat/>
    <w:uiPriority w:val="0"/>
    <w:rPr>
      <w:rFonts w:ascii="Times New Roman" w:hAnsi="Times New Roman" w:eastAsia="宋体" w:cs="Times New Roman"/>
      <w:color w:val="FF0000"/>
      <w:sz w:val="24"/>
      <w:szCs w:val="24"/>
    </w:rPr>
  </w:style>
  <w:style w:type="character" w:customStyle="1" w:styleId="49">
    <w:name w:val="edittexttarea"/>
    <w:basedOn w:val="22"/>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2"/>
    <w:link w:val="3"/>
    <w:semiHidden/>
    <w:qFormat/>
    <w:uiPriority w:val="99"/>
  </w:style>
  <w:style w:type="character" w:customStyle="1" w:styleId="53">
    <w:name w:val="正文首行缩进 Char"/>
    <w:basedOn w:val="52"/>
    <w:link w:val="2"/>
    <w:qFormat/>
    <w:uiPriority w:val="0"/>
    <w:rPr>
      <w:rFonts w:ascii="宋体" w:hAnsi="Times New Roman" w:eastAsia="宋体" w:cs="Times New Roman"/>
      <w:kern w:val="0"/>
      <w:sz w:val="34"/>
      <w:szCs w:val="20"/>
    </w:rPr>
  </w:style>
  <w:style w:type="character" w:customStyle="1" w:styleId="54">
    <w:name w:val="HTML 预设格式 Char"/>
    <w:basedOn w:val="22"/>
    <w:link w:val="20"/>
    <w:semiHidden/>
    <w:qFormat/>
    <w:uiPriority w:val="99"/>
    <w:rPr>
      <w:rFonts w:ascii="宋体" w:hAnsi="宋体" w:eastAsia="宋体" w:cs="宋体"/>
      <w:kern w:val="0"/>
      <w:sz w:val="24"/>
      <w:szCs w:val="24"/>
    </w:rPr>
  </w:style>
  <w:style w:type="character" w:customStyle="1" w:styleId="55">
    <w:name w:val="标题 2 Char1"/>
    <w:basedOn w:val="22"/>
    <w:link w:val="5"/>
    <w:qFormat/>
    <w:uiPriority w:val="0"/>
    <w:rPr>
      <w:rFonts w:ascii="Arial" w:hAnsi="Arial" w:eastAsia="黑体" w:cs="Times New Roman"/>
      <w:b/>
      <w:bCs/>
      <w:kern w:val="0"/>
      <w:sz w:val="32"/>
      <w:szCs w:val="32"/>
    </w:rPr>
  </w:style>
  <w:style w:type="character" w:customStyle="1" w:styleId="56">
    <w:name w:val="hover25"/>
    <w:basedOn w:val="22"/>
    <w:qFormat/>
    <w:uiPriority w:val="0"/>
  </w:style>
  <w:style w:type="character" w:customStyle="1" w:styleId="57">
    <w:name w:val="green"/>
    <w:basedOn w:val="22"/>
    <w:qFormat/>
    <w:uiPriority w:val="0"/>
    <w:rPr>
      <w:color w:val="66AE00"/>
      <w:sz w:val="18"/>
      <w:szCs w:val="18"/>
    </w:rPr>
  </w:style>
  <w:style w:type="character" w:customStyle="1" w:styleId="58">
    <w:name w:val="green1"/>
    <w:basedOn w:val="22"/>
    <w:qFormat/>
    <w:uiPriority w:val="0"/>
    <w:rPr>
      <w:color w:val="66AE00"/>
      <w:sz w:val="18"/>
      <w:szCs w:val="18"/>
    </w:rPr>
  </w:style>
  <w:style w:type="character" w:customStyle="1" w:styleId="59">
    <w:name w:val="red"/>
    <w:basedOn w:val="22"/>
    <w:qFormat/>
    <w:uiPriority w:val="0"/>
    <w:rPr>
      <w:color w:val="FF0000"/>
      <w:sz w:val="18"/>
      <w:szCs w:val="18"/>
    </w:rPr>
  </w:style>
  <w:style w:type="character" w:customStyle="1" w:styleId="60">
    <w:name w:val="red1"/>
    <w:basedOn w:val="22"/>
    <w:qFormat/>
    <w:uiPriority w:val="0"/>
    <w:rPr>
      <w:color w:val="FF0000"/>
      <w:sz w:val="18"/>
      <w:szCs w:val="18"/>
    </w:rPr>
  </w:style>
  <w:style w:type="character" w:customStyle="1" w:styleId="61">
    <w:name w:val="red2"/>
    <w:basedOn w:val="22"/>
    <w:qFormat/>
    <w:uiPriority w:val="0"/>
    <w:rPr>
      <w:color w:val="FF0000"/>
    </w:rPr>
  </w:style>
  <w:style w:type="character" w:customStyle="1" w:styleId="62">
    <w:name w:val="blue"/>
    <w:basedOn w:val="22"/>
    <w:qFormat/>
    <w:uiPriority w:val="0"/>
    <w:rPr>
      <w:color w:val="0371C6"/>
      <w:sz w:val="21"/>
      <w:szCs w:val="21"/>
    </w:rPr>
  </w:style>
  <w:style w:type="character" w:customStyle="1" w:styleId="63">
    <w:name w:val="right"/>
    <w:basedOn w:val="22"/>
    <w:qFormat/>
    <w:uiPriority w:val="0"/>
    <w:rPr>
      <w:color w:val="999999"/>
      <w:sz w:val="18"/>
      <w:szCs w:val="18"/>
    </w:rPr>
  </w:style>
  <w:style w:type="character" w:customStyle="1" w:styleId="64">
    <w:name w:val="gb-jt"/>
    <w:basedOn w:val="22"/>
    <w:qFormat/>
    <w:uiPriority w:val="0"/>
  </w:style>
  <w:style w:type="character" w:customStyle="1" w:styleId="65">
    <w:name w:val="批注框文本 Char"/>
    <w:basedOn w:val="22"/>
    <w:link w:val="16"/>
    <w:semiHidden/>
    <w:uiPriority w:val="99"/>
    <w:rPr>
      <w:rFonts w:asciiTheme="minorHAnsi" w:hAnsiTheme="minorHAnsi" w:eastAsiaTheme="minorEastAsia" w:cstheme="minorBidi"/>
      <w:kern w:val="2"/>
      <w:sz w:val="18"/>
      <w:szCs w:val="18"/>
    </w:rPr>
  </w:style>
  <w:style w:type="paragraph" w:customStyle="1" w:styleId="66">
    <w:name w:val="List Paragraph1"/>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73</Pages>
  <Words>6983</Words>
  <Characters>39809</Characters>
  <Lines>331</Lines>
  <Paragraphs>93</Paragraphs>
  <TotalTime>7</TotalTime>
  <ScaleCrop>false</ScaleCrop>
  <LinksUpToDate>false</LinksUpToDate>
  <CharactersWithSpaces>46699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2018-07-23T02:23:00Z</dcterms:created>
  <dc:creator>许昌市公共资源交易中心:孟莉</dc:creator>
  <cp:lastModifiedBy>Administrator</cp:lastModifiedBy>
  <cp:lastPrinted>2018-07-23T02:22:00Z</cp:lastPrinted>
  <dcterms:modified xsi:type="dcterms:W3CDTF">2018-07-24T01:54:44Z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