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heme="majorEastAsia" w:hAnsiTheme="majorEastAsia" w:eastAsiaTheme="majorEastAsia" w:cstheme="majorEastAsia"/>
          <w:b/>
          <w:bCs/>
          <w:color w:val="000000"/>
          <w:sz w:val="44"/>
          <w:szCs w:val="44"/>
        </w:rPr>
      </w:pPr>
    </w:p>
    <w:p>
      <w:pPr>
        <w:jc w:val="center"/>
        <w:rPr>
          <w:rFonts w:asciiTheme="majorEastAsia" w:hAnsiTheme="majorEastAsia" w:eastAsiaTheme="majorEastAsia" w:cstheme="majorEastAsia"/>
          <w:b/>
          <w:bCs/>
          <w:color w:val="000000"/>
          <w:sz w:val="44"/>
          <w:szCs w:val="44"/>
        </w:rPr>
      </w:pPr>
      <w:r>
        <w:rPr>
          <w:rFonts w:hint="eastAsia" w:asciiTheme="majorEastAsia" w:hAnsiTheme="majorEastAsia" w:eastAsiaTheme="majorEastAsia" w:cstheme="majorEastAsia"/>
          <w:b/>
          <w:bCs/>
          <w:color w:val="000000"/>
          <w:sz w:val="44"/>
          <w:szCs w:val="44"/>
        </w:rPr>
        <w:t>许昌市东城区经济发展服务局“跨境电商产业园桌椅及窗帘等采购项目”</w:t>
      </w:r>
    </w:p>
    <w:p>
      <w:pPr>
        <w:rPr>
          <w:rFonts w:ascii="微软简隶书" w:eastAsia="微软简隶书"/>
          <w:color w:val="000000"/>
          <w:u w:val="single"/>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jc w:val="center"/>
        <w:rPr>
          <w:rFonts w:asciiTheme="majorEastAsia" w:hAnsiTheme="majorEastAsia" w:eastAsiaTheme="majorEastAsia" w:cstheme="majorEastAsia"/>
          <w:bCs/>
          <w:color w:val="000000"/>
          <w:w w:val="90"/>
          <w:sz w:val="120"/>
          <w:szCs w:val="120"/>
        </w:rPr>
      </w:pPr>
      <w:r>
        <w:rPr>
          <w:rFonts w:hint="eastAsia" w:asciiTheme="majorEastAsia" w:hAnsiTheme="majorEastAsia" w:eastAsiaTheme="majorEastAsia" w:cstheme="majorEastAsia"/>
          <w:bCs/>
          <w:color w:val="000000"/>
          <w:w w:val="90"/>
          <w:sz w:val="120"/>
          <w:szCs w:val="120"/>
        </w:rPr>
        <w:t>招　标　文　件</w:t>
      </w: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 xml:space="preserve">   项目编号：JZFCG-G201</w:t>
      </w:r>
      <w:r>
        <w:rPr>
          <w:rFonts w:hint="eastAsia" w:asciiTheme="majorEastAsia" w:hAnsiTheme="majorEastAsia" w:eastAsiaTheme="majorEastAsia" w:cstheme="majorEastAsia"/>
          <w:b/>
          <w:bCs/>
          <w:color w:val="000000"/>
          <w:sz w:val="36"/>
          <w:szCs w:val="36"/>
          <w:lang w:val="en-US" w:eastAsia="zh-CN"/>
        </w:rPr>
        <w:t>8</w:t>
      </w:r>
      <w:bookmarkStart w:id="9" w:name="_GoBack"/>
      <w:bookmarkEnd w:id="9"/>
      <w:r>
        <w:rPr>
          <w:rFonts w:hint="eastAsia" w:asciiTheme="majorEastAsia" w:hAnsiTheme="majorEastAsia" w:eastAsiaTheme="majorEastAsia" w:cstheme="majorEastAsia"/>
          <w:b/>
          <w:bCs/>
          <w:color w:val="000000"/>
          <w:sz w:val="36"/>
          <w:szCs w:val="36"/>
        </w:rPr>
        <w:t>038号</w:t>
      </w:r>
    </w:p>
    <w:p>
      <w:pPr>
        <w:ind w:firstLine="1084" w:firstLineChars="300"/>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采购单位：许昌市东城区经济发展服务局</w:t>
      </w:r>
    </w:p>
    <w:p>
      <w:pPr>
        <w:ind w:firstLine="1084" w:firstLineChars="300"/>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代理机构：中益工程管理有限公司</w:t>
      </w:r>
    </w:p>
    <w:p>
      <w:pPr>
        <w:rPr>
          <w:rFonts w:asciiTheme="majorEastAsia" w:hAnsiTheme="majorEastAsia" w:eastAsiaTheme="majorEastAsia" w:cstheme="majorEastAsia"/>
          <w:b/>
          <w:bCs/>
          <w:color w:val="000000"/>
          <w:sz w:val="36"/>
          <w:szCs w:val="36"/>
        </w:rPr>
      </w:pPr>
    </w:p>
    <w:p>
      <w:pPr>
        <w:jc w:val="center"/>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二〇一八年六月七日</w:t>
      </w:r>
    </w:p>
    <w:p>
      <w:pPr>
        <w:rPr>
          <w:rFonts w:asciiTheme="majorEastAsia" w:hAnsiTheme="majorEastAsia" w:eastAsiaTheme="majorEastAsia" w:cstheme="majorEastAsia"/>
          <w:b/>
          <w:bCs/>
          <w:color w:val="000000"/>
          <w:sz w:val="36"/>
          <w:szCs w:val="36"/>
        </w:rPr>
      </w:pPr>
    </w:p>
    <w:p>
      <w:pPr>
        <w:rPr>
          <w:rFonts w:asciiTheme="majorEastAsia" w:hAnsiTheme="majorEastAsia" w:eastAsiaTheme="majorEastAsia" w:cstheme="majorEastAsia"/>
          <w:b/>
          <w:bCs/>
          <w:color w:val="000000"/>
          <w:sz w:val="36"/>
          <w:szCs w:val="36"/>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招标文件目录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投标邀请</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项目需求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投标人须知前附表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投标人须知</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二、招标文件说明</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三、投标文件的编制</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五、开标和评标</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sz w:val="32"/>
          <w:szCs w:val="32"/>
          <w:lang w:val="zh-CN"/>
        </w:rPr>
        <w:t>六、定标和授予合同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资格审查与评标</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2"/>
          <w:szCs w:val="32"/>
        </w:rPr>
        <w:t>合同条款及格式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投标文件有关格式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p>
    <w:p>
      <w:pPr>
        <w:autoSpaceDE w:val="0"/>
        <w:autoSpaceDN w:val="0"/>
        <w:adjustRightInd w:val="0"/>
        <w:spacing w:line="700" w:lineRule="exact"/>
        <w:ind w:firstLine="551"/>
        <w:rPr>
          <w:rFonts w:cs="宋体" w:asciiTheme="majorEastAsia" w:hAnsiTheme="majorEastAsia" w:eastAsiaTheme="majorEastAsia"/>
          <w:b/>
          <w:kern w:val="0"/>
          <w:sz w:val="36"/>
          <w:szCs w:val="36"/>
        </w:rPr>
      </w:pPr>
    </w:p>
    <w:p>
      <w:pPr>
        <w:pStyle w:val="19"/>
        <w:widowControl/>
        <w:shd w:val="clear" w:color="auto" w:fill="FFFFFF"/>
        <w:spacing w:line="315" w:lineRule="atLeast"/>
        <w:jc w:val="center"/>
        <w:rPr>
          <w:rFonts w:ascii="宋体" w:hAnsi="宋体" w:cs="宋体"/>
          <w:b/>
          <w:color w:val="000000"/>
          <w:sz w:val="36"/>
          <w:szCs w:val="36"/>
        </w:rPr>
      </w:pPr>
      <w:r>
        <w:rPr>
          <w:rFonts w:hint="eastAsia" w:ascii="宋体" w:hAnsi="宋体" w:cs="宋体"/>
          <w:b/>
          <w:color w:val="000000"/>
          <w:sz w:val="36"/>
          <w:szCs w:val="36"/>
          <w:shd w:val="clear" w:color="auto" w:fill="FFFFFF"/>
        </w:rPr>
        <w:t>第一章 投标邀请</w:t>
      </w:r>
    </w:p>
    <w:p>
      <w:pPr>
        <w:pStyle w:val="19"/>
        <w:widowControl/>
        <w:shd w:val="clear" w:color="auto" w:fill="FFFFFF"/>
        <w:spacing w:line="315" w:lineRule="atLeast"/>
        <w:ind w:firstLine="420"/>
        <w:jc w:val="left"/>
        <w:rPr>
          <w:rFonts w:ascii="仿宋_GB2312" w:hAnsi="仿宋_GB2312" w:eastAsia="仿宋_GB2312" w:cs="仿宋_GB2312"/>
          <w:color w:val="000000"/>
          <w:sz w:val="32"/>
          <w:szCs w:val="32"/>
          <w:shd w:val="clear" w:color="auto" w:fill="FFFFFF"/>
        </w:rPr>
      </w:pPr>
    </w:p>
    <w:p>
      <w:pPr>
        <w:pStyle w:val="19"/>
        <w:widowControl/>
        <w:shd w:val="clear" w:color="auto" w:fill="FFFFFF"/>
        <w:spacing w:line="360" w:lineRule="auto"/>
        <w:contextualSpacing/>
        <w:jc w:val="left"/>
        <w:rPr>
          <w:rFonts w:cs="黑体" w:asciiTheme="minorEastAsia" w:hAnsiTheme="minorEastAsia" w:eastAsiaTheme="minorEastAsia"/>
          <w:b/>
          <w:bCs/>
          <w:color w:val="000000"/>
        </w:rPr>
      </w:pPr>
      <w:r>
        <w:rPr>
          <w:rFonts w:hint="eastAsia" w:cs="黑体" w:asciiTheme="minorEastAsia" w:hAnsiTheme="minorEastAsia" w:eastAsiaTheme="minorEastAsia"/>
          <w:b/>
          <w:bCs/>
          <w:color w:val="000000"/>
          <w:shd w:val="clear" w:color="auto" w:fill="FFFFFF"/>
        </w:rPr>
        <w:t>一、项目基本情况</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（一）项目名称：许昌市东城区跨境电商产业园桌椅及窗帘等采购项目</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（二）项目编号：JZ</w:t>
      </w:r>
      <w:r>
        <w:rPr>
          <w:rFonts w:hint="eastAsia" w:cs="仿宋_GB2312" w:asciiTheme="minorEastAsia" w:hAnsiTheme="minorEastAsia" w:eastAsiaTheme="minorEastAsia"/>
          <w:color w:val="0000FF"/>
          <w:shd w:val="clear" w:color="auto" w:fill="FFFFFF"/>
        </w:rPr>
        <w:t xml:space="preserve">FCG-G2018038号    </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 xml:space="preserve">（三）采购方式：公开招标                                                                                                                          </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（四）项目主要内容、数量及要求：单人位电脑桌（含独立抽屉柜）35套、单人椅413把等。</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（五）预算金额：</w:t>
      </w:r>
      <w:r>
        <w:rPr>
          <w:rFonts w:hint="eastAsia" w:cs="仿宋_GB2312" w:asciiTheme="minorEastAsia" w:hAnsiTheme="minorEastAsia" w:eastAsiaTheme="minorEastAsia"/>
          <w:color w:val="000000"/>
          <w:u w:val="single"/>
          <w:shd w:val="clear" w:color="auto" w:fill="FFFFFF"/>
        </w:rPr>
        <w:t xml:space="preserve">423298 </w:t>
      </w:r>
      <w:r>
        <w:rPr>
          <w:rFonts w:hint="eastAsia" w:cs="仿宋_GB2312" w:asciiTheme="minorEastAsia" w:hAnsiTheme="minorEastAsia" w:eastAsiaTheme="minorEastAsia"/>
          <w:color w:val="000000"/>
          <w:shd w:val="clear" w:color="auto" w:fill="FFFFFF"/>
        </w:rPr>
        <w:t>元。最高限价：</w:t>
      </w:r>
      <w:r>
        <w:rPr>
          <w:rFonts w:hint="eastAsia" w:cs="仿宋_GB2312" w:asciiTheme="minorEastAsia" w:hAnsiTheme="minorEastAsia" w:eastAsiaTheme="minorEastAsia"/>
          <w:color w:val="000000"/>
          <w:u w:val="single"/>
          <w:shd w:val="clear" w:color="auto" w:fill="FFFFFF"/>
        </w:rPr>
        <w:t xml:space="preserve"> 423298 </w:t>
      </w:r>
      <w:r>
        <w:rPr>
          <w:rFonts w:hint="eastAsia" w:cs="仿宋_GB2312" w:asciiTheme="minorEastAsia" w:hAnsiTheme="minorEastAsia" w:eastAsiaTheme="minorEastAsia"/>
          <w:color w:val="000000"/>
          <w:shd w:val="clear" w:color="auto" w:fill="FFFFFF"/>
        </w:rPr>
        <w:t>元。</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（六）交付（服务、完工）时间 ：合同签订后30日历天内交货</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（七）交付（服务、完工）地点：许昌市东城区跨境电商产业园</w:t>
      </w:r>
    </w:p>
    <w:p>
      <w:pPr>
        <w:pStyle w:val="19"/>
        <w:widowControl/>
        <w:shd w:val="clear" w:color="auto" w:fill="FFFFFF"/>
        <w:spacing w:line="360" w:lineRule="auto"/>
        <w:ind w:firstLine="420"/>
        <w:contextualSpacing/>
        <w:jc w:val="left"/>
        <w:rPr>
          <w:rFonts w:cs="黑体" w:asciiTheme="minorEastAsia" w:hAnsiTheme="minorEastAsia" w:eastAsiaTheme="minorEastAsia"/>
          <w:b/>
          <w:bCs/>
          <w:color w:val="000000"/>
          <w:shd w:val="clear" w:color="auto" w:fill="FFFFFF"/>
        </w:rPr>
      </w:pPr>
      <w:r>
        <w:rPr>
          <w:rFonts w:hint="eastAsia" w:cs="黑体" w:asciiTheme="minorEastAsia" w:hAnsiTheme="minorEastAsia" w:eastAsiaTheme="minorEastAsia"/>
          <w:b/>
          <w:bCs/>
          <w:color w:val="000000"/>
          <w:shd w:val="clear" w:color="auto" w:fill="FFFFFF"/>
        </w:rPr>
        <w:t>二、需要落实的政府采购政策</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本项目落实</w:t>
      </w:r>
      <w:r>
        <w:rPr>
          <w:rFonts w:hint="eastAsia" w:cs="仿宋_GB2312" w:asciiTheme="minorEastAsia" w:hAnsiTheme="minorEastAsia" w:eastAsiaTheme="minorEastAsia"/>
          <w:color w:val="000000"/>
          <w:u w:val="single"/>
          <w:shd w:val="clear" w:color="auto" w:fill="FFFFFF"/>
        </w:rPr>
        <w:t>节能环保</w:t>
      </w:r>
      <w:r>
        <w:rPr>
          <w:rFonts w:hint="eastAsia" w:cs="仿宋_GB2312" w:asciiTheme="minorEastAsia" w:hAnsiTheme="minorEastAsia" w:eastAsiaTheme="minorEastAsia"/>
          <w:color w:val="000000"/>
          <w:shd w:val="clear" w:color="auto" w:fill="FFFFFF"/>
        </w:rPr>
        <w:t>、</w:t>
      </w:r>
      <w:r>
        <w:rPr>
          <w:rFonts w:hint="eastAsia" w:cs="仿宋_GB2312" w:asciiTheme="minorEastAsia" w:hAnsiTheme="minorEastAsia" w:eastAsiaTheme="minorEastAsia"/>
          <w:color w:val="000000"/>
          <w:u w:val="single"/>
          <w:shd w:val="clear" w:color="auto" w:fill="FFFFFF"/>
        </w:rPr>
        <w:t>中小微型企业</w:t>
      </w:r>
      <w:r>
        <w:rPr>
          <w:rFonts w:hint="eastAsia" w:cs="仿宋_GB2312" w:asciiTheme="minorEastAsia" w:hAnsiTheme="minorEastAsia" w:eastAsiaTheme="minorEastAsia"/>
          <w:color w:val="000000"/>
          <w:shd w:val="clear" w:color="auto" w:fill="FFFFFF"/>
        </w:rPr>
        <w:t>、</w:t>
      </w:r>
      <w:r>
        <w:rPr>
          <w:rFonts w:hint="eastAsia" w:cs="仿宋_GB2312" w:asciiTheme="minorEastAsia" w:hAnsiTheme="minorEastAsia" w:eastAsiaTheme="minorEastAsia"/>
          <w:color w:val="000000"/>
          <w:u w:val="single"/>
          <w:shd w:val="clear" w:color="auto" w:fill="FFFFFF"/>
        </w:rPr>
        <w:t>监狱企业</w:t>
      </w:r>
      <w:r>
        <w:rPr>
          <w:rFonts w:hint="eastAsia" w:cs="仿宋_GB2312" w:asciiTheme="minorEastAsia" w:hAnsiTheme="minorEastAsia" w:eastAsiaTheme="minorEastAsia"/>
          <w:color w:val="000000"/>
          <w:shd w:val="clear" w:color="auto" w:fill="FFFFFF"/>
        </w:rPr>
        <w:t>、</w:t>
      </w:r>
      <w:r>
        <w:rPr>
          <w:rFonts w:hint="eastAsia" w:cs="仿宋_GB2312" w:asciiTheme="minorEastAsia" w:hAnsiTheme="minorEastAsia" w:eastAsiaTheme="minorEastAsia"/>
          <w:color w:val="000000"/>
          <w:u w:val="single"/>
          <w:shd w:val="clear" w:color="auto" w:fill="FFFFFF"/>
        </w:rPr>
        <w:t>残疾人福利性单位</w:t>
      </w:r>
      <w:r>
        <w:rPr>
          <w:rFonts w:hint="eastAsia" w:cs="仿宋_GB2312" w:asciiTheme="minorEastAsia" w:hAnsiTheme="minorEastAsia" w:eastAsiaTheme="minorEastAsia"/>
          <w:color w:val="000000"/>
          <w:shd w:val="clear" w:color="auto" w:fill="FFFFFF"/>
        </w:rPr>
        <w:t>扶持等相关政府采购政策。</w:t>
      </w:r>
    </w:p>
    <w:p>
      <w:pPr>
        <w:pStyle w:val="19"/>
        <w:widowControl/>
        <w:shd w:val="clear" w:color="auto" w:fill="FFFFFF"/>
        <w:spacing w:line="360" w:lineRule="auto"/>
        <w:ind w:firstLine="420"/>
        <w:contextualSpacing/>
        <w:jc w:val="left"/>
        <w:rPr>
          <w:rFonts w:cs="黑体" w:asciiTheme="minorEastAsia" w:hAnsiTheme="minorEastAsia" w:eastAsiaTheme="minorEastAsia"/>
          <w:b/>
          <w:bCs/>
          <w:color w:val="000000"/>
          <w:shd w:val="clear" w:color="auto" w:fill="FFFFFF"/>
        </w:rPr>
      </w:pPr>
      <w:r>
        <w:rPr>
          <w:rFonts w:hint="eastAsia" w:cs="黑体" w:asciiTheme="minorEastAsia" w:hAnsiTheme="minorEastAsia" w:eastAsiaTheme="minorEastAsia"/>
          <w:b/>
          <w:bCs/>
          <w:color w:val="000000"/>
          <w:shd w:val="clear" w:color="auto" w:fill="FFFFFF"/>
        </w:rPr>
        <w:t>三、投标人资格要求</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（一）符合《中华人民共和国政府采购法》第二十二条之规定；</w:t>
      </w:r>
    </w:p>
    <w:p>
      <w:pPr>
        <w:pStyle w:val="19"/>
        <w:widowControl/>
        <w:shd w:val="clear" w:color="auto" w:fill="FFFFFF"/>
        <w:spacing w:line="360" w:lineRule="auto"/>
        <w:ind w:firstLine="480" w:firstLineChars="20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(二)</w:t>
      </w:r>
      <w:r>
        <w:rPr>
          <w:rFonts w:cs="仿宋_GB2312" w:asciiTheme="minorEastAsia" w:hAnsiTheme="minorEastAsia" w:eastAsiaTheme="minorEastAsia"/>
          <w:color w:val="000000"/>
          <w:shd w:val="clear" w:color="auto" w:fill="FFFFFF"/>
        </w:rPr>
        <w:t>未被列入“信用中国”网站(www.creditchina.gov.cn)失信被执行人、重大税收违法案件当事人名单、政府采购严重违法失信名单的投标人；</w:t>
      </w:r>
      <w:r>
        <w:rPr>
          <w:rFonts w:hint="eastAsia" w:cs="仿宋_GB2312" w:asciiTheme="minorEastAsia" w:hAnsiTheme="minorEastAsia" w:eastAsiaTheme="minorEastAsia"/>
          <w:color w:val="000000"/>
          <w:shd w:val="clear" w:color="auto" w:fill="FFFFFF"/>
        </w:rPr>
        <w:t>“</w:t>
      </w:r>
      <w:r>
        <w:rPr>
          <w:rFonts w:cs="仿宋_GB2312" w:asciiTheme="minorEastAsia" w:hAnsiTheme="minorEastAsia" w:eastAsiaTheme="minorEastAsia"/>
          <w:color w:val="000000"/>
          <w:shd w:val="clear" w:color="auto" w:fill="FFFFFF"/>
        </w:rPr>
        <w:t>中国政府采购网</w:t>
      </w:r>
      <w:r>
        <w:rPr>
          <w:rFonts w:hint="eastAsia" w:cs="仿宋_GB2312" w:asciiTheme="minorEastAsia" w:hAnsiTheme="minorEastAsia" w:eastAsiaTheme="minorEastAsia"/>
          <w:color w:val="000000"/>
          <w:shd w:val="clear" w:color="auto" w:fill="FFFFFF"/>
        </w:rPr>
        <w:t>”</w:t>
      </w:r>
      <w:r>
        <w:rPr>
          <w:rFonts w:cs="仿宋_GB2312" w:asciiTheme="minorEastAsia" w:hAnsiTheme="minorEastAsia" w:eastAsiaTheme="minorEastAsia"/>
          <w:color w:val="000000"/>
          <w:shd w:val="clear" w:color="auto" w:fill="FFFFFF"/>
        </w:rPr>
        <w:t xml:space="preserve"> (www.ccgp.gov.cn)政府采购严重违法失信行为记录名单的投标人</w:t>
      </w:r>
      <w:r>
        <w:rPr>
          <w:rFonts w:hint="eastAsia" w:cs="仿宋_GB2312" w:asciiTheme="minorEastAsia" w:hAnsiTheme="minorEastAsia" w:eastAsiaTheme="minorEastAsia"/>
          <w:color w:val="000000"/>
          <w:shd w:val="clear" w:color="auto" w:fill="FFFFFF"/>
        </w:rPr>
        <w:t>；</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（三）本次招标不接受联合体投标。</w:t>
      </w:r>
    </w:p>
    <w:p>
      <w:pPr>
        <w:pStyle w:val="19"/>
        <w:widowControl/>
        <w:shd w:val="clear" w:color="auto" w:fill="FFFFFF"/>
        <w:spacing w:line="360" w:lineRule="auto"/>
        <w:ind w:firstLine="420"/>
        <w:contextualSpacing/>
        <w:jc w:val="left"/>
        <w:rPr>
          <w:rFonts w:cs="黑体" w:asciiTheme="minorEastAsia" w:hAnsiTheme="minorEastAsia" w:eastAsiaTheme="minorEastAsia"/>
          <w:b/>
          <w:bCs/>
          <w:color w:val="000000"/>
          <w:shd w:val="clear" w:color="auto" w:fill="FFFFFF"/>
        </w:rPr>
      </w:pPr>
      <w:r>
        <w:rPr>
          <w:rFonts w:hint="eastAsia" w:cs="黑体" w:asciiTheme="minorEastAsia" w:hAnsiTheme="minorEastAsia" w:eastAsiaTheme="minorEastAsia"/>
          <w:b/>
          <w:bCs/>
          <w:color w:val="000000"/>
          <w:shd w:val="clear" w:color="auto" w:fill="FFFFFF"/>
        </w:rPr>
        <w:t>四、招标文件的获取</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（一）网上下载招标文件</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1、持CA数字认证证书，登录《全国公共资源交易平台（河南省·许昌市）》“系统用户注册”入口http://221.14.6.70:8088/ggzy/eps/public/RegistAllJcxx.html）进行免费注册登记（详见“常见问题解答-诚信库网上注册相关资料下载”）；</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2、在投标截止时间前均可登录【全国公共资源交易平台（河南省·许昌市）】“投标人/供应商登录”入口（http://221.14.6.70:8088/ggzy/）自行下载招标文件（详见“常见问题解答-交易系统操作手册”）。</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（二）招标文件售价</w:t>
      </w:r>
      <w:r>
        <w:rPr>
          <w:rFonts w:hint="eastAsia" w:cs="仿宋_GB2312" w:asciiTheme="minorEastAsia" w:hAnsiTheme="minorEastAsia" w:eastAsiaTheme="minorEastAsia"/>
          <w:color w:val="000000"/>
          <w:u w:val="single"/>
          <w:shd w:val="clear" w:color="auto" w:fill="FFFFFF"/>
        </w:rPr>
        <w:t xml:space="preserve">  300   </w:t>
      </w:r>
      <w:r>
        <w:rPr>
          <w:rFonts w:hint="eastAsia" w:cs="仿宋_GB2312" w:asciiTheme="minorEastAsia" w:hAnsiTheme="minorEastAsia" w:eastAsiaTheme="minorEastAsia"/>
          <w:color w:val="000000"/>
          <w:shd w:val="clear" w:color="auto" w:fill="FFFFFF"/>
        </w:rPr>
        <w:t xml:space="preserve"> 元/套，投标人在递交投标文件时向采购代理机构交纳采购文件费用，售后不退。</w:t>
      </w:r>
    </w:p>
    <w:p>
      <w:pPr>
        <w:pStyle w:val="19"/>
        <w:widowControl/>
        <w:shd w:val="clear" w:color="auto" w:fill="FFFFFF"/>
        <w:spacing w:line="360" w:lineRule="auto"/>
        <w:ind w:firstLine="420"/>
        <w:contextualSpacing/>
        <w:jc w:val="left"/>
        <w:rPr>
          <w:rFonts w:cs="黑体" w:asciiTheme="minorEastAsia" w:hAnsiTheme="minorEastAsia" w:eastAsiaTheme="minorEastAsia"/>
          <w:b/>
          <w:bCs/>
          <w:color w:val="000000"/>
          <w:shd w:val="clear" w:color="auto" w:fill="FFFFFF"/>
        </w:rPr>
      </w:pPr>
      <w:r>
        <w:rPr>
          <w:rFonts w:hint="eastAsia" w:cs="黑体" w:asciiTheme="minorEastAsia" w:hAnsiTheme="minorEastAsia" w:eastAsiaTheme="minorEastAsia"/>
          <w:b/>
          <w:bCs/>
          <w:color w:val="000000"/>
          <w:shd w:val="clear" w:color="auto" w:fill="FFFFFF"/>
        </w:rPr>
        <w:t>五、投标截止时间、开标时间及地点</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rPr>
      </w:pPr>
      <w:r>
        <w:rPr>
          <w:rFonts w:hint="eastAsia" w:cs="仿宋_GB2312" w:asciiTheme="minorEastAsia" w:hAnsiTheme="minorEastAsia" w:eastAsiaTheme="minorEastAsia"/>
          <w:color w:val="000000"/>
        </w:rPr>
        <w:t>（一）投标截止及开标时间：</w:t>
      </w:r>
      <w:r>
        <w:rPr>
          <w:rFonts w:hint="eastAsia" w:cs="仿宋_GB2312" w:asciiTheme="minorEastAsia" w:hAnsiTheme="minorEastAsia" w:eastAsiaTheme="minorEastAsia"/>
          <w:color w:val="0000FF"/>
        </w:rPr>
        <w:t>2018年</w:t>
      </w:r>
      <w:r>
        <w:rPr>
          <w:rFonts w:hint="eastAsia" w:cs="仿宋_GB2312" w:asciiTheme="minorEastAsia" w:hAnsiTheme="minorEastAsia" w:eastAsiaTheme="minorEastAsia"/>
          <w:color w:val="0000FF"/>
          <w:u w:val="single"/>
        </w:rPr>
        <w:t>6</w:t>
      </w:r>
      <w:r>
        <w:rPr>
          <w:rFonts w:hint="eastAsia" w:cs="仿宋_GB2312" w:asciiTheme="minorEastAsia" w:hAnsiTheme="minorEastAsia" w:eastAsiaTheme="minorEastAsia"/>
          <w:color w:val="0000FF"/>
        </w:rPr>
        <w:t>月</w:t>
      </w:r>
      <w:r>
        <w:rPr>
          <w:rFonts w:hint="eastAsia" w:cs="仿宋_GB2312" w:asciiTheme="minorEastAsia" w:hAnsiTheme="minorEastAsia" w:eastAsiaTheme="minorEastAsia"/>
          <w:color w:val="0000FF"/>
          <w:u w:val="single"/>
        </w:rPr>
        <w:t xml:space="preserve"> 28</w:t>
      </w:r>
      <w:r>
        <w:rPr>
          <w:rFonts w:hint="eastAsia" w:cs="仿宋_GB2312" w:asciiTheme="minorEastAsia" w:hAnsiTheme="minorEastAsia" w:eastAsiaTheme="minorEastAsia"/>
          <w:color w:val="0000FF"/>
        </w:rPr>
        <w:t>日</w:t>
      </w:r>
      <w:r>
        <w:rPr>
          <w:rFonts w:hint="eastAsia" w:cs="仿宋_GB2312" w:asciiTheme="minorEastAsia" w:hAnsiTheme="minorEastAsia" w:eastAsiaTheme="minorEastAsia"/>
          <w:color w:val="0000FF"/>
          <w:u w:val="single"/>
        </w:rPr>
        <w:t>10</w:t>
      </w:r>
      <w:r>
        <w:rPr>
          <w:rFonts w:hint="eastAsia" w:cs="仿宋_GB2312" w:asciiTheme="minorEastAsia" w:hAnsiTheme="minorEastAsia" w:eastAsiaTheme="minorEastAsia"/>
          <w:color w:val="0000FF"/>
        </w:rPr>
        <w:t>时</w:t>
      </w:r>
      <w:r>
        <w:rPr>
          <w:rFonts w:hint="eastAsia" w:cs="仿宋_GB2312" w:asciiTheme="minorEastAsia" w:hAnsiTheme="minorEastAsia" w:eastAsiaTheme="minorEastAsia"/>
          <w:color w:val="0000FF"/>
          <w:u w:val="single"/>
        </w:rPr>
        <w:t xml:space="preserve">  30 </w:t>
      </w:r>
      <w:r>
        <w:rPr>
          <w:rFonts w:hint="eastAsia" w:cs="仿宋_GB2312" w:asciiTheme="minorEastAsia" w:hAnsiTheme="minorEastAsia" w:eastAsiaTheme="minorEastAsia"/>
          <w:color w:val="0000FF"/>
        </w:rPr>
        <w:t>分（北</w:t>
      </w:r>
      <w:r>
        <w:rPr>
          <w:rFonts w:hint="eastAsia" w:cs="仿宋_GB2312" w:asciiTheme="minorEastAsia" w:hAnsiTheme="minorEastAsia" w:eastAsiaTheme="minorEastAsia"/>
          <w:color w:val="000000"/>
        </w:rPr>
        <w:t>京时间），逾期提交或不符合规定的投标文件不予接受。</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FF"/>
        </w:rPr>
      </w:pPr>
      <w:r>
        <w:rPr>
          <w:rFonts w:hint="eastAsia" w:cs="仿宋_GB2312" w:asciiTheme="minorEastAsia" w:hAnsiTheme="minorEastAsia" w:eastAsiaTheme="minorEastAsia"/>
          <w:color w:val="000000"/>
        </w:rPr>
        <w:t>（二）开标地点：许昌市公共资源交易中心（</w:t>
      </w:r>
      <w:r>
        <w:rPr>
          <w:rFonts w:cs="Arial" w:asciiTheme="minorEastAsia" w:hAnsiTheme="minorEastAsia" w:eastAsiaTheme="minorEastAsia"/>
          <w:color w:val="000000"/>
        </w:rPr>
        <w:t>龙兴路与竹林路交汇处</w:t>
      </w:r>
      <w:r>
        <w:rPr>
          <w:rFonts w:hint="eastAsia" w:cs="仿宋_GB2312" w:asciiTheme="minorEastAsia" w:hAnsiTheme="minorEastAsia" w:eastAsiaTheme="minorEastAsia"/>
          <w:color w:val="000000"/>
        </w:rPr>
        <w:t>公共资源大厦）三</w:t>
      </w:r>
      <w:r>
        <w:rPr>
          <w:rFonts w:hint="eastAsia" w:cs="仿宋_GB2312" w:asciiTheme="minorEastAsia" w:hAnsiTheme="minorEastAsia" w:eastAsiaTheme="minorEastAsia"/>
          <w:color w:val="0000FF"/>
        </w:rPr>
        <w:t>楼开标</w:t>
      </w:r>
      <w:r>
        <w:rPr>
          <w:rFonts w:hint="eastAsia" w:cs="仿宋_GB2312" w:asciiTheme="minorEastAsia" w:hAnsiTheme="minorEastAsia" w:eastAsiaTheme="minorEastAsia"/>
          <w:color w:val="0000FF"/>
          <w:u w:val="single"/>
        </w:rPr>
        <w:t xml:space="preserve"> 三   </w:t>
      </w:r>
      <w:r>
        <w:rPr>
          <w:rFonts w:hint="eastAsia" w:cs="仿宋_GB2312" w:asciiTheme="minorEastAsia" w:hAnsiTheme="minorEastAsia" w:eastAsiaTheme="minorEastAsia"/>
          <w:color w:val="0000FF"/>
        </w:rPr>
        <w:t>室。</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rPr>
      </w:pPr>
      <w:r>
        <w:rPr>
          <w:rFonts w:hint="eastAsia" w:cs="仿宋_GB2312" w:asciiTheme="minorEastAsia" w:hAnsiTheme="minorEastAsia" w:eastAsiaTheme="minorEastAsia"/>
          <w:color w:val="000000"/>
        </w:rPr>
        <w:t>（三） 本项目为全流程电子化交易项目，投标人须提交电子投标文件和纸质投标文件。</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rPr>
      </w:pPr>
      <w:r>
        <w:rPr>
          <w:rFonts w:hint="eastAsia" w:cs="仿宋_GB2312" w:asciiTheme="minorEastAsia" w:hAnsiTheme="minorEastAsia" w:eastAsiaTheme="minorEastAsia"/>
          <w:color w:val="000000"/>
        </w:rPr>
        <w:t>1、加密电子投标文件</w:t>
      </w:r>
      <w:r>
        <w:rPr>
          <w:rFonts w:hint="eastAsia" w:cs="宋体" w:asciiTheme="minorEastAsia" w:hAnsiTheme="minorEastAsia"/>
          <w:color w:val="000000"/>
        </w:rPr>
        <w:t>（</w:t>
      </w:r>
      <w:r>
        <w:rPr>
          <w:rFonts w:asciiTheme="minorEastAsia" w:hAnsiTheme="minorEastAsia" w:eastAsiaTheme="minorEastAsia"/>
          <w:color w:val="000000"/>
        </w:rPr>
        <w:t>.file</w:t>
      </w:r>
      <w:r>
        <w:rPr>
          <w:rFonts w:hint="eastAsia" w:cs="宋体" w:asciiTheme="minorEastAsia" w:hAnsiTheme="minorEastAsia"/>
          <w:color w:val="000000"/>
        </w:rPr>
        <w:t>格式）须</w:t>
      </w:r>
      <w:r>
        <w:rPr>
          <w:rFonts w:hint="eastAsia" w:cs="仿宋_GB2312" w:asciiTheme="minorEastAsia" w:hAnsiTheme="minorEastAsia" w:eastAsiaTheme="minorEastAsia"/>
          <w:color w:val="000000"/>
        </w:rPr>
        <w:t>在投标截止时间（开标时间）前通过《全国公共资源交易平台(河南省▪许昌市)》公共资源交易系统成功上传。</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hd w:val="pct10" w:color="auto" w:fill="FFFFFF"/>
        </w:rPr>
      </w:pPr>
      <w:r>
        <w:rPr>
          <w:rFonts w:hint="eastAsia" w:cs="仿宋_GB2312" w:asciiTheme="minorEastAsia" w:hAnsiTheme="minorEastAsia" w:eastAsiaTheme="minorEastAsia"/>
          <w:color w:val="000000"/>
        </w:rPr>
        <w:t>2、纸质投标文件（正本、副本各1份）和备份文件1份</w:t>
      </w:r>
      <w:r>
        <w:rPr>
          <w:rFonts w:hint="eastAsia" w:hAnsi="宋体"/>
          <w:color w:val="000000"/>
        </w:rPr>
        <w:t>（使用电子介质存储）</w:t>
      </w:r>
      <w:r>
        <w:rPr>
          <w:rFonts w:hint="eastAsia" w:cs="仿宋_GB2312" w:asciiTheme="minorEastAsia" w:hAnsiTheme="minorEastAsia" w:eastAsiaTheme="minorEastAsia"/>
          <w:color w:val="000000"/>
        </w:rPr>
        <w:t>在投标截止时间（开标时间）前递交至本项目开标地点。</w:t>
      </w:r>
    </w:p>
    <w:p>
      <w:pPr>
        <w:pStyle w:val="19"/>
        <w:widowControl/>
        <w:shd w:val="clear" w:color="auto" w:fill="FFFFFF"/>
        <w:spacing w:line="360" w:lineRule="auto"/>
        <w:ind w:firstLine="420"/>
        <w:contextualSpacing/>
        <w:jc w:val="left"/>
        <w:rPr>
          <w:rFonts w:cs="黑体" w:asciiTheme="minorEastAsia" w:hAnsiTheme="minorEastAsia" w:eastAsiaTheme="minorEastAsia"/>
          <w:b/>
          <w:bCs/>
          <w:color w:val="000000"/>
          <w:shd w:val="clear" w:color="auto" w:fill="FFFFFF"/>
        </w:rPr>
      </w:pPr>
      <w:r>
        <w:rPr>
          <w:rFonts w:hint="eastAsia" w:cs="黑体" w:asciiTheme="minorEastAsia" w:hAnsiTheme="minorEastAsia" w:eastAsiaTheme="minorEastAsia"/>
          <w:b/>
          <w:bCs/>
          <w:color w:val="000000"/>
          <w:shd w:val="clear" w:color="auto" w:fill="FFFFFF"/>
        </w:rPr>
        <w:t>六、本次招标公告同时在《中国政府采购网》、《河南省政府采购网》、《许昌市政府采购网》、《全国公共资源交易平台（河南省·许昌市）》发布。</w:t>
      </w:r>
    </w:p>
    <w:p>
      <w:pPr>
        <w:pStyle w:val="19"/>
        <w:widowControl/>
        <w:shd w:val="clear" w:color="auto" w:fill="FFFFFF"/>
        <w:spacing w:line="360" w:lineRule="auto"/>
        <w:ind w:firstLine="420"/>
        <w:contextualSpacing/>
        <w:jc w:val="left"/>
        <w:rPr>
          <w:rFonts w:cs="黑体" w:asciiTheme="minorEastAsia" w:hAnsiTheme="minorEastAsia" w:eastAsiaTheme="minorEastAsia"/>
          <w:b/>
          <w:bCs/>
          <w:color w:val="000000"/>
          <w:shd w:val="clear" w:color="auto" w:fill="FFFFFF"/>
        </w:rPr>
      </w:pPr>
      <w:r>
        <w:rPr>
          <w:rFonts w:hint="eastAsia" w:cs="黑体" w:asciiTheme="minorEastAsia" w:hAnsiTheme="minorEastAsia" w:eastAsiaTheme="minorEastAsia"/>
          <w:b/>
          <w:bCs/>
          <w:color w:val="000000"/>
          <w:shd w:val="clear" w:color="auto" w:fill="FFFFFF"/>
        </w:rPr>
        <w:t>七、公告期限</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rPr>
      </w:pPr>
      <w:r>
        <w:rPr>
          <w:rFonts w:hint="eastAsia" w:cs="仿宋_GB2312" w:asciiTheme="minorEastAsia" w:hAnsiTheme="minorEastAsia" w:eastAsiaTheme="minorEastAsia"/>
          <w:color w:val="000000"/>
        </w:rPr>
        <w:t>本招标公告自发布之日起公告期限为5个工作日。</w:t>
      </w:r>
    </w:p>
    <w:p>
      <w:pPr>
        <w:pStyle w:val="19"/>
        <w:widowControl/>
        <w:shd w:val="clear" w:color="auto" w:fill="FFFFFF"/>
        <w:spacing w:line="360" w:lineRule="auto"/>
        <w:ind w:firstLine="420"/>
        <w:contextualSpacing/>
        <w:jc w:val="left"/>
        <w:rPr>
          <w:rFonts w:cs="黑体" w:asciiTheme="minorEastAsia" w:hAnsiTheme="minorEastAsia" w:eastAsiaTheme="minorEastAsia"/>
          <w:b/>
          <w:bCs/>
          <w:color w:val="000000"/>
        </w:rPr>
      </w:pPr>
      <w:r>
        <w:rPr>
          <w:rFonts w:hint="eastAsia" w:cs="黑体" w:asciiTheme="minorEastAsia" w:hAnsiTheme="minorEastAsia" w:eastAsiaTheme="minorEastAsia"/>
          <w:b/>
          <w:bCs/>
          <w:color w:val="000000"/>
        </w:rPr>
        <w:t>八、联系方式</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rPr>
      </w:pPr>
      <w:r>
        <w:rPr>
          <w:rFonts w:hint="eastAsia" w:cs="仿宋_GB2312" w:asciiTheme="minorEastAsia" w:hAnsiTheme="minorEastAsia" w:eastAsiaTheme="minorEastAsia"/>
          <w:color w:val="000000"/>
        </w:rPr>
        <w:t>采购人：许昌市东城区经济发展服务局</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rPr>
      </w:pPr>
      <w:r>
        <w:rPr>
          <w:rFonts w:hint="eastAsia" w:cs="仿宋_GB2312" w:asciiTheme="minorEastAsia" w:hAnsiTheme="minorEastAsia" w:eastAsiaTheme="minorEastAsia"/>
          <w:color w:val="000000"/>
        </w:rPr>
        <w:t>地 址：许昌市东城区前进路与魏文路交汇处东城区管委会</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rPr>
      </w:pPr>
      <w:r>
        <w:rPr>
          <w:rFonts w:hint="eastAsia" w:cs="仿宋_GB2312" w:asciiTheme="minorEastAsia" w:hAnsiTheme="minorEastAsia" w:eastAsiaTheme="minorEastAsia"/>
          <w:color w:val="000000"/>
        </w:rPr>
        <w:t>联系人：宋婷        联系电话：0374-2959705</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rPr>
      </w:pPr>
      <w:r>
        <w:rPr>
          <w:rFonts w:hint="eastAsia" w:cs="仿宋_GB2312" w:asciiTheme="minorEastAsia" w:hAnsiTheme="minorEastAsia" w:eastAsiaTheme="minorEastAsia"/>
          <w:color w:val="000000"/>
        </w:rPr>
        <w:t>代理机构：中益工程管理有限公司</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rPr>
      </w:pPr>
      <w:r>
        <w:rPr>
          <w:rFonts w:hint="eastAsia" w:cs="仿宋_GB2312" w:asciiTheme="minorEastAsia" w:hAnsiTheme="minorEastAsia" w:eastAsiaTheme="minorEastAsia"/>
          <w:color w:val="000000"/>
        </w:rPr>
        <w:t>地 址：许昌市天宝路于延安路交叉口五洲万商城411</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rPr>
      </w:pPr>
      <w:r>
        <w:rPr>
          <w:rFonts w:hint="eastAsia" w:cs="仿宋_GB2312" w:asciiTheme="minorEastAsia" w:hAnsiTheme="minorEastAsia" w:eastAsiaTheme="minorEastAsia"/>
          <w:color w:val="000000"/>
        </w:rPr>
        <w:t>联系人：齐洪雨          联系电话：18567379719</w:t>
      </w:r>
    </w:p>
    <w:p>
      <w:pPr>
        <w:rPr>
          <w:rFonts w:asciiTheme="minorEastAsia" w:hAnsiTheme="minorEastAsia"/>
          <w:sz w:val="24"/>
          <w:szCs w:val="24"/>
        </w:rPr>
      </w:pPr>
    </w:p>
    <w:p>
      <w:pPr>
        <w:rPr>
          <w:rFonts w:cs="仿宋_GB2312" w:asciiTheme="minorEastAsia" w:hAnsiTheme="minorEastAsia"/>
          <w:color w:val="000000"/>
          <w:sz w:val="24"/>
          <w:szCs w:val="24"/>
          <w:shd w:val="clear" w:color="auto" w:fill="FFFFFF"/>
        </w:rPr>
      </w:pP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rPr>
      </w:pPr>
      <w:r>
        <w:rPr>
          <w:rFonts w:hint="eastAsia" w:cs="仿宋_GB2312" w:asciiTheme="minorEastAsia" w:hAnsiTheme="minorEastAsia" w:eastAsiaTheme="minorEastAsia"/>
          <w:color w:val="000000"/>
        </w:rPr>
        <w:t>许昌市东城区经济发展服务局</w:t>
      </w:r>
    </w:p>
    <w:p>
      <w:pPr>
        <w:autoSpaceDE w:val="0"/>
        <w:autoSpaceDN w:val="0"/>
        <w:adjustRightInd w:val="0"/>
        <w:spacing w:line="700" w:lineRule="exact"/>
        <w:ind w:firstLine="560"/>
        <w:rPr>
          <w:rFonts w:cs="仿宋_GB2312" w:asciiTheme="minorEastAsia" w:hAnsiTheme="minorEastAsia"/>
          <w:color w:val="0000FF"/>
          <w:sz w:val="24"/>
          <w:szCs w:val="24"/>
        </w:rPr>
      </w:pPr>
      <w:r>
        <w:rPr>
          <w:rFonts w:hint="eastAsia" w:cs="仿宋_GB2312" w:asciiTheme="minorEastAsia" w:hAnsiTheme="minorEastAsia"/>
          <w:color w:val="0000FF"/>
          <w:sz w:val="24"/>
          <w:szCs w:val="24"/>
        </w:rPr>
        <w:t xml:space="preserve"> 二〇一八年六月七日</w:t>
      </w:r>
    </w:p>
    <w:p>
      <w:pPr>
        <w:spacing w:line="360" w:lineRule="auto"/>
        <w:rPr>
          <w:rFonts w:hAnsi="宋体"/>
          <w:b/>
          <w:sz w:val="28"/>
          <w:szCs w:val="28"/>
        </w:rPr>
      </w:pPr>
    </w:p>
    <w:p>
      <w:pPr>
        <w:spacing w:line="360" w:lineRule="auto"/>
        <w:rPr>
          <w:rFonts w:hAnsi="宋体"/>
          <w:b/>
          <w:sz w:val="28"/>
          <w:szCs w:val="28"/>
        </w:rPr>
      </w:pPr>
    </w:p>
    <w:p>
      <w:pPr>
        <w:spacing w:line="360" w:lineRule="auto"/>
        <w:rPr>
          <w:rFonts w:hAnsi="宋体"/>
          <w:b/>
          <w:sz w:val="28"/>
          <w:szCs w:val="28"/>
        </w:rPr>
      </w:pPr>
    </w:p>
    <w:p>
      <w:pPr>
        <w:spacing w:line="360" w:lineRule="auto"/>
        <w:rPr>
          <w:rFonts w:hAnsi="宋体"/>
          <w:b/>
          <w:sz w:val="28"/>
          <w:szCs w:val="28"/>
        </w:rPr>
      </w:pPr>
    </w:p>
    <w:p>
      <w:pPr>
        <w:spacing w:line="360" w:lineRule="auto"/>
        <w:rPr>
          <w:rFonts w:hAnsi="宋体"/>
          <w:b/>
          <w:sz w:val="28"/>
          <w:szCs w:val="28"/>
        </w:rPr>
      </w:pPr>
    </w:p>
    <w:p>
      <w:pPr>
        <w:spacing w:line="360" w:lineRule="auto"/>
        <w:rPr>
          <w:rFonts w:hAnsi="宋体"/>
          <w:b/>
          <w:sz w:val="28"/>
          <w:szCs w:val="28"/>
        </w:rPr>
      </w:pPr>
    </w:p>
    <w:p>
      <w:pPr>
        <w:spacing w:line="360" w:lineRule="auto"/>
        <w:rPr>
          <w:rFonts w:hAnsi="宋体"/>
          <w:b/>
          <w:sz w:val="28"/>
          <w:szCs w:val="28"/>
        </w:rPr>
      </w:pPr>
    </w:p>
    <w:p>
      <w:pPr>
        <w:spacing w:line="360" w:lineRule="auto"/>
        <w:rPr>
          <w:rFonts w:hAnsi="宋体"/>
          <w:b/>
          <w:sz w:val="28"/>
          <w:szCs w:val="28"/>
        </w:rPr>
      </w:pPr>
    </w:p>
    <w:p>
      <w:pPr>
        <w:spacing w:line="360" w:lineRule="auto"/>
        <w:rPr>
          <w:rFonts w:hAnsi="宋体"/>
          <w:b/>
          <w:sz w:val="28"/>
          <w:szCs w:val="28"/>
        </w:rPr>
      </w:pPr>
    </w:p>
    <w:p>
      <w:pPr>
        <w:spacing w:line="360" w:lineRule="auto"/>
        <w:rPr>
          <w:rFonts w:hAnsi="宋体"/>
          <w:b/>
          <w:sz w:val="28"/>
          <w:szCs w:val="28"/>
        </w:rPr>
      </w:pPr>
    </w:p>
    <w:p>
      <w:pPr>
        <w:spacing w:line="360" w:lineRule="auto"/>
        <w:rPr>
          <w:rFonts w:hAnsi="宋体"/>
          <w:b/>
          <w:sz w:val="28"/>
          <w:szCs w:val="28"/>
        </w:rPr>
      </w:pPr>
    </w:p>
    <w:p>
      <w:pPr>
        <w:spacing w:line="360" w:lineRule="auto"/>
        <w:rPr>
          <w:rFonts w:hAnsi="宋体"/>
          <w:b/>
          <w:sz w:val="28"/>
          <w:szCs w:val="28"/>
        </w:rPr>
      </w:pPr>
    </w:p>
    <w:p>
      <w:pPr>
        <w:spacing w:line="360" w:lineRule="auto"/>
        <w:rPr>
          <w:rFonts w:hAnsi="宋体"/>
          <w:b/>
          <w:sz w:val="28"/>
          <w:szCs w:val="28"/>
        </w:rPr>
      </w:pPr>
    </w:p>
    <w:p>
      <w:pPr>
        <w:spacing w:line="360" w:lineRule="auto"/>
        <w:rPr>
          <w:rFonts w:hAnsi="宋体"/>
          <w:b/>
          <w:sz w:val="28"/>
          <w:szCs w:val="28"/>
        </w:rPr>
      </w:pPr>
    </w:p>
    <w:p>
      <w:pPr>
        <w:spacing w:line="360" w:lineRule="auto"/>
        <w:rPr>
          <w:rFonts w:hAnsi="宋体"/>
          <w:b/>
          <w:sz w:val="28"/>
          <w:szCs w:val="28"/>
        </w:rPr>
      </w:pPr>
    </w:p>
    <w:p>
      <w:pPr>
        <w:spacing w:line="360" w:lineRule="auto"/>
        <w:rPr>
          <w:rFonts w:hAnsi="宋体"/>
          <w:b/>
          <w:sz w:val="28"/>
          <w:szCs w:val="28"/>
        </w:rPr>
      </w:pPr>
    </w:p>
    <w:p>
      <w:pPr>
        <w:spacing w:line="360" w:lineRule="auto"/>
        <w:rPr>
          <w:rFonts w:hAnsi="宋体"/>
          <w:b/>
          <w:sz w:val="28"/>
          <w:szCs w:val="28"/>
        </w:rPr>
      </w:pPr>
    </w:p>
    <w:p>
      <w:pPr>
        <w:spacing w:line="360" w:lineRule="auto"/>
        <w:rPr>
          <w:rFonts w:hAnsi="宋体"/>
          <w:b/>
          <w:sz w:val="28"/>
          <w:szCs w:val="28"/>
        </w:rPr>
      </w:pPr>
      <w:r>
        <w:rPr>
          <w:rFonts w:hint="eastAsia" w:hAnsi="宋体"/>
          <w:b/>
          <w:sz w:val="32"/>
          <w:szCs w:val="32"/>
        </w:rPr>
        <w:t>温馨提示</w:t>
      </w:r>
      <w:r>
        <w:rPr>
          <w:rFonts w:hint="eastAsia" w:hAnsi="宋体"/>
          <w:b/>
          <w:sz w:val="28"/>
          <w:szCs w:val="28"/>
        </w:rPr>
        <w:t>：</w:t>
      </w:r>
    </w:p>
    <w:p>
      <w:pPr>
        <w:spacing w:line="360" w:lineRule="auto"/>
        <w:ind w:firstLine="562" w:firstLineChars="200"/>
        <w:rPr>
          <w:rFonts w:hAnsi="宋体"/>
          <w:b/>
          <w:sz w:val="28"/>
          <w:szCs w:val="28"/>
        </w:rPr>
      </w:pPr>
      <w:r>
        <w:rPr>
          <w:rFonts w:hint="eastAsia" w:hAnsi="宋体"/>
          <w:b/>
          <w:sz w:val="28"/>
          <w:szCs w:val="28"/>
        </w:rPr>
        <w:t>本项目为全流程电子化交易项目，请认真阅读招标文件，并注意以下事项。</w:t>
      </w:r>
    </w:p>
    <w:p>
      <w:pPr>
        <w:pStyle w:val="6"/>
        <w:ind w:firstLine="321"/>
        <w:rPr>
          <w:rFonts w:ascii="仿宋_GB2312" w:eastAsia="仿宋_GB2312"/>
          <w:b/>
          <w:sz w:val="32"/>
          <w:szCs w:val="32"/>
        </w:rPr>
      </w:pPr>
    </w:p>
    <w:p>
      <w:pPr>
        <w:tabs>
          <w:tab w:val="left" w:pos="7095"/>
        </w:tabs>
        <w:spacing w:line="360" w:lineRule="auto"/>
        <w:ind w:firstLine="482" w:firstLineChars="200"/>
        <w:contextualSpacing/>
        <w:rPr>
          <w:rFonts w:hAnsi="宋体"/>
          <w:b/>
          <w:color w:val="000000"/>
          <w:sz w:val="24"/>
          <w:szCs w:val="24"/>
        </w:rPr>
      </w:pPr>
      <w:r>
        <w:rPr>
          <w:rFonts w:hint="eastAsia" w:asciiTheme="minorEastAsia" w:hAnsiTheme="minorEastAsia"/>
          <w:b/>
          <w:color w:val="000000"/>
          <w:sz w:val="24"/>
          <w:szCs w:val="24"/>
        </w:rPr>
        <w:t>1.</w:t>
      </w:r>
      <w:r>
        <w:rPr>
          <w:rFonts w:hint="eastAsia" w:hAnsi="宋体"/>
          <w:b/>
          <w:color w:val="000000"/>
          <w:sz w:val="24"/>
          <w:szCs w:val="24"/>
        </w:rPr>
        <w:t>投标人应按招标文件规定编制、提交电子投标文件和纸质投标文件。开、评标现场不接受投标人递交的备份电子投标文件和纸质投标文件以外的其他资料。</w:t>
      </w:r>
    </w:p>
    <w:p>
      <w:pPr>
        <w:tabs>
          <w:tab w:val="left" w:pos="7095"/>
        </w:tabs>
        <w:spacing w:line="360" w:lineRule="auto"/>
        <w:ind w:firstLine="482" w:firstLineChars="200"/>
        <w:contextualSpacing/>
        <w:rPr>
          <w:rFonts w:hAnsi="宋体"/>
          <w:b/>
          <w:color w:val="000000"/>
          <w:sz w:val="24"/>
          <w:szCs w:val="24"/>
        </w:rPr>
      </w:pPr>
      <w:r>
        <w:rPr>
          <w:rFonts w:hint="eastAsia" w:asciiTheme="minorEastAsia" w:hAnsiTheme="minorEastAsia"/>
          <w:b/>
          <w:color w:val="000000"/>
          <w:sz w:val="24"/>
          <w:szCs w:val="24"/>
        </w:rPr>
        <w:t>2</w:t>
      </w:r>
      <w:r>
        <w:rPr>
          <w:rFonts w:asciiTheme="minorEastAsia" w:hAnsiTheme="minorEastAsia"/>
          <w:b/>
          <w:color w:val="000000"/>
          <w:sz w:val="24"/>
          <w:szCs w:val="24"/>
        </w:rPr>
        <w:t>.</w:t>
      </w:r>
      <w:r>
        <w:rPr>
          <w:rFonts w:hint="eastAsia" w:hAnsi="宋体"/>
          <w:b/>
          <w:color w:val="000000"/>
          <w:sz w:val="24"/>
          <w:szCs w:val="24"/>
        </w:rPr>
        <w:t>电子文件下载、制作、提交期间和开标（</w:t>
      </w:r>
      <w:r>
        <w:rPr>
          <w:rFonts w:hint="eastAsia" w:hAnsi="宋体"/>
          <w:sz w:val="24"/>
          <w:szCs w:val="24"/>
        </w:rPr>
        <w:t>电子投标文件的解密</w:t>
      </w:r>
      <w:r>
        <w:rPr>
          <w:rFonts w:hint="eastAsia" w:hAnsi="宋体"/>
          <w:b/>
          <w:color w:val="000000"/>
          <w:sz w:val="24"/>
          <w:szCs w:val="24"/>
        </w:rPr>
        <w:t>）环节，投标人须使用</w:t>
      </w:r>
      <w:r>
        <w:rPr>
          <w:rFonts w:hAnsi="宋体"/>
          <w:b/>
          <w:color w:val="000000"/>
          <w:sz w:val="24"/>
          <w:szCs w:val="24"/>
        </w:rPr>
        <w:t>CA数字证书</w:t>
      </w:r>
      <w:r>
        <w:rPr>
          <w:rFonts w:hint="eastAsia" w:hAnsi="宋体"/>
          <w:b/>
          <w:color w:val="000000"/>
          <w:sz w:val="24"/>
          <w:szCs w:val="24"/>
        </w:rPr>
        <w:t>（证书须在有效期内）</w:t>
      </w:r>
      <w:r>
        <w:rPr>
          <w:rFonts w:hAnsi="宋体"/>
          <w:b/>
          <w:color w:val="000000"/>
          <w:sz w:val="24"/>
          <w:szCs w:val="24"/>
        </w:rPr>
        <w:t>。</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3</w:t>
      </w:r>
      <w:r>
        <w:rPr>
          <w:rFonts w:hint="eastAsia" w:asciiTheme="minorEastAsia" w:hAnsiTheme="minorEastAsia"/>
          <w:b/>
          <w:color w:val="000000"/>
          <w:sz w:val="24"/>
          <w:szCs w:val="24"/>
        </w:rPr>
        <w:t>.</w:t>
      </w:r>
      <w:r>
        <w:rPr>
          <w:rFonts w:hint="eastAsia" w:hAnsi="宋体"/>
          <w:b/>
          <w:color w:val="000000"/>
          <w:sz w:val="24"/>
          <w:szCs w:val="24"/>
        </w:rPr>
        <w:t>电子投标文件的制作</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.1</w:t>
      </w:r>
      <w:r>
        <w:rPr>
          <w:rFonts w:hint="eastAsia" w:hAnsi="宋体"/>
          <w:color w:val="000000"/>
          <w:sz w:val="24"/>
          <w:szCs w:val="24"/>
        </w:rPr>
        <w:t xml:space="preserve"> 投标人登录《全国公共资源交易平台(河南省▪许昌市)》公共资源交易系统（</w:t>
      </w:r>
      <w:r>
        <w:fldChar w:fldCharType="begin"/>
      </w:r>
      <w:r>
        <w:instrText xml:space="preserve"> HYPERLINK "http://221.14.6.70:8088/ggzy/" </w:instrText>
      </w:r>
      <w:r>
        <w:fldChar w:fldCharType="separate"/>
      </w:r>
      <w:r>
        <w:rPr>
          <w:rStyle w:val="23"/>
          <w:rFonts w:hAnsi="宋体"/>
          <w:sz w:val="24"/>
          <w:szCs w:val="24"/>
        </w:rPr>
        <w:t>http://221.14.6.70:8088/ggzy/</w:t>
      </w:r>
      <w:r>
        <w:rPr>
          <w:rStyle w:val="23"/>
          <w:rFonts w:hAnsi="宋体"/>
          <w:sz w:val="24"/>
          <w:szCs w:val="24"/>
        </w:rPr>
        <w:fldChar w:fldCharType="end"/>
      </w:r>
      <w:r>
        <w:rPr>
          <w:rFonts w:hint="eastAsia" w:hAnsi="宋体"/>
          <w:color w:val="000000"/>
          <w:sz w:val="24"/>
          <w:szCs w:val="24"/>
        </w:rPr>
        <w:t>）下载“许昌投标文件制作系统SEARUN V1.0”，按招标文件要求制作电子投标文件。</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电子投标文件的制作，参考《全国公共资源交易平台(河南省▪许昌市)》公共资源交易系统——组件下载——交易系统操作手册（投标人、供应商）。</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w:t>
      </w:r>
      <w:r>
        <w:rPr>
          <w:rFonts w:asciiTheme="minorEastAsia" w:hAnsiTheme="minorEastAsia"/>
          <w:color w:val="000000"/>
          <w:sz w:val="24"/>
          <w:szCs w:val="24"/>
        </w:rPr>
        <w:t>2</w:t>
      </w:r>
      <w:r>
        <w:rPr>
          <w:rFonts w:hint="eastAsia" w:hAnsi="宋体"/>
          <w:color w:val="000000"/>
          <w:sz w:val="24"/>
          <w:szCs w:val="24"/>
        </w:rPr>
        <w:t xml:space="preserve"> 投标人须将招标文件要求的资质、业绩、荣誉及相关人员证明材料等资料原件扫描件（或图片）制作到所提交的电子投标文件中。</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3.3</w:t>
      </w:r>
      <w:r>
        <w:rPr>
          <w:rFonts w:hint="eastAsia" w:hAnsi="宋体"/>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int="eastAsia" w:hAnsi="宋体"/>
          <w:color w:val="000000"/>
          <w:sz w:val="24"/>
          <w:szCs w:val="24"/>
        </w:rPr>
        <w:t>投标人</w:t>
      </w:r>
      <w:r>
        <w:rPr>
          <w:rFonts w:hAnsi="宋体"/>
          <w:color w:val="000000"/>
          <w:sz w:val="24"/>
          <w:szCs w:val="24"/>
        </w:rPr>
        <w:t>电子印章</w:t>
      </w:r>
      <w:r>
        <w:rPr>
          <w:rFonts w:hint="eastAsia" w:hAnsi="宋体"/>
          <w:color w:val="000000"/>
          <w:sz w:val="24"/>
          <w:szCs w:val="24"/>
        </w:rPr>
        <w:t>和法人电子印章。</w:t>
      </w:r>
    </w:p>
    <w:p>
      <w:pPr>
        <w:tabs>
          <w:tab w:val="left" w:pos="7095"/>
        </w:tabs>
        <w:spacing w:line="360" w:lineRule="auto"/>
        <w:ind w:left="105" w:leftChars="50" w:firstLine="360" w:firstLineChars="150"/>
        <w:contextualSpacing/>
        <w:rPr>
          <w:rFonts w:hAnsi="宋体"/>
          <w:color w:val="000000"/>
          <w:sz w:val="24"/>
          <w:szCs w:val="24"/>
        </w:rPr>
      </w:pPr>
      <w:r>
        <w:rPr>
          <w:rFonts w:hint="eastAsia" w:hAnsi="宋体"/>
          <w:color w:val="000000"/>
          <w:sz w:val="24"/>
          <w:szCs w:val="24"/>
        </w:rPr>
        <w:t>一个标段对应生成一个文件夹（xxxx项目xx标段）, 其中包含2个文件和1个文件夹。后缀名为“</w:t>
      </w:r>
      <w:r>
        <w:rPr>
          <w:rFonts w:hAnsi="宋体"/>
          <w:color w:val="000000"/>
          <w:sz w:val="24"/>
          <w:szCs w:val="24"/>
        </w:rPr>
        <w:t>.file</w:t>
      </w:r>
      <w:r>
        <w:rPr>
          <w:rFonts w:hint="eastAsia" w:hAnsi="宋体"/>
          <w:color w:val="000000"/>
          <w:sz w:val="24"/>
          <w:szCs w:val="24"/>
        </w:rPr>
        <w:t>”的文件用于电子投标使用，后缀名为“.PDF”的文件用于打印纸质投标文件，名称为“备份”的文件夹使用电子介质存储，供开标现场备用。</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4</w:t>
      </w:r>
      <w:r>
        <w:rPr>
          <w:rFonts w:hint="eastAsia" w:asciiTheme="minorEastAsia" w:hAnsiTheme="minorEastAsia"/>
          <w:b/>
          <w:color w:val="000000"/>
          <w:sz w:val="24"/>
          <w:szCs w:val="24"/>
        </w:rPr>
        <w:t>.加密</w:t>
      </w:r>
      <w:r>
        <w:rPr>
          <w:rFonts w:hint="eastAsia" w:hAnsi="宋体"/>
          <w:b/>
          <w:color w:val="000000"/>
          <w:sz w:val="24"/>
          <w:szCs w:val="24"/>
        </w:rPr>
        <w:t>电子投标文件的提交</w:t>
      </w:r>
    </w:p>
    <w:p>
      <w:pPr>
        <w:tabs>
          <w:tab w:val="left" w:pos="7095"/>
        </w:tabs>
        <w:spacing w:line="360" w:lineRule="auto"/>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.1加密</w:t>
      </w:r>
      <w:r>
        <w:rPr>
          <w:rFonts w:hint="eastAsia" w:hAnsi="宋体"/>
          <w:color w:val="000000"/>
          <w:sz w:val="24"/>
          <w:szCs w:val="24"/>
        </w:rPr>
        <w:t>电子投标文件应在招标文件规定的投标截止时间（开标时间）之前成功提交至《全国公共资源交易平台(河南省▪许昌市)》公共资源交易系统（</w:t>
      </w:r>
      <w:r>
        <w:fldChar w:fldCharType="begin"/>
      </w:r>
      <w:r>
        <w:instrText xml:space="preserve"> HYPERLINK "http://221.14.6.70:8088/ggzy/" </w:instrText>
      </w:r>
      <w:r>
        <w:fldChar w:fldCharType="separate"/>
      </w:r>
      <w:r>
        <w:rPr>
          <w:rStyle w:val="23"/>
          <w:rFonts w:hAnsi="宋体"/>
          <w:sz w:val="24"/>
          <w:szCs w:val="24"/>
        </w:rPr>
        <w:t>http://221.14.6.70:8088/ggzy/</w:t>
      </w:r>
      <w:r>
        <w:rPr>
          <w:rStyle w:val="23"/>
          <w:rFonts w:hAnsi="宋体"/>
          <w:sz w:val="24"/>
          <w:szCs w:val="24"/>
        </w:rPr>
        <w:fldChar w:fldCharType="end"/>
      </w:r>
      <w:r>
        <w:rPr>
          <w:rFonts w:hint="eastAsia" w:hAnsi="宋体"/>
          <w:color w:val="000000"/>
          <w:sz w:val="24"/>
          <w:szCs w:val="24"/>
        </w:rPr>
        <w:t>）。</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投标人应充分考虑并预留技术处理和上传数据所需时间。</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 xml:space="preserve">2 </w:t>
      </w:r>
      <w:r>
        <w:rPr>
          <w:rFonts w:hint="eastAsia" w:hAnsi="宋体"/>
          <w:color w:val="000000"/>
          <w:sz w:val="24"/>
          <w:szCs w:val="24"/>
        </w:rPr>
        <w:t>投标人对同一项目多个标段进行投标的，加密电子投标文件应按标段分别提交。</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w:t>
      </w:r>
      <w:r>
        <w:rPr>
          <w:rFonts w:asciiTheme="minorEastAsia" w:hAnsiTheme="minorEastAsia"/>
          <w:color w:val="000000"/>
          <w:sz w:val="24"/>
          <w:szCs w:val="24"/>
        </w:rPr>
        <w:t>3</w:t>
      </w:r>
      <w:r>
        <w:rPr>
          <w:rFonts w:hint="eastAsia" w:asciiTheme="minorEastAsia" w:hAnsiTheme="minorEastAsia"/>
          <w:color w:val="000000"/>
          <w:sz w:val="24"/>
          <w:szCs w:val="24"/>
        </w:rPr>
        <w:t xml:space="preserve"> 加密</w:t>
      </w:r>
      <w:r>
        <w:rPr>
          <w:rFonts w:hint="eastAsia" w:hAnsi="宋体"/>
          <w:color w:val="000000"/>
          <w:sz w:val="24"/>
          <w:szCs w:val="24"/>
        </w:rPr>
        <w:t>电子投标文件成功提交后，投标人应打印“投标文件提交回执单”供开标现场备查。</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5</w:t>
      </w:r>
      <w:r>
        <w:rPr>
          <w:rFonts w:hint="eastAsia" w:asciiTheme="minorEastAsia" w:hAnsiTheme="minorEastAsia"/>
          <w:b/>
          <w:color w:val="000000"/>
          <w:sz w:val="24"/>
          <w:szCs w:val="24"/>
        </w:rPr>
        <w:t>.</w:t>
      </w:r>
      <w:r>
        <w:rPr>
          <w:rFonts w:hint="eastAsia" w:hAnsi="宋体"/>
          <w:b/>
          <w:color w:val="000000"/>
          <w:sz w:val="24"/>
          <w:szCs w:val="24"/>
        </w:rPr>
        <w:t>评标依据</w:t>
      </w:r>
    </w:p>
    <w:p>
      <w:pPr>
        <w:tabs>
          <w:tab w:val="left" w:pos="7095"/>
        </w:tabs>
        <w:spacing w:line="360" w:lineRule="auto"/>
        <w:ind w:firstLine="480" w:firstLineChars="200"/>
        <w:contextualSpacing/>
        <w:rPr>
          <w:rFonts w:hAnsi="宋体"/>
          <w:color w:val="000000"/>
          <w:sz w:val="24"/>
          <w:szCs w:val="24"/>
        </w:rPr>
      </w:pPr>
      <w:r>
        <w:rPr>
          <w:rFonts w:hint="eastAsia" w:asciiTheme="minorEastAsia" w:hAnsiTheme="minorEastAsia"/>
          <w:color w:val="000000"/>
          <w:sz w:val="24"/>
          <w:szCs w:val="24"/>
        </w:rPr>
        <w:t>5.1</w:t>
      </w:r>
      <w:r>
        <w:rPr>
          <w:rFonts w:hint="eastAsia" w:hAnsi="宋体"/>
          <w:color w:val="000000"/>
          <w:sz w:val="24"/>
          <w:szCs w:val="24"/>
        </w:rPr>
        <w:t>采用全流程电子化交易评标时，评标委员会以电子投标文件为依据评标。</w:t>
      </w:r>
    </w:p>
    <w:p>
      <w:pPr>
        <w:tabs>
          <w:tab w:val="left" w:pos="7095"/>
        </w:tabs>
        <w:spacing w:line="360" w:lineRule="auto"/>
        <w:ind w:firstLine="480" w:firstLineChars="200"/>
        <w:contextualSpacing/>
        <w:rPr>
          <w:rFonts w:hAnsi="宋体"/>
          <w:color w:val="000000"/>
          <w:sz w:val="24"/>
          <w:szCs w:val="24"/>
        </w:rPr>
      </w:pPr>
      <w:r>
        <w:rPr>
          <w:rFonts w:hint="eastAsia" w:asciiTheme="minorEastAsia" w:hAnsiTheme="minorEastAsia"/>
          <w:color w:val="000000"/>
          <w:sz w:val="24"/>
          <w:szCs w:val="24"/>
        </w:rPr>
        <w:t>5.2</w:t>
      </w:r>
      <w:r>
        <w:rPr>
          <w:rFonts w:hint="eastAsia" w:hAnsi="宋体"/>
          <w:color w:val="000000"/>
          <w:sz w:val="24"/>
          <w:szCs w:val="24"/>
        </w:rPr>
        <w:t>全流程电子化交易如因系统异常情况无法完成，将以人工方式进行。评标委员会以纸质投标文件为依据评标。</w:t>
      </w: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numPr>
          <w:ilvl w:val="0"/>
          <w:numId w:val="4"/>
        </w:numPr>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项目需求</w:t>
      </w:r>
    </w:p>
    <w:p>
      <w:pPr>
        <w:rPr>
          <w:rFonts w:cs="宋体" w:asciiTheme="majorEastAsia" w:hAnsiTheme="majorEastAsia" w:eastAsiaTheme="majorEastAsia"/>
          <w:b/>
          <w:kern w:val="0"/>
          <w:sz w:val="32"/>
          <w:szCs w:val="32"/>
        </w:rPr>
      </w:pPr>
    </w:p>
    <w:p>
      <w:pPr>
        <w:widowControl/>
        <w:numPr>
          <w:ilvl w:val="0"/>
          <w:numId w:val="5"/>
        </w:numPr>
        <w:shd w:val="clear" w:color="auto" w:fill="FFFFFF"/>
        <w:spacing w:line="360" w:lineRule="auto"/>
        <w:ind w:firstLine="482" w:firstLineChars="200"/>
        <w:contextualSpacing/>
        <w:jc w:val="left"/>
        <w:rPr>
          <w:rFonts w:cs="黑体" w:asciiTheme="minorEastAsia" w:hAnsiTheme="minorEastAsia"/>
          <w:b/>
          <w:bCs/>
          <w:color w:val="000000"/>
          <w:sz w:val="24"/>
          <w:szCs w:val="24"/>
          <w:shd w:val="clear" w:color="auto" w:fill="FFFFFF"/>
        </w:rPr>
      </w:pPr>
      <w:r>
        <w:rPr>
          <w:rFonts w:hint="eastAsia" w:cs="黑体" w:asciiTheme="minorEastAsia" w:hAnsiTheme="minorEastAsia"/>
          <w:b/>
          <w:bCs/>
          <w:color w:val="000000"/>
          <w:sz w:val="24"/>
          <w:szCs w:val="24"/>
          <w:shd w:val="clear" w:color="auto" w:fill="FFFFFF"/>
        </w:rPr>
        <w:t>本项目需实现的功能或者目标</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提供于许昌市东城区跨境电商产业园内单人位电脑桌（含独立抽屉柜）、面对面双人位电脑桌（含独立抽屉柜）、面对面四人位电脑桌（含独立抽屉柜）、单人椅等。</w:t>
      </w:r>
    </w:p>
    <w:p>
      <w:pPr>
        <w:widowControl/>
        <w:shd w:val="clear" w:color="auto" w:fill="FFFFFF"/>
        <w:spacing w:line="360" w:lineRule="auto"/>
        <w:contextualSpacing/>
        <w:jc w:val="left"/>
        <w:rPr>
          <w:rFonts w:cs="黑体" w:asciiTheme="minorEastAsia" w:hAnsiTheme="minorEastAsia"/>
          <w:b/>
          <w:bCs/>
          <w:color w:val="000000"/>
          <w:sz w:val="24"/>
          <w:szCs w:val="24"/>
          <w:shd w:val="clear" w:color="auto" w:fill="FFFFFF"/>
        </w:rPr>
      </w:pPr>
      <w:r>
        <w:rPr>
          <w:rFonts w:hint="eastAsia" w:cs="黑体" w:asciiTheme="minorEastAsia" w:hAnsiTheme="minorEastAsia"/>
          <w:b/>
          <w:bCs/>
          <w:color w:val="000000"/>
          <w:sz w:val="24"/>
          <w:szCs w:val="24"/>
          <w:shd w:val="clear" w:color="auto" w:fill="FFFFFF"/>
        </w:rPr>
        <w:t>二、采购清单</w:t>
      </w:r>
    </w:p>
    <w:tbl>
      <w:tblPr>
        <w:tblStyle w:val="24"/>
        <w:tblpPr w:leftFromText="180" w:rightFromText="180" w:vertAnchor="text" w:horzAnchor="page" w:tblpX="719" w:tblpY="624"/>
        <w:tblOverlap w:val="never"/>
        <w:tblW w:w="10710" w:type="dxa"/>
        <w:tblInd w:w="0" w:type="dxa"/>
        <w:tblLayout w:type="fixed"/>
        <w:tblCellMar>
          <w:top w:w="15" w:type="dxa"/>
          <w:left w:w="15" w:type="dxa"/>
          <w:bottom w:w="15" w:type="dxa"/>
          <w:right w:w="15" w:type="dxa"/>
        </w:tblCellMar>
      </w:tblPr>
      <w:tblGrid>
        <w:gridCol w:w="933"/>
        <w:gridCol w:w="1392"/>
        <w:gridCol w:w="1659"/>
        <w:gridCol w:w="939"/>
        <w:gridCol w:w="4512"/>
        <w:gridCol w:w="1275"/>
      </w:tblGrid>
      <w:tr>
        <w:tblPrEx>
          <w:tblLayout w:type="fixed"/>
          <w:tblCellMar>
            <w:top w:w="15" w:type="dxa"/>
            <w:left w:w="15" w:type="dxa"/>
            <w:bottom w:w="15" w:type="dxa"/>
            <w:right w:w="15" w:type="dxa"/>
          </w:tblCellMar>
        </w:tblPrEx>
        <w:trPr>
          <w:trHeight w:val="360" w:hRule="atLeast"/>
        </w:trPr>
        <w:tc>
          <w:tcPr>
            <w:tcW w:w="9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序号</w:t>
            </w:r>
          </w:p>
        </w:tc>
        <w:tc>
          <w:tcPr>
            <w:tcW w:w="13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品种</w:t>
            </w:r>
          </w:p>
        </w:tc>
        <w:tc>
          <w:tcPr>
            <w:tcW w:w="165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规格（m）</w:t>
            </w:r>
          </w:p>
        </w:tc>
        <w:tc>
          <w:tcPr>
            <w:tcW w:w="9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颜色</w:t>
            </w:r>
          </w:p>
        </w:tc>
        <w:tc>
          <w:tcPr>
            <w:tcW w:w="45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技术参数及材质</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数量</w:t>
            </w:r>
          </w:p>
        </w:tc>
      </w:tr>
      <w:tr>
        <w:tblPrEx>
          <w:tblLayout w:type="fixed"/>
          <w:tblCellMar>
            <w:top w:w="15" w:type="dxa"/>
            <w:left w:w="15" w:type="dxa"/>
            <w:bottom w:w="15" w:type="dxa"/>
            <w:right w:w="15" w:type="dxa"/>
          </w:tblCellMar>
        </w:tblPrEx>
        <w:trPr>
          <w:trHeight w:val="1755" w:hRule="atLeast"/>
        </w:trPr>
        <w:tc>
          <w:tcPr>
            <w:tcW w:w="9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1</w:t>
            </w:r>
          </w:p>
        </w:tc>
        <w:tc>
          <w:tcPr>
            <w:tcW w:w="13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单人位电脑桌（含独立抽屉柜）</w:t>
            </w:r>
          </w:p>
        </w:tc>
        <w:tc>
          <w:tcPr>
            <w:tcW w:w="165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1.2*0.6*0.75</w:t>
            </w:r>
          </w:p>
        </w:tc>
        <w:tc>
          <w:tcPr>
            <w:tcW w:w="9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原木色</w:t>
            </w:r>
          </w:p>
        </w:tc>
        <w:tc>
          <w:tcPr>
            <w:tcW w:w="451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 xml:space="preserve">    钢架结构，桌面采用E1级三聚氰胺面板。外观亮丽，纹理细腻，硬度高，有防水、耐腐蚀、耐磨、耐划、耐热、耐污染、防静电、易于清洁等性能。专业定制PVC封边，厚度≥1mm。          </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 xml:space="preserve">    环保达到GB18584-2001E1级标准，甲醛≤1.5mg/L。环保指标：游离甲醛量≤1.5mg/L（符合国家标准）。 </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 xml:space="preserve">    基材采用优质实木颗粒板，有良好的吸音和隔音功能，内部为交叉错落的颗粒状结构，承重力好，表面平整，纹理逼真，容重均匀，厚度误差小，耐污染，耐老化，用胶量小，环保系数高，全部五金链接，易拆装。                    </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 xml:space="preserve">    家具配件全部三合一扣件，能使板材之间加固锁紧，外表看不到配件。                         </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35套</w:t>
            </w:r>
          </w:p>
        </w:tc>
      </w:tr>
      <w:tr>
        <w:tblPrEx>
          <w:tblLayout w:type="fixed"/>
          <w:tblCellMar>
            <w:top w:w="15" w:type="dxa"/>
            <w:left w:w="15" w:type="dxa"/>
            <w:bottom w:w="15" w:type="dxa"/>
            <w:right w:w="15" w:type="dxa"/>
          </w:tblCellMar>
        </w:tblPrEx>
        <w:trPr>
          <w:trHeight w:val="1635" w:hRule="atLeast"/>
        </w:trPr>
        <w:tc>
          <w:tcPr>
            <w:tcW w:w="93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4"/>
                <w:szCs w:val="24"/>
              </w:rPr>
            </w:pPr>
            <w:r>
              <w:rPr>
                <w:rFonts w:hint="eastAsia" w:ascii="宋体" w:hAnsi="宋体" w:eastAsia="宋体" w:cs="宋体"/>
                <w:color w:val="000000"/>
                <w:sz w:val="24"/>
                <w:szCs w:val="24"/>
              </w:rPr>
              <w:t>2</w:t>
            </w:r>
          </w:p>
        </w:tc>
        <w:tc>
          <w:tcPr>
            <w:tcW w:w="13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面对面双人位电脑桌（含独立抽屉柜）</w:t>
            </w:r>
          </w:p>
        </w:tc>
        <w:tc>
          <w:tcPr>
            <w:tcW w:w="165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1.2*1.2*0.75</w:t>
            </w:r>
          </w:p>
        </w:tc>
        <w:tc>
          <w:tcPr>
            <w:tcW w:w="9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原木色</w:t>
            </w:r>
          </w:p>
        </w:tc>
        <w:tc>
          <w:tcPr>
            <w:tcW w:w="451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eastAsia="宋体" w:cs="宋体"/>
                <w:color w:val="000000"/>
                <w:sz w:val="24"/>
                <w:szCs w:val="24"/>
              </w:rPr>
            </w:pP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23套</w:t>
            </w:r>
          </w:p>
        </w:tc>
      </w:tr>
      <w:tr>
        <w:tblPrEx>
          <w:tblLayout w:type="fixed"/>
          <w:tblCellMar>
            <w:top w:w="15" w:type="dxa"/>
            <w:left w:w="15" w:type="dxa"/>
            <w:bottom w:w="15" w:type="dxa"/>
            <w:right w:w="15" w:type="dxa"/>
          </w:tblCellMar>
        </w:tblPrEx>
        <w:trPr>
          <w:trHeight w:val="1500" w:hRule="atLeast"/>
        </w:trPr>
        <w:tc>
          <w:tcPr>
            <w:tcW w:w="93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4"/>
                <w:szCs w:val="24"/>
              </w:rPr>
            </w:pPr>
            <w:r>
              <w:rPr>
                <w:rFonts w:hint="eastAsia" w:ascii="宋体" w:hAnsi="宋体" w:eastAsia="宋体" w:cs="宋体"/>
                <w:color w:val="000000"/>
                <w:sz w:val="24"/>
                <w:szCs w:val="24"/>
              </w:rPr>
              <w:t>3</w:t>
            </w:r>
          </w:p>
        </w:tc>
        <w:tc>
          <w:tcPr>
            <w:tcW w:w="13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面对面四人位电脑桌（含独立抽屉柜）</w:t>
            </w:r>
          </w:p>
        </w:tc>
        <w:tc>
          <w:tcPr>
            <w:tcW w:w="165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2.4*1.2*0.75</w:t>
            </w:r>
          </w:p>
        </w:tc>
        <w:tc>
          <w:tcPr>
            <w:tcW w:w="9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原木色</w:t>
            </w:r>
          </w:p>
        </w:tc>
        <w:tc>
          <w:tcPr>
            <w:tcW w:w="451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eastAsia="宋体" w:cs="宋体"/>
                <w:color w:val="000000"/>
                <w:sz w:val="24"/>
                <w:szCs w:val="24"/>
              </w:rPr>
            </w:pP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83套</w:t>
            </w:r>
          </w:p>
        </w:tc>
      </w:tr>
      <w:tr>
        <w:tblPrEx>
          <w:tblLayout w:type="fixed"/>
          <w:tblCellMar>
            <w:top w:w="15" w:type="dxa"/>
            <w:left w:w="15" w:type="dxa"/>
            <w:bottom w:w="15" w:type="dxa"/>
            <w:right w:w="15" w:type="dxa"/>
          </w:tblCellMar>
        </w:tblPrEx>
        <w:trPr>
          <w:trHeight w:val="1340" w:hRule="atLeast"/>
        </w:trPr>
        <w:tc>
          <w:tcPr>
            <w:tcW w:w="933"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4</w:t>
            </w:r>
          </w:p>
        </w:tc>
        <w:tc>
          <w:tcPr>
            <w:tcW w:w="1392"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单人弓形椅</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4"/>
                <w:szCs w:val="24"/>
              </w:rPr>
            </w:pPr>
            <w:r>
              <w:rPr>
                <w:rFonts w:hint="eastAsia" w:ascii="宋体" w:hAnsi="宋体" w:eastAsia="宋体" w:cs="宋体"/>
                <w:color w:val="000000"/>
                <w:sz w:val="24"/>
                <w:szCs w:val="24"/>
              </w:rPr>
              <w:t>0.55</w:t>
            </w:r>
            <w:r>
              <w:rPr>
                <w:rFonts w:hint="eastAsia" w:ascii="宋体" w:hAnsi="宋体" w:eastAsia="宋体" w:cs="宋体"/>
                <w:color w:val="000000"/>
                <w:kern w:val="0"/>
                <w:sz w:val="24"/>
                <w:szCs w:val="24"/>
              </w:rPr>
              <w:t>*0.50*1</w:t>
            </w:r>
          </w:p>
        </w:tc>
        <w:tc>
          <w:tcPr>
            <w:tcW w:w="9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黑色</w:t>
            </w:r>
          </w:p>
        </w:tc>
        <w:tc>
          <w:tcPr>
            <w:tcW w:w="451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采用优质PU面料、手感好、韧性好、耐磨程度高。底座采用优质弓形钢架、光泽好、承重力好、稳定性好。</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413把</w:t>
            </w:r>
          </w:p>
        </w:tc>
      </w:tr>
      <w:tr>
        <w:tblPrEx>
          <w:tblLayout w:type="fixed"/>
          <w:tblCellMar>
            <w:top w:w="15" w:type="dxa"/>
            <w:left w:w="15" w:type="dxa"/>
            <w:bottom w:w="15" w:type="dxa"/>
            <w:right w:w="15" w:type="dxa"/>
          </w:tblCellMar>
        </w:tblPrEx>
        <w:trPr>
          <w:trHeight w:val="5970" w:hRule="atLeast"/>
        </w:trPr>
        <w:tc>
          <w:tcPr>
            <w:tcW w:w="93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rPr>
              <w:t>5</w:t>
            </w:r>
          </w:p>
        </w:tc>
        <w:tc>
          <w:tcPr>
            <w:tcW w:w="139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会议桌（含8把椅子）</w:t>
            </w:r>
          </w:p>
        </w:tc>
        <w:tc>
          <w:tcPr>
            <w:tcW w:w="1659"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2.6*1.3*0.75</w:t>
            </w:r>
          </w:p>
        </w:tc>
        <w:tc>
          <w:tcPr>
            <w:tcW w:w="9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柚木色</w:t>
            </w:r>
          </w:p>
        </w:tc>
        <w:tc>
          <w:tcPr>
            <w:tcW w:w="451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 xml:space="preserve">    钢架结构，桌面采用E1级三聚氰胺面板。外观亮丽，纹理细腻，硬度高，有防水、耐腐蚀、耐磨、耐划、耐热、耐污染、防静电、易于清洁等性能。专业定制PVC封边，厚度≥1mm。          </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 xml:space="preserve">    环保达到GB18584-2001E1级标准，甲醛≤1.5mg/L。环保指标：游离甲醛量≤1.5mg/L（符合国家标准）。 </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 xml:space="preserve">    基材采用优质实木颗粒板，有良好的吸音和隔音功能，内部为交叉错落的颗粒状结构，承重力好，表面平整，纹理逼真，容重均匀，厚度误差小，耐污染，耐老化，用胶量小，环保系数高，全部五金链接，易拆装。                    </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 xml:space="preserve">    家具配件全部三合一扣件，能使板材之间加固锁紧，外表看不到配件。                      </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 xml:space="preserve">    椅子：采用优质棉网面料、海绵采用优质高回弹一次成型海棉，座面密度≥35KG/m³，回弹力90%手感好、韧性好、耐磨程度高。底座采用优质弓形钢架、外贸电镀工艺、光泽好、承重力好、稳定性好。                       </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1套</w:t>
            </w:r>
          </w:p>
        </w:tc>
      </w:tr>
      <w:tr>
        <w:tblPrEx>
          <w:tblLayout w:type="fixed"/>
          <w:tblCellMar>
            <w:top w:w="15" w:type="dxa"/>
            <w:left w:w="15" w:type="dxa"/>
            <w:bottom w:w="15" w:type="dxa"/>
            <w:right w:w="15" w:type="dxa"/>
          </w:tblCellMar>
        </w:tblPrEx>
        <w:trPr>
          <w:trHeight w:val="5940" w:hRule="atLeast"/>
        </w:trPr>
        <w:tc>
          <w:tcPr>
            <w:tcW w:w="933" w:type="dxa"/>
            <w:tcBorders>
              <w:top w:val="single" w:color="auto" w:sz="4" w:space="0"/>
              <w:left w:val="single" w:color="auto" w:sz="4" w:space="0"/>
              <w:bottom w:val="single" w:color="000000" w:sz="4" w:space="0"/>
              <w:right w:val="single" w:color="000000" w:sz="4" w:space="0"/>
            </w:tcBorders>
            <w:vAlign w:val="center"/>
          </w:tcPr>
          <w:p>
            <w:pPr>
              <w:jc w:val="center"/>
              <w:rPr>
                <w:rFonts w:ascii="宋体" w:hAnsi="宋体" w:eastAsia="宋体" w:cs="宋体"/>
                <w:color w:val="000000"/>
                <w:sz w:val="24"/>
                <w:szCs w:val="24"/>
              </w:rPr>
            </w:pPr>
            <w:r>
              <w:rPr>
                <w:rFonts w:hint="eastAsia" w:ascii="宋体" w:hAnsi="宋体" w:eastAsia="宋体" w:cs="宋体"/>
                <w:color w:val="000000"/>
                <w:sz w:val="24"/>
                <w:szCs w:val="24"/>
              </w:rPr>
              <w:t>6</w:t>
            </w:r>
          </w:p>
        </w:tc>
        <w:tc>
          <w:tcPr>
            <w:tcW w:w="1392" w:type="dxa"/>
            <w:tcBorders>
              <w:top w:val="single" w:color="auto"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会议桌（含14把椅子）</w:t>
            </w:r>
          </w:p>
        </w:tc>
        <w:tc>
          <w:tcPr>
            <w:tcW w:w="1659"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4*1.5*0.75</w:t>
            </w:r>
          </w:p>
        </w:tc>
        <w:tc>
          <w:tcPr>
            <w:tcW w:w="939"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柚木色</w:t>
            </w:r>
          </w:p>
        </w:tc>
        <w:tc>
          <w:tcPr>
            <w:tcW w:w="4512" w:type="dxa"/>
            <w:tcBorders>
              <w:left w:val="single" w:color="000000" w:sz="4" w:space="0"/>
              <w:bottom w:val="single" w:color="auto" w:sz="4" w:space="0"/>
              <w:right w:val="single" w:color="000000" w:sz="4" w:space="0"/>
            </w:tcBorders>
            <w:vAlign w:val="center"/>
          </w:tcPr>
          <w:p>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 xml:space="preserve">    钢架结构，桌面采用E1级三聚氰胺面板。外观亮丽，纹理细腻，硬度高，有防水、耐腐蚀、耐磨、耐划、耐热、耐污染、防静电、易于清洁等性能。专业定制PVC封边，厚度≥1mm。          </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 xml:space="preserve">    环保达到GB18584-2001E1级标准，甲醛≤1.5mg/L。环保指标：游离甲醛量≤1.5mg/L（符合国家标准）。 </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 xml:space="preserve">    基材采用优质实木颗粒板，有良好的吸音和隔音功能，内部为交叉错落的颗粒状结构，承重力好，表面平整，纹理逼真，容重均匀，厚度误差小，耐污染，耐老化，用胶量小，环保系数高，全部五金链接，易拆装。                    </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 xml:space="preserve">    家具配件全部三合一扣件，能使板材之间加固锁紧，外表看不到配件。                        </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 xml:space="preserve">   椅子：采用优质仿真皮，海绵采用优质高回弹一次成型海棉，座面密度≥35KG/m³，背面密度≥30KG/m³，回弹力90%，手感好、韧性好、耐磨程度高。底座采用优质弓形钢架、光泽好、承重力好、稳定性好。           </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1套</w:t>
            </w:r>
          </w:p>
        </w:tc>
      </w:tr>
      <w:tr>
        <w:tblPrEx>
          <w:tblLayout w:type="fixed"/>
          <w:tblCellMar>
            <w:top w:w="15" w:type="dxa"/>
            <w:left w:w="15" w:type="dxa"/>
            <w:bottom w:w="15" w:type="dxa"/>
            <w:right w:w="15" w:type="dxa"/>
          </w:tblCellMar>
        </w:tblPrEx>
        <w:trPr>
          <w:trHeight w:val="5450" w:hRule="atLeast"/>
        </w:trPr>
        <w:tc>
          <w:tcPr>
            <w:tcW w:w="9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rPr>
              <w:t>7</w:t>
            </w:r>
          </w:p>
        </w:tc>
        <w:tc>
          <w:tcPr>
            <w:tcW w:w="1392"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会议桌</w:t>
            </w:r>
          </w:p>
        </w:tc>
        <w:tc>
          <w:tcPr>
            <w:tcW w:w="165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8*1.8*0.75</w:t>
            </w:r>
          </w:p>
        </w:tc>
        <w:tc>
          <w:tcPr>
            <w:tcW w:w="93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柚木色</w:t>
            </w:r>
          </w:p>
        </w:tc>
        <w:tc>
          <w:tcPr>
            <w:tcW w:w="4512"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 xml:space="preserve">    桌面采用E1级三聚氰胺面板。外观亮丽、纹理细腻、硬度高、有防水、耐腐蚀、耐磨、耐划、耐热、耐污染、防静电、易于清洁等性能。专业定制PVC封边，厚度≥1mm。          </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 xml:space="preserve">    环保达到GB18584-2001E1级标准，甲醛≤1.5mg/L。环保指标：游离甲醛量≤1.5mg/L（符合国家标准）。 </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 xml:space="preserve">    基材采用优质实木颗粒板，有良好的吸音和隔音功能，内部为交叉错落的颗粒状结构，承重力好，表面平整，纹理逼真，容重均匀，厚度误差小，耐污染，耐老化，美观，用胶量小，环保系数高，全部五金链接，易拆装。                    </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 xml:space="preserve">    家具配件全部三合一扣件，能使板材之间加固锁紧，外表看不到配件。                        </w:t>
            </w:r>
            <w:r>
              <w:rPr>
                <w:rFonts w:hint="eastAsia" w:ascii="宋体" w:hAnsi="宋体" w:eastAsia="宋体" w:cs="宋体"/>
                <w:color w:val="000000"/>
                <w:kern w:val="0"/>
                <w:sz w:val="24"/>
                <w:szCs w:val="24"/>
              </w:rPr>
              <w:br w:type="textWrapping"/>
            </w:r>
          </w:p>
        </w:tc>
        <w:tc>
          <w:tcPr>
            <w:tcW w:w="1275"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2张</w:t>
            </w:r>
          </w:p>
        </w:tc>
      </w:tr>
      <w:tr>
        <w:tblPrEx>
          <w:tblLayout w:type="fixed"/>
          <w:tblCellMar>
            <w:top w:w="15" w:type="dxa"/>
            <w:left w:w="15" w:type="dxa"/>
            <w:bottom w:w="15" w:type="dxa"/>
            <w:right w:w="15" w:type="dxa"/>
          </w:tblCellMar>
        </w:tblPrEx>
        <w:trPr>
          <w:trHeight w:val="1615" w:hRule="atLeast"/>
        </w:trPr>
        <w:tc>
          <w:tcPr>
            <w:tcW w:w="93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4"/>
                <w:szCs w:val="24"/>
              </w:rPr>
            </w:pPr>
            <w:r>
              <w:rPr>
                <w:rFonts w:hint="eastAsia" w:ascii="宋体" w:hAnsi="宋体" w:eastAsia="宋体" w:cs="宋体"/>
                <w:color w:val="000000"/>
                <w:sz w:val="24"/>
                <w:szCs w:val="24"/>
              </w:rPr>
              <w:t>8</w:t>
            </w:r>
          </w:p>
        </w:tc>
        <w:tc>
          <w:tcPr>
            <w:tcW w:w="13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单人弓形椅</w:t>
            </w:r>
          </w:p>
        </w:tc>
        <w:tc>
          <w:tcPr>
            <w:tcW w:w="1659" w:type="dxa"/>
            <w:tcBorders>
              <w:top w:val="single" w:color="auto"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4"/>
                <w:szCs w:val="24"/>
              </w:rPr>
            </w:pPr>
            <w:r>
              <w:rPr>
                <w:rFonts w:hint="eastAsia" w:ascii="宋体" w:hAnsi="宋体" w:eastAsia="宋体" w:cs="宋体"/>
                <w:color w:val="000000"/>
                <w:sz w:val="24"/>
                <w:szCs w:val="24"/>
              </w:rPr>
              <w:t>0.56</w:t>
            </w:r>
            <w:r>
              <w:rPr>
                <w:rFonts w:hint="eastAsia" w:ascii="宋体" w:hAnsi="宋体" w:eastAsia="宋体" w:cs="宋体"/>
                <w:color w:val="000000"/>
                <w:kern w:val="0"/>
                <w:sz w:val="24"/>
                <w:szCs w:val="24"/>
              </w:rPr>
              <w:t>*0.54*0.95</w:t>
            </w:r>
          </w:p>
        </w:tc>
        <w:tc>
          <w:tcPr>
            <w:tcW w:w="939" w:type="dxa"/>
            <w:tcBorders>
              <w:top w:val="single" w:color="auto"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黑色</w:t>
            </w:r>
          </w:p>
        </w:tc>
        <w:tc>
          <w:tcPr>
            <w:tcW w:w="4512" w:type="dxa"/>
            <w:tcBorders>
              <w:top w:val="single" w:color="auto"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采用优质PU面料，手感好、韧性好、耐磨程度高。底座采用优质弓形钢架，光泽好、承重力好、稳定性好。</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70把</w:t>
            </w:r>
          </w:p>
        </w:tc>
      </w:tr>
      <w:tr>
        <w:tblPrEx>
          <w:tblLayout w:type="fixed"/>
          <w:tblCellMar>
            <w:top w:w="15" w:type="dxa"/>
            <w:left w:w="15" w:type="dxa"/>
            <w:bottom w:w="15" w:type="dxa"/>
            <w:right w:w="15" w:type="dxa"/>
          </w:tblCellMar>
        </w:tblPrEx>
        <w:trPr>
          <w:trHeight w:val="3945" w:hRule="atLeast"/>
        </w:trPr>
        <w:tc>
          <w:tcPr>
            <w:tcW w:w="9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9</w:t>
            </w:r>
          </w:p>
        </w:tc>
        <w:tc>
          <w:tcPr>
            <w:tcW w:w="13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沙发（三人位+单人位+加长茶几）</w:t>
            </w:r>
          </w:p>
        </w:tc>
        <w:tc>
          <w:tcPr>
            <w:tcW w:w="165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三人位沙发1.75*0.7*0.66</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单人位沙发0.78*0.7*0.66</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加长茶几1.2*0.6*0.45</w:t>
            </w:r>
          </w:p>
        </w:tc>
        <w:tc>
          <w:tcPr>
            <w:tcW w:w="9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黑色</w:t>
            </w:r>
          </w:p>
        </w:tc>
        <w:tc>
          <w:tcPr>
            <w:tcW w:w="451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 xml:space="preserve">    沙发采用优质进口PU面料，海绵采用优质高回弹一次成型海棉，座面密度≥35KG/m3，背密度≥30KG/m3，回弹力90%，涂防老化变形保护膜，优质钢架结构。                      </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 xml:space="preserve">    茶几采用黑色耐高温玻璃面，耐磨、耐划、优质钢架。</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2套</w:t>
            </w:r>
          </w:p>
        </w:tc>
      </w:tr>
      <w:tr>
        <w:tblPrEx>
          <w:tblLayout w:type="fixed"/>
          <w:tblCellMar>
            <w:top w:w="15" w:type="dxa"/>
            <w:left w:w="15" w:type="dxa"/>
            <w:bottom w:w="15" w:type="dxa"/>
            <w:right w:w="15" w:type="dxa"/>
          </w:tblCellMar>
        </w:tblPrEx>
        <w:trPr>
          <w:trHeight w:val="6030" w:hRule="atLeast"/>
        </w:trPr>
        <w:tc>
          <w:tcPr>
            <w:tcW w:w="9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10</w:t>
            </w:r>
          </w:p>
        </w:tc>
        <w:tc>
          <w:tcPr>
            <w:tcW w:w="13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组合桌椅、书柜</w:t>
            </w:r>
          </w:p>
        </w:tc>
        <w:tc>
          <w:tcPr>
            <w:tcW w:w="165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大班台2.0*0.88*0.75</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副柜1.8*0.5*0.75</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文件柜2.4*0.4*2</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单人椅1把</w:t>
            </w:r>
          </w:p>
        </w:tc>
        <w:tc>
          <w:tcPr>
            <w:tcW w:w="9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雅典</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胡桃木色</w:t>
            </w:r>
          </w:p>
        </w:tc>
        <w:tc>
          <w:tcPr>
            <w:tcW w:w="451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 xml:space="preserve">    大班台、书柜、采用E1级三聚氰胺面板。外观亮丽，纹理细腻，硬度高，有防水、耐腐蚀、耐磨、耐划、耐热、耐污染、防静电、易于清洁等性能。专业定制PVC封边，厚度≥1mm。          </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 xml:space="preserve">    环保达到GB18584-2001E1级标准，甲醛≤1.5mg/L。环保指标：游离甲醛量≤1.5mg/L（符合国家标准）。 </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 xml:space="preserve">    基材采用优质实木颗粒板，有良好的吸音和隔音功能，内部为交叉错落的颗粒状结构，承重力好，表面平整，纹理逼真，容重均匀，厚度误差小，耐污染，耐老化，用胶量小，环保系数高。           </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 xml:space="preserve">    家具配件全部三合一扣件，能使板材之间加固锁紧，外表看不到配件。                      </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 xml:space="preserve">    椅子：采用优质棉网面料、海绵采用优质高回弹一次成型海棉，座面密度≥35KG/m³，回弹力90%，手感好、韧性好、耐磨程度高。底座采用优质弓形钢架，光泽好、承重力好、稳定性好。        </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3套</w:t>
            </w:r>
          </w:p>
        </w:tc>
      </w:tr>
      <w:tr>
        <w:tblPrEx>
          <w:tblLayout w:type="fixed"/>
          <w:tblCellMar>
            <w:top w:w="15" w:type="dxa"/>
            <w:left w:w="15" w:type="dxa"/>
            <w:bottom w:w="15" w:type="dxa"/>
            <w:right w:w="15" w:type="dxa"/>
          </w:tblCellMar>
        </w:tblPrEx>
        <w:trPr>
          <w:trHeight w:val="2280" w:hRule="atLeast"/>
        </w:trPr>
        <w:tc>
          <w:tcPr>
            <w:tcW w:w="9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11</w:t>
            </w:r>
          </w:p>
        </w:tc>
        <w:tc>
          <w:tcPr>
            <w:tcW w:w="13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4人位咖啡桌、椅</w:t>
            </w:r>
          </w:p>
        </w:tc>
        <w:tc>
          <w:tcPr>
            <w:tcW w:w="165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1.4*0.7*.075</w:t>
            </w:r>
          </w:p>
        </w:tc>
        <w:tc>
          <w:tcPr>
            <w:tcW w:w="9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松木色</w:t>
            </w:r>
          </w:p>
        </w:tc>
        <w:tc>
          <w:tcPr>
            <w:tcW w:w="451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 xml:space="preserve">   桌子采用E1级三聚氰胺面板。外观亮丽，纹理细腻，硬度高，有防水、耐腐蚀、耐磨、耐划、耐热、耐污染、防静电、易于清洁等性能。                              </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 xml:space="preserve">   椅子采用优质PU面料、手感好、韧性好、耐磨程度高。底座采用优质钢架、光泽好承重力好、稳定性好。</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8套</w:t>
            </w:r>
          </w:p>
        </w:tc>
      </w:tr>
      <w:tr>
        <w:tblPrEx>
          <w:tblLayout w:type="fixed"/>
          <w:tblCellMar>
            <w:top w:w="15" w:type="dxa"/>
            <w:left w:w="15" w:type="dxa"/>
            <w:bottom w:w="15" w:type="dxa"/>
            <w:right w:w="15" w:type="dxa"/>
          </w:tblCellMar>
        </w:tblPrEx>
        <w:trPr>
          <w:trHeight w:val="1755" w:hRule="atLeast"/>
        </w:trPr>
        <w:tc>
          <w:tcPr>
            <w:tcW w:w="9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12</w:t>
            </w:r>
          </w:p>
        </w:tc>
        <w:tc>
          <w:tcPr>
            <w:tcW w:w="13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4米前台</w:t>
            </w:r>
          </w:p>
        </w:tc>
        <w:tc>
          <w:tcPr>
            <w:tcW w:w="165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4*0.6*1</w:t>
            </w:r>
          </w:p>
        </w:tc>
        <w:tc>
          <w:tcPr>
            <w:tcW w:w="9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原木色</w:t>
            </w:r>
          </w:p>
        </w:tc>
        <w:tc>
          <w:tcPr>
            <w:tcW w:w="451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 xml:space="preserve">   桌面采用三聚氰胺饰面板。铁架结构，面板外观美丽，硬度高，有防水、耐腐蚀、耐磨、耐划、耐热、耐污染、防静电、无污染、无气味、易于清洁等性能。</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1套</w:t>
            </w:r>
          </w:p>
        </w:tc>
      </w:tr>
      <w:tr>
        <w:tblPrEx>
          <w:tblLayout w:type="fixed"/>
          <w:tblCellMar>
            <w:top w:w="15" w:type="dxa"/>
            <w:left w:w="15" w:type="dxa"/>
            <w:bottom w:w="15" w:type="dxa"/>
            <w:right w:w="15" w:type="dxa"/>
          </w:tblCellMar>
        </w:tblPrEx>
        <w:trPr>
          <w:trHeight w:val="5835" w:hRule="atLeast"/>
        </w:trPr>
        <w:tc>
          <w:tcPr>
            <w:tcW w:w="9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13</w:t>
            </w:r>
          </w:p>
        </w:tc>
        <w:tc>
          <w:tcPr>
            <w:tcW w:w="13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桌椅1套（大班台带副柜）</w:t>
            </w:r>
          </w:p>
        </w:tc>
        <w:tc>
          <w:tcPr>
            <w:tcW w:w="165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2.1*1.6*0.75</w:t>
            </w:r>
          </w:p>
        </w:tc>
        <w:tc>
          <w:tcPr>
            <w:tcW w:w="9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胡桃色</w:t>
            </w:r>
          </w:p>
        </w:tc>
        <w:tc>
          <w:tcPr>
            <w:tcW w:w="451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 xml:space="preserve">    桌面采用E1级三聚氰胺面板。外观亮丽，纹理细腻，硬度高，有防水、耐腐蚀、耐磨、耐划、耐热、耐污染、防静电、易于清洁等性能。专业定制PVC封边，厚度≥1mm。          </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 xml:space="preserve">    环保达到GB18584-2001E1级标准，甲醛≤1.5mg/L。环保指标：游离甲醛量≤1.5mg/L（符合国家标准）。 </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 xml:space="preserve">    基材采用优质实木颗粒板，有良好的吸音和隔音功能，内部为交叉错落的颗粒状结构，承重力好，表面平整，纹理逼真，容重均匀，厚度误差小，耐污染，耐老化，用胶量小，环保系数高，全部五金链接，易拆装。                    </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 xml:space="preserve">    家具配件全部三合一扣件，能使板材之间加固锁紧，外表看不到配件。                      </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 xml:space="preserve">    椅子：采用优质棉网面料、海绵采用优质高回弹一次成型海棉，座面密度≥35KG/m³，回弹力90%，手感好、韧性好、耐磨程度高。底座采用优质弓形钢架，光泽好、承重力好、稳定性好。                       </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1套</w:t>
            </w:r>
          </w:p>
        </w:tc>
      </w:tr>
      <w:tr>
        <w:tblPrEx>
          <w:tblLayout w:type="fixed"/>
          <w:tblCellMar>
            <w:top w:w="15" w:type="dxa"/>
            <w:left w:w="15" w:type="dxa"/>
            <w:bottom w:w="15" w:type="dxa"/>
            <w:right w:w="15" w:type="dxa"/>
          </w:tblCellMar>
        </w:tblPrEx>
        <w:trPr>
          <w:trHeight w:val="3855" w:hRule="atLeast"/>
        </w:trPr>
        <w:tc>
          <w:tcPr>
            <w:tcW w:w="9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rPr>
              <w:t>14</w:t>
            </w:r>
          </w:p>
        </w:tc>
        <w:tc>
          <w:tcPr>
            <w:tcW w:w="13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落地镜、梳妆台、沙发</w:t>
            </w:r>
          </w:p>
        </w:tc>
        <w:tc>
          <w:tcPr>
            <w:tcW w:w="165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1.66*0.34</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1*0.6</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1+1+3</w:t>
            </w:r>
          </w:p>
        </w:tc>
        <w:tc>
          <w:tcPr>
            <w:tcW w:w="5451" w:type="dxa"/>
            <w:gridSpan w:val="2"/>
            <w:tcBorders>
              <w:top w:val="single" w:color="000000" w:sz="4" w:space="0"/>
              <w:left w:val="single" w:color="000000" w:sz="4" w:space="0"/>
              <w:bottom w:val="single" w:color="000000" w:sz="4" w:space="0"/>
              <w:right w:val="single" w:color="000000" w:sz="4" w:space="0"/>
            </w:tcBorders>
            <w:vAlign w:val="center"/>
          </w:tcPr>
          <w:p>
            <w:pPr>
              <w:widowControl/>
              <w:ind w:firstLine="480"/>
              <w:jc w:val="left"/>
              <w:textAlignment w:val="center"/>
              <w:rPr>
                <w:rStyle w:val="52"/>
                <w:rFonts w:hint="default"/>
              </w:rPr>
            </w:pPr>
            <w:r>
              <w:rPr>
                <w:rStyle w:val="51"/>
                <w:rFonts w:hint="default"/>
              </w:rPr>
              <w:t xml:space="preserve">落地镜：实木框架，框架采用雕刻工艺，做工细腻、色泽亮丽。                                </w:t>
            </w:r>
            <w:r>
              <w:rPr>
                <w:rStyle w:val="51"/>
                <w:rFonts w:hint="default"/>
              </w:rPr>
              <w:br w:type="textWrapping"/>
            </w:r>
            <w:r>
              <w:rPr>
                <w:rStyle w:val="51"/>
                <w:rFonts w:hint="default"/>
              </w:rPr>
              <w:t xml:space="preserve">    梳妆台采用E1级优质高密度板，承重力好，表面平整，纹理逼真，容重均匀，厚度误差小，耐污染，耐老化，用胶量小，环保系数高，全部五金链接，易拆装。                                                                                                                                      </w:t>
            </w:r>
            <w:r>
              <w:rPr>
                <w:rStyle w:val="51"/>
                <w:rFonts w:hint="default"/>
              </w:rPr>
              <w:br w:type="textWrapping"/>
            </w:r>
            <w:r>
              <w:rPr>
                <w:rStyle w:val="52"/>
                <w:rFonts w:hint="default"/>
              </w:rPr>
              <w:t>沙发采用优质环保皮、海绵采用优质高回弹一次成型PU泡棉，座面密度≥35KG/m3，背密度≥30KG/m3，回弹力90%，涂防老化变形保护膜，优质钢架底座。</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3套</w:t>
            </w:r>
          </w:p>
        </w:tc>
      </w:tr>
      <w:tr>
        <w:tblPrEx>
          <w:tblLayout w:type="fixed"/>
          <w:tblCellMar>
            <w:top w:w="15" w:type="dxa"/>
            <w:left w:w="15" w:type="dxa"/>
            <w:bottom w:w="15" w:type="dxa"/>
            <w:right w:w="15" w:type="dxa"/>
          </w:tblCellMar>
        </w:tblPrEx>
        <w:trPr>
          <w:trHeight w:val="635" w:hRule="atLeast"/>
        </w:trPr>
        <w:tc>
          <w:tcPr>
            <w:tcW w:w="9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15</w:t>
            </w:r>
          </w:p>
        </w:tc>
        <w:tc>
          <w:tcPr>
            <w:tcW w:w="13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单人位沙发</w:t>
            </w:r>
          </w:p>
        </w:tc>
        <w:tc>
          <w:tcPr>
            <w:tcW w:w="1659"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0.8*0.9</w:t>
            </w:r>
          </w:p>
        </w:tc>
        <w:tc>
          <w:tcPr>
            <w:tcW w:w="5451" w:type="dxa"/>
            <w:gridSpan w:val="2"/>
            <w:tcBorders>
              <w:top w:val="single" w:color="000000" w:sz="4" w:space="0"/>
              <w:left w:val="single" w:color="000000" w:sz="4" w:space="0"/>
              <w:bottom w:val="single" w:color="auto" w:sz="4" w:space="0"/>
              <w:right w:val="single" w:color="000000" w:sz="4" w:space="0"/>
            </w:tcBorders>
            <w:vAlign w:val="center"/>
          </w:tcPr>
          <w:p>
            <w:pPr>
              <w:widowControl/>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    采用优质橡木框架、符合人体工程学原理，座面采用优质环保皮，色泽亮丽、手感细腻、海绵采用优质高回弹一次成型海棉，座面密度≥35KG/m3，背密度≥30KG/m3，回弹力90%，涂防老化变形保护膜。优质钢架底座。</w:t>
            </w:r>
          </w:p>
          <w:p>
            <w:pPr>
              <w:widowControl/>
              <w:jc w:val="left"/>
              <w:textAlignment w:val="center"/>
              <w:rPr>
                <w:rFonts w:ascii="宋体" w:hAnsi="宋体" w:eastAsia="宋体" w:cs="宋体"/>
                <w:color w:val="000000"/>
                <w:kern w:val="0"/>
                <w:sz w:val="24"/>
                <w:szCs w:val="24"/>
              </w:rPr>
            </w:pPr>
          </w:p>
          <w:p>
            <w:pPr>
              <w:widowControl/>
              <w:jc w:val="left"/>
              <w:textAlignment w:val="center"/>
              <w:rPr>
                <w:rFonts w:ascii="宋体" w:hAnsi="宋体" w:eastAsia="宋体" w:cs="宋体"/>
                <w:color w:val="000000"/>
                <w:sz w:val="24"/>
                <w:szCs w:val="24"/>
              </w:rPr>
            </w:pP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6台</w:t>
            </w:r>
          </w:p>
        </w:tc>
      </w:tr>
      <w:tr>
        <w:tblPrEx>
          <w:tblLayout w:type="fixed"/>
          <w:tblCellMar>
            <w:top w:w="15" w:type="dxa"/>
            <w:left w:w="15" w:type="dxa"/>
            <w:bottom w:w="15" w:type="dxa"/>
            <w:right w:w="15" w:type="dxa"/>
          </w:tblCellMar>
        </w:tblPrEx>
        <w:trPr>
          <w:trHeight w:val="1140" w:hRule="atLeast"/>
        </w:trPr>
        <w:tc>
          <w:tcPr>
            <w:tcW w:w="93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4"/>
                <w:szCs w:val="24"/>
              </w:rPr>
            </w:pPr>
            <w:r>
              <w:rPr>
                <w:rFonts w:hint="eastAsia" w:ascii="宋体" w:hAnsi="宋体" w:eastAsia="宋体" w:cs="宋体"/>
                <w:color w:val="000000"/>
                <w:sz w:val="24"/>
                <w:szCs w:val="24"/>
              </w:rPr>
              <w:t>16</w:t>
            </w:r>
          </w:p>
        </w:tc>
        <w:tc>
          <w:tcPr>
            <w:tcW w:w="1392"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茶几</w:t>
            </w:r>
          </w:p>
        </w:tc>
        <w:tc>
          <w:tcPr>
            <w:tcW w:w="1659" w:type="dxa"/>
            <w:tcBorders>
              <w:top w:val="single" w:color="auto" w:sz="4" w:space="0"/>
              <w:left w:val="single" w:color="auto" w:sz="4" w:space="0"/>
              <w:bottom w:val="single" w:color="auto" w:sz="4" w:space="0"/>
              <w:right w:val="single" w:color="000000" w:sz="4" w:space="0"/>
            </w:tcBorders>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0.6*0.6*0.6</w:t>
            </w:r>
          </w:p>
        </w:tc>
        <w:tc>
          <w:tcPr>
            <w:tcW w:w="939" w:type="dxa"/>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黑胡桃</w:t>
            </w:r>
          </w:p>
        </w:tc>
        <w:tc>
          <w:tcPr>
            <w:tcW w:w="4512" w:type="dxa"/>
            <w:tcBorders>
              <w:top w:val="single" w:color="auto" w:sz="4" w:space="0"/>
              <w:bottom w:val="single" w:color="auto" w:sz="4" w:space="0"/>
              <w:right w:val="single" w:color="auto" w:sz="4" w:space="0"/>
            </w:tcBorders>
            <w:vAlign w:val="center"/>
          </w:tcPr>
          <w:p>
            <w:pPr>
              <w:widowControl/>
              <w:jc w:val="center"/>
              <w:textAlignment w:val="top"/>
              <w:rPr>
                <w:rFonts w:ascii="宋体" w:hAnsi="宋体" w:eastAsia="宋体" w:cs="宋体"/>
                <w:color w:val="000000"/>
                <w:sz w:val="24"/>
                <w:szCs w:val="24"/>
              </w:rPr>
            </w:pPr>
            <w:r>
              <w:rPr>
                <w:rFonts w:hint="eastAsia" w:ascii="宋体" w:hAnsi="宋体" w:eastAsia="宋体" w:cs="宋体"/>
                <w:color w:val="000000"/>
                <w:kern w:val="0"/>
                <w:sz w:val="24"/>
                <w:szCs w:val="24"/>
              </w:rPr>
              <w:t>茶几采用黑色耐高温玻璃面，耐磨、耐划、优质钢架。</w:t>
            </w:r>
          </w:p>
        </w:tc>
        <w:tc>
          <w:tcPr>
            <w:tcW w:w="1275"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3张</w:t>
            </w:r>
          </w:p>
        </w:tc>
      </w:tr>
      <w:tr>
        <w:tblPrEx>
          <w:tblLayout w:type="fixed"/>
          <w:tblCellMar>
            <w:top w:w="15" w:type="dxa"/>
            <w:left w:w="15" w:type="dxa"/>
            <w:bottom w:w="15" w:type="dxa"/>
            <w:right w:w="15" w:type="dxa"/>
          </w:tblCellMar>
        </w:tblPrEx>
        <w:trPr>
          <w:trHeight w:val="525" w:hRule="atLeast"/>
        </w:trPr>
        <w:tc>
          <w:tcPr>
            <w:tcW w:w="933" w:type="dxa"/>
            <w:vMerge w:val="restart"/>
            <w:tcBorders>
              <w:top w:val="single" w:color="000000" w:sz="4" w:space="0"/>
              <w:left w:val="single" w:color="000000" w:sz="4" w:space="0"/>
              <w:right w:val="single" w:color="000000" w:sz="4" w:space="0"/>
            </w:tcBorders>
            <w:vAlign w:val="center"/>
          </w:tcPr>
          <w:p>
            <w:pPr>
              <w:jc w:val="center"/>
              <w:rPr>
                <w:rFonts w:ascii="宋体" w:hAnsi="宋体" w:eastAsia="宋体" w:cs="宋体"/>
                <w:color w:val="000000"/>
                <w:sz w:val="24"/>
                <w:szCs w:val="24"/>
              </w:rPr>
            </w:pPr>
            <w:r>
              <w:rPr>
                <w:rFonts w:hint="eastAsia" w:ascii="宋体" w:hAnsi="宋体" w:eastAsia="宋体" w:cs="宋体"/>
                <w:color w:val="000000"/>
                <w:sz w:val="24"/>
                <w:szCs w:val="24"/>
              </w:rPr>
              <w:t>17</w:t>
            </w:r>
          </w:p>
          <w:p>
            <w:pPr>
              <w:jc w:val="center"/>
              <w:textAlignment w:val="center"/>
              <w:rPr>
                <w:rFonts w:ascii="宋体" w:hAnsi="宋体" w:eastAsia="宋体" w:cs="宋体"/>
                <w:color w:val="000000"/>
                <w:sz w:val="24"/>
                <w:szCs w:val="24"/>
              </w:rPr>
            </w:pPr>
          </w:p>
        </w:tc>
        <w:tc>
          <w:tcPr>
            <w:tcW w:w="1392" w:type="dxa"/>
            <w:vMerge w:val="restart"/>
            <w:tcBorders>
              <w:top w:val="single" w:color="000000" w:sz="4" w:space="0"/>
              <w:left w:val="single" w:color="000000" w:sz="4" w:space="0"/>
              <w:right w:val="single" w:color="000000" w:sz="4" w:space="0"/>
            </w:tcBorders>
            <w:vAlign w:val="center"/>
          </w:tcPr>
          <w:p>
            <w:pPr>
              <w:jc w:val="center"/>
              <w:rPr>
                <w:rFonts w:ascii="宋体" w:hAnsi="宋体" w:eastAsia="宋体" w:cs="宋体"/>
                <w:color w:val="000000"/>
                <w:sz w:val="24"/>
                <w:szCs w:val="24"/>
              </w:rPr>
            </w:pPr>
            <w:r>
              <w:rPr>
                <w:rFonts w:hint="eastAsia" w:ascii="宋体" w:hAnsi="宋体" w:eastAsia="宋体" w:cs="宋体"/>
                <w:color w:val="000000"/>
                <w:sz w:val="24"/>
                <w:szCs w:val="24"/>
              </w:rPr>
              <w:t xml:space="preserve"> 落地窗帘</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4"/>
                <w:szCs w:val="24"/>
              </w:rPr>
            </w:pPr>
            <w:r>
              <w:rPr>
                <w:rFonts w:hint="eastAsia" w:ascii="宋体" w:hAnsi="宋体" w:eastAsia="宋体" w:cs="宋体"/>
                <w:color w:val="000000"/>
                <w:sz w:val="24"/>
                <w:szCs w:val="24"/>
              </w:rPr>
              <w:t>4.7m*3.2m</w:t>
            </w:r>
          </w:p>
        </w:tc>
        <w:tc>
          <w:tcPr>
            <w:tcW w:w="939"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深</w:t>
            </w:r>
          </w:p>
          <w:p>
            <w:pPr>
              <w:widowControl/>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色</w:t>
            </w:r>
          </w:p>
        </w:tc>
        <w:tc>
          <w:tcPr>
            <w:tcW w:w="4512" w:type="dxa"/>
            <w:vMerge w:val="restart"/>
            <w:tcBorders>
              <w:top w:val="single" w:color="000000" w:sz="4" w:space="0"/>
              <w:left w:val="single" w:color="000000" w:sz="4" w:space="0"/>
              <w:right w:val="single" w:color="000000" w:sz="4" w:space="0"/>
            </w:tcBorders>
          </w:tcPr>
          <w:p>
            <w:pPr>
              <w:widowControl/>
              <w:jc w:val="center"/>
              <w:textAlignment w:val="top"/>
              <w:rPr>
                <w:rFonts w:ascii="宋体" w:hAnsi="宋体" w:eastAsia="宋体" w:cs="宋体"/>
                <w:color w:val="000000"/>
                <w:kern w:val="0"/>
                <w:sz w:val="24"/>
                <w:szCs w:val="24"/>
              </w:rPr>
            </w:pPr>
          </w:p>
          <w:p>
            <w:pPr>
              <w:widowControl/>
              <w:jc w:val="center"/>
              <w:textAlignment w:val="top"/>
              <w:rPr>
                <w:rFonts w:ascii="宋体" w:hAnsi="宋体" w:eastAsia="宋体" w:cs="宋体"/>
                <w:color w:val="000000"/>
                <w:kern w:val="0"/>
                <w:sz w:val="24"/>
                <w:szCs w:val="24"/>
              </w:rPr>
            </w:pPr>
          </w:p>
          <w:p>
            <w:pPr>
              <w:widowControl/>
              <w:jc w:val="center"/>
              <w:textAlignment w:val="top"/>
              <w:rPr>
                <w:rFonts w:ascii="宋体" w:hAnsi="宋体" w:eastAsia="宋体" w:cs="宋体"/>
                <w:color w:val="000000"/>
                <w:kern w:val="0"/>
                <w:sz w:val="24"/>
                <w:szCs w:val="24"/>
              </w:rPr>
            </w:pPr>
          </w:p>
          <w:p>
            <w:pPr>
              <w:widowControl/>
              <w:jc w:val="center"/>
              <w:textAlignment w:val="top"/>
              <w:rPr>
                <w:rFonts w:ascii="宋体" w:hAnsi="宋体" w:eastAsia="宋体" w:cs="宋体"/>
                <w:color w:val="000000"/>
                <w:kern w:val="0"/>
                <w:sz w:val="24"/>
                <w:szCs w:val="24"/>
              </w:rPr>
            </w:pPr>
          </w:p>
          <w:p>
            <w:pPr>
              <w:widowControl/>
              <w:jc w:val="center"/>
              <w:textAlignment w:val="top"/>
              <w:rPr>
                <w:rFonts w:ascii="宋体" w:hAnsi="宋体" w:eastAsia="宋体" w:cs="宋体"/>
                <w:color w:val="000000"/>
                <w:kern w:val="0"/>
                <w:sz w:val="24"/>
                <w:szCs w:val="24"/>
              </w:rPr>
            </w:pPr>
          </w:p>
          <w:p>
            <w:pPr>
              <w:widowControl/>
              <w:jc w:val="center"/>
              <w:textAlignment w:val="top"/>
              <w:rPr>
                <w:rFonts w:ascii="宋体" w:hAnsi="宋体" w:eastAsia="宋体" w:cs="宋体"/>
                <w:color w:val="000000"/>
                <w:kern w:val="0"/>
                <w:sz w:val="24"/>
                <w:szCs w:val="24"/>
              </w:rPr>
            </w:pPr>
          </w:p>
          <w:p>
            <w:pPr>
              <w:widowControl/>
              <w:jc w:val="center"/>
              <w:textAlignment w:val="top"/>
              <w:rPr>
                <w:rFonts w:ascii="宋体" w:hAnsi="宋体" w:eastAsia="宋体" w:cs="宋体"/>
                <w:color w:val="000000"/>
                <w:kern w:val="0"/>
                <w:sz w:val="24"/>
                <w:szCs w:val="24"/>
              </w:rPr>
            </w:pPr>
          </w:p>
          <w:p>
            <w:pPr>
              <w:widowControl/>
              <w:jc w:val="center"/>
              <w:textAlignment w:val="top"/>
              <w:rPr>
                <w:rFonts w:ascii="宋体" w:hAnsi="宋体" w:eastAsia="宋体" w:cs="宋体"/>
                <w:color w:val="000000"/>
                <w:kern w:val="0"/>
                <w:sz w:val="24"/>
                <w:szCs w:val="24"/>
              </w:rPr>
            </w:pPr>
          </w:p>
          <w:p>
            <w:pPr>
              <w:widowControl/>
              <w:jc w:val="center"/>
              <w:textAlignment w:val="top"/>
              <w:rPr>
                <w:rFonts w:ascii="宋体" w:hAnsi="宋体" w:eastAsia="宋体" w:cs="宋体"/>
                <w:color w:val="000000"/>
                <w:kern w:val="0"/>
                <w:sz w:val="24"/>
                <w:szCs w:val="24"/>
              </w:rPr>
            </w:pPr>
          </w:p>
          <w:p>
            <w:pPr>
              <w:widowControl/>
              <w:jc w:val="center"/>
              <w:textAlignment w:val="top"/>
              <w:rPr>
                <w:rFonts w:ascii="宋体" w:hAnsi="宋体" w:eastAsia="宋体" w:cs="宋体"/>
                <w:color w:val="000000"/>
                <w:kern w:val="0"/>
                <w:sz w:val="24"/>
                <w:szCs w:val="24"/>
              </w:rPr>
            </w:pPr>
            <w:r>
              <w:rPr>
                <w:rFonts w:hint="eastAsia" w:ascii="宋体" w:hAnsi="宋体" w:eastAsia="宋体" w:cs="宋体"/>
                <w:color w:val="000000"/>
                <w:kern w:val="0"/>
                <w:sz w:val="24"/>
                <w:szCs w:val="24"/>
              </w:rPr>
              <w:t>采用珍珠绒落地遮光布</w:t>
            </w:r>
          </w:p>
          <w:p>
            <w:pPr>
              <w:widowControl/>
              <w:jc w:val="center"/>
              <w:textAlignment w:val="top"/>
              <w:rPr>
                <w:rFonts w:ascii="宋体" w:hAnsi="宋体" w:eastAsia="宋体" w:cs="宋体"/>
                <w:color w:val="000000"/>
                <w:kern w:val="0"/>
                <w:sz w:val="24"/>
                <w:szCs w:val="24"/>
              </w:rPr>
            </w:pPr>
            <w:r>
              <w:rPr>
                <w:rFonts w:hint="eastAsia" w:ascii="宋体" w:hAnsi="宋体" w:eastAsia="宋体" w:cs="宋体"/>
                <w:color w:val="000000"/>
                <w:kern w:val="0"/>
                <w:sz w:val="24"/>
                <w:szCs w:val="24"/>
              </w:rPr>
              <w:t>面料三边必须经过封边处理</w:t>
            </w:r>
          </w:p>
          <w:p>
            <w:pPr>
              <w:widowControl/>
              <w:jc w:val="center"/>
              <w:textAlignment w:val="top"/>
              <w:rPr>
                <w:rFonts w:ascii="宋体" w:hAnsi="宋体" w:eastAsia="宋体" w:cs="宋体"/>
                <w:color w:val="000000"/>
                <w:kern w:val="0"/>
                <w:sz w:val="24"/>
                <w:szCs w:val="24"/>
              </w:rPr>
            </w:pPr>
            <w:r>
              <w:rPr>
                <w:rFonts w:hint="eastAsia" w:ascii="宋体" w:hAnsi="宋体" w:eastAsia="宋体" w:cs="宋体"/>
                <w:color w:val="000000"/>
                <w:kern w:val="0"/>
                <w:sz w:val="24"/>
                <w:szCs w:val="24"/>
              </w:rPr>
              <w:t>（含安装窗帘）</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1套</w:t>
            </w:r>
          </w:p>
        </w:tc>
      </w:tr>
      <w:tr>
        <w:tblPrEx>
          <w:tblLayout w:type="fixed"/>
          <w:tblCellMar>
            <w:top w:w="15" w:type="dxa"/>
            <w:left w:w="15" w:type="dxa"/>
            <w:bottom w:w="15" w:type="dxa"/>
            <w:right w:w="15" w:type="dxa"/>
          </w:tblCellMar>
        </w:tblPrEx>
        <w:trPr>
          <w:trHeight w:val="590" w:hRule="atLeast"/>
        </w:trPr>
        <w:tc>
          <w:tcPr>
            <w:tcW w:w="933" w:type="dxa"/>
            <w:vMerge w:val="continue"/>
            <w:tcBorders>
              <w:left w:val="single" w:color="000000" w:sz="4" w:space="0"/>
              <w:right w:val="single" w:color="000000" w:sz="4" w:space="0"/>
            </w:tcBorders>
            <w:vAlign w:val="center"/>
          </w:tcPr>
          <w:p>
            <w:pPr>
              <w:jc w:val="center"/>
              <w:textAlignment w:val="center"/>
              <w:rPr>
                <w:rFonts w:ascii="宋体" w:hAnsi="宋体" w:eastAsia="宋体" w:cs="宋体"/>
                <w:color w:val="000000"/>
                <w:sz w:val="24"/>
                <w:szCs w:val="24"/>
              </w:rPr>
            </w:pPr>
          </w:p>
        </w:tc>
        <w:tc>
          <w:tcPr>
            <w:tcW w:w="1392" w:type="dxa"/>
            <w:vMerge w:val="continue"/>
            <w:tcBorders>
              <w:left w:val="single" w:color="000000" w:sz="4" w:space="0"/>
              <w:right w:val="single" w:color="000000" w:sz="4" w:space="0"/>
            </w:tcBorders>
            <w:vAlign w:val="center"/>
          </w:tcPr>
          <w:p>
            <w:pPr>
              <w:jc w:val="center"/>
              <w:rPr>
                <w:rFonts w:ascii="宋体" w:hAnsi="宋体" w:eastAsia="宋体" w:cs="宋体"/>
                <w:color w:val="000000"/>
                <w:sz w:val="24"/>
                <w:szCs w:val="24"/>
              </w:rPr>
            </w:pPr>
          </w:p>
        </w:tc>
        <w:tc>
          <w:tcPr>
            <w:tcW w:w="165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4"/>
                <w:szCs w:val="24"/>
              </w:rPr>
            </w:pPr>
            <w:r>
              <w:rPr>
                <w:rFonts w:hint="eastAsia" w:ascii="宋体" w:hAnsi="宋体" w:eastAsia="宋体" w:cs="宋体"/>
                <w:color w:val="000000"/>
                <w:sz w:val="24"/>
                <w:szCs w:val="24"/>
              </w:rPr>
              <w:t>2.43m*4.23m</w:t>
            </w:r>
          </w:p>
        </w:tc>
        <w:tc>
          <w:tcPr>
            <w:tcW w:w="939" w:type="dxa"/>
            <w:vMerge w:val="continue"/>
            <w:tcBorders>
              <w:left w:val="single" w:color="000000" w:sz="4" w:space="0"/>
              <w:right w:val="single" w:color="000000" w:sz="4" w:space="0"/>
            </w:tcBorders>
            <w:vAlign w:val="center"/>
          </w:tcPr>
          <w:p>
            <w:pPr>
              <w:widowControl/>
              <w:jc w:val="center"/>
              <w:textAlignment w:val="center"/>
              <w:rPr>
                <w:rFonts w:ascii="宋体" w:hAnsi="宋体" w:eastAsia="宋体" w:cs="宋体"/>
                <w:color w:val="000000"/>
                <w:kern w:val="0"/>
                <w:sz w:val="24"/>
                <w:szCs w:val="24"/>
              </w:rPr>
            </w:pPr>
          </w:p>
        </w:tc>
        <w:tc>
          <w:tcPr>
            <w:tcW w:w="4512" w:type="dxa"/>
            <w:vMerge w:val="continue"/>
            <w:tcBorders>
              <w:left w:val="single" w:color="000000" w:sz="4" w:space="0"/>
              <w:right w:val="single" w:color="000000" w:sz="4" w:space="0"/>
            </w:tcBorders>
          </w:tcPr>
          <w:p>
            <w:pPr>
              <w:widowControl/>
              <w:jc w:val="center"/>
              <w:textAlignment w:val="top"/>
              <w:rPr>
                <w:rFonts w:ascii="宋体" w:hAnsi="宋体" w:eastAsia="宋体" w:cs="宋体"/>
                <w:color w:val="000000"/>
                <w:kern w:val="0"/>
                <w:sz w:val="24"/>
                <w:szCs w:val="24"/>
              </w:rPr>
            </w:pPr>
          </w:p>
        </w:tc>
        <w:tc>
          <w:tcPr>
            <w:tcW w:w="1275" w:type="dxa"/>
            <w:tcBorders>
              <w:top w:val="single" w:color="000000" w:sz="4" w:space="0"/>
              <w:left w:val="single" w:color="000000" w:sz="4" w:space="0"/>
              <w:bottom w:val="single" w:color="000000" w:sz="4" w:space="0"/>
              <w:right w:val="single" w:color="000000" w:sz="4" w:space="0"/>
            </w:tcBorders>
          </w:tcPr>
          <w:p>
            <w:pPr>
              <w:jc w:val="center"/>
              <w:rPr>
                <w:rFonts w:ascii="Calibri" w:hAnsi="Calibri" w:eastAsia="宋体" w:cs="Times New Roman"/>
              </w:rPr>
            </w:pPr>
            <w:r>
              <w:rPr>
                <w:rFonts w:hint="eastAsia" w:ascii="宋体" w:hAnsi="宋体" w:eastAsia="宋体" w:cs="宋体"/>
                <w:color w:val="000000"/>
                <w:kern w:val="0"/>
                <w:sz w:val="24"/>
                <w:szCs w:val="24"/>
              </w:rPr>
              <w:t>1套</w:t>
            </w:r>
          </w:p>
        </w:tc>
      </w:tr>
      <w:tr>
        <w:tblPrEx>
          <w:tblLayout w:type="fixed"/>
          <w:tblCellMar>
            <w:top w:w="15" w:type="dxa"/>
            <w:left w:w="15" w:type="dxa"/>
            <w:bottom w:w="15" w:type="dxa"/>
            <w:right w:w="15" w:type="dxa"/>
          </w:tblCellMar>
        </w:tblPrEx>
        <w:trPr>
          <w:trHeight w:val="635" w:hRule="atLeast"/>
        </w:trPr>
        <w:tc>
          <w:tcPr>
            <w:tcW w:w="933" w:type="dxa"/>
            <w:vMerge w:val="continue"/>
            <w:tcBorders>
              <w:left w:val="single" w:color="000000" w:sz="4" w:space="0"/>
              <w:right w:val="single" w:color="000000" w:sz="4" w:space="0"/>
            </w:tcBorders>
            <w:vAlign w:val="center"/>
          </w:tcPr>
          <w:p>
            <w:pPr>
              <w:jc w:val="center"/>
              <w:textAlignment w:val="center"/>
              <w:rPr>
                <w:rFonts w:ascii="宋体" w:hAnsi="宋体" w:eastAsia="宋体" w:cs="宋体"/>
                <w:color w:val="000000"/>
                <w:sz w:val="24"/>
                <w:szCs w:val="24"/>
              </w:rPr>
            </w:pPr>
          </w:p>
        </w:tc>
        <w:tc>
          <w:tcPr>
            <w:tcW w:w="1392" w:type="dxa"/>
            <w:vMerge w:val="continue"/>
            <w:tcBorders>
              <w:left w:val="single" w:color="000000" w:sz="4" w:space="0"/>
              <w:right w:val="single" w:color="000000" w:sz="4" w:space="0"/>
            </w:tcBorders>
            <w:vAlign w:val="center"/>
          </w:tcPr>
          <w:p>
            <w:pPr>
              <w:jc w:val="center"/>
              <w:rPr>
                <w:rFonts w:ascii="宋体" w:hAnsi="宋体" w:eastAsia="宋体" w:cs="宋体"/>
                <w:color w:val="000000"/>
                <w:sz w:val="24"/>
                <w:szCs w:val="24"/>
              </w:rPr>
            </w:pPr>
          </w:p>
        </w:tc>
        <w:tc>
          <w:tcPr>
            <w:tcW w:w="165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4"/>
                <w:szCs w:val="24"/>
              </w:rPr>
            </w:pPr>
            <w:r>
              <w:rPr>
                <w:rFonts w:hint="eastAsia" w:ascii="宋体" w:hAnsi="宋体" w:eastAsia="宋体" w:cs="宋体"/>
                <w:color w:val="000000"/>
                <w:sz w:val="24"/>
                <w:szCs w:val="24"/>
              </w:rPr>
              <w:t>（8.9+4.1+8.6+5.53）=27.13m*4.5m</w:t>
            </w:r>
          </w:p>
        </w:tc>
        <w:tc>
          <w:tcPr>
            <w:tcW w:w="939" w:type="dxa"/>
            <w:vMerge w:val="continue"/>
            <w:tcBorders>
              <w:left w:val="single" w:color="000000" w:sz="4" w:space="0"/>
              <w:right w:val="single" w:color="000000" w:sz="4" w:space="0"/>
            </w:tcBorders>
            <w:vAlign w:val="center"/>
          </w:tcPr>
          <w:p>
            <w:pPr>
              <w:widowControl/>
              <w:jc w:val="center"/>
              <w:textAlignment w:val="center"/>
              <w:rPr>
                <w:rFonts w:ascii="宋体" w:hAnsi="宋体" w:eastAsia="宋体" w:cs="宋体"/>
                <w:color w:val="000000"/>
                <w:kern w:val="0"/>
                <w:sz w:val="24"/>
                <w:szCs w:val="24"/>
              </w:rPr>
            </w:pPr>
          </w:p>
        </w:tc>
        <w:tc>
          <w:tcPr>
            <w:tcW w:w="4512" w:type="dxa"/>
            <w:vMerge w:val="continue"/>
            <w:tcBorders>
              <w:left w:val="single" w:color="000000" w:sz="4" w:space="0"/>
              <w:right w:val="single" w:color="000000" w:sz="4" w:space="0"/>
            </w:tcBorders>
          </w:tcPr>
          <w:p>
            <w:pPr>
              <w:widowControl/>
              <w:jc w:val="center"/>
              <w:textAlignment w:val="top"/>
              <w:rPr>
                <w:rFonts w:ascii="宋体" w:hAnsi="宋体" w:eastAsia="宋体" w:cs="宋体"/>
                <w:color w:val="000000"/>
                <w:kern w:val="0"/>
                <w:sz w:val="24"/>
                <w:szCs w:val="24"/>
              </w:rPr>
            </w:pPr>
          </w:p>
        </w:tc>
        <w:tc>
          <w:tcPr>
            <w:tcW w:w="1275" w:type="dxa"/>
            <w:tcBorders>
              <w:top w:val="single" w:color="000000" w:sz="4" w:space="0"/>
              <w:left w:val="single" w:color="000000" w:sz="4" w:space="0"/>
              <w:bottom w:val="single" w:color="000000" w:sz="4" w:space="0"/>
              <w:right w:val="single" w:color="000000" w:sz="4" w:space="0"/>
            </w:tcBorders>
            <w:vAlign w:val="center"/>
          </w:tcPr>
          <w:p>
            <w:pPr>
              <w:jc w:val="center"/>
              <w:rPr>
                <w:rFonts w:ascii="Calibri" w:hAnsi="Calibri" w:eastAsia="宋体" w:cs="Times New Roman"/>
              </w:rPr>
            </w:pPr>
            <w:r>
              <w:rPr>
                <w:rFonts w:hint="eastAsia" w:ascii="宋体" w:hAnsi="宋体" w:eastAsia="宋体" w:cs="宋体"/>
                <w:color w:val="000000"/>
                <w:kern w:val="0"/>
                <w:sz w:val="24"/>
                <w:szCs w:val="24"/>
              </w:rPr>
              <w:t>1套</w:t>
            </w:r>
          </w:p>
        </w:tc>
      </w:tr>
      <w:tr>
        <w:tblPrEx>
          <w:tblLayout w:type="fixed"/>
          <w:tblCellMar>
            <w:top w:w="15" w:type="dxa"/>
            <w:left w:w="15" w:type="dxa"/>
            <w:bottom w:w="15" w:type="dxa"/>
            <w:right w:w="15" w:type="dxa"/>
          </w:tblCellMar>
        </w:tblPrEx>
        <w:trPr>
          <w:trHeight w:val="670" w:hRule="atLeast"/>
        </w:trPr>
        <w:tc>
          <w:tcPr>
            <w:tcW w:w="933" w:type="dxa"/>
            <w:vMerge w:val="continue"/>
            <w:tcBorders>
              <w:left w:val="single" w:color="000000" w:sz="4" w:space="0"/>
              <w:right w:val="single" w:color="000000" w:sz="4" w:space="0"/>
            </w:tcBorders>
            <w:vAlign w:val="center"/>
          </w:tcPr>
          <w:p>
            <w:pPr>
              <w:jc w:val="center"/>
              <w:textAlignment w:val="center"/>
              <w:rPr>
                <w:rFonts w:ascii="宋体" w:hAnsi="宋体" w:eastAsia="宋体" w:cs="宋体"/>
                <w:color w:val="000000"/>
                <w:sz w:val="24"/>
                <w:szCs w:val="24"/>
              </w:rPr>
            </w:pPr>
          </w:p>
        </w:tc>
        <w:tc>
          <w:tcPr>
            <w:tcW w:w="1392" w:type="dxa"/>
            <w:vMerge w:val="continue"/>
            <w:tcBorders>
              <w:left w:val="single" w:color="000000" w:sz="4" w:space="0"/>
              <w:right w:val="single" w:color="000000" w:sz="4" w:space="0"/>
            </w:tcBorders>
            <w:vAlign w:val="center"/>
          </w:tcPr>
          <w:p>
            <w:pPr>
              <w:rPr>
                <w:rFonts w:ascii="宋体" w:hAnsi="宋体" w:eastAsia="宋体" w:cs="宋体"/>
                <w:color w:val="000000"/>
                <w:sz w:val="24"/>
                <w:szCs w:val="24"/>
              </w:rPr>
            </w:pPr>
          </w:p>
        </w:tc>
        <w:tc>
          <w:tcPr>
            <w:tcW w:w="165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4"/>
                <w:szCs w:val="24"/>
              </w:rPr>
            </w:pPr>
            <w:r>
              <w:rPr>
                <w:rFonts w:hint="eastAsia" w:ascii="宋体" w:hAnsi="宋体" w:eastAsia="宋体" w:cs="宋体"/>
                <w:color w:val="000000"/>
                <w:sz w:val="24"/>
                <w:szCs w:val="24"/>
              </w:rPr>
              <w:t>8.72m*4.25m</w:t>
            </w:r>
          </w:p>
        </w:tc>
        <w:tc>
          <w:tcPr>
            <w:tcW w:w="939" w:type="dxa"/>
            <w:vMerge w:val="continue"/>
            <w:tcBorders>
              <w:left w:val="single" w:color="000000" w:sz="4" w:space="0"/>
              <w:right w:val="single" w:color="000000" w:sz="4" w:space="0"/>
            </w:tcBorders>
            <w:vAlign w:val="center"/>
          </w:tcPr>
          <w:p>
            <w:pPr>
              <w:widowControl/>
              <w:jc w:val="center"/>
              <w:textAlignment w:val="center"/>
              <w:rPr>
                <w:rFonts w:ascii="宋体" w:hAnsi="宋体" w:eastAsia="宋体" w:cs="宋体"/>
                <w:color w:val="000000"/>
                <w:kern w:val="0"/>
                <w:sz w:val="24"/>
                <w:szCs w:val="24"/>
              </w:rPr>
            </w:pPr>
          </w:p>
        </w:tc>
        <w:tc>
          <w:tcPr>
            <w:tcW w:w="4512" w:type="dxa"/>
            <w:vMerge w:val="continue"/>
            <w:tcBorders>
              <w:left w:val="single" w:color="000000" w:sz="4" w:space="0"/>
              <w:right w:val="single" w:color="000000" w:sz="4" w:space="0"/>
            </w:tcBorders>
          </w:tcPr>
          <w:p>
            <w:pPr>
              <w:widowControl/>
              <w:jc w:val="center"/>
              <w:textAlignment w:val="top"/>
              <w:rPr>
                <w:rFonts w:ascii="宋体" w:hAnsi="宋体" w:eastAsia="宋体" w:cs="宋体"/>
                <w:color w:val="000000"/>
                <w:kern w:val="0"/>
                <w:sz w:val="24"/>
                <w:szCs w:val="24"/>
              </w:rPr>
            </w:pPr>
          </w:p>
        </w:tc>
        <w:tc>
          <w:tcPr>
            <w:tcW w:w="1275" w:type="dxa"/>
            <w:tcBorders>
              <w:top w:val="single" w:color="000000" w:sz="4" w:space="0"/>
              <w:left w:val="single" w:color="000000" w:sz="4" w:space="0"/>
              <w:bottom w:val="single" w:color="000000" w:sz="4" w:space="0"/>
              <w:right w:val="single" w:color="000000" w:sz="4" w:space="0"/>
            </w:tcBorders>
            <w:vAlign w:val="center"/>
          </w:tcPr>
          <w:p>
            <w:pPr>
              <w:jc w:val="center"/>
              <w:rPr>
                <w:rFonts w:ascii="Calibri" w:hAnsi="Calibri" w:eastAsia="宋体" w:cs="Times New Roman"/>
              </w:rPr>
            </w:pPr>
            <w:r>
              <w:rPr>
                <w:rFonts w:hint="eastAsia" w:ascii="宋体" w:hAnsi="宋体" w:eastAsia="宋体" w:cs="宋体"/>
                <w:color w:val="000000"/>
                <w:kern w:val="0"/>
                <w:sz w:val="24"/>
                <w:szCs w:val="24"/>
              </w:rPr>
              <w:t>1套</w:t>
            </w:r>
          </w:p>
        </w:tc>
      </w:tr>
      <w:tr>
        <w:tblPrEx>
          <w:tblLayout w:type="fixed"/>
          <w:tblCellMar>
            <w:top w:w="15" w:type="dxa"/>
            <w:left w:w="15" w:type="dxa"/>
            <w:bottom w:w="15" w:type="dxa"/>
            <w:right w:w="15" w:type="dxa"/>
          </w:tblCellMar>
        </w:tblPrEx>
        <w:trPr>
          <w:trHeight w:val="695" w:hRule="atLeast"/>
        </w:trPr>
        <w:tc>
          <w:tcPr>
            <w:tcW w:w="933" w:type="dxa"/>
            <w:vMerge w:val="continue"/>
            <w:tcBorders>
              <w:left w:val="single" w:color="000000" w:sz="4" w:space="0"/>
              <w:right w:val="single" w:color="000000" w:sz="4" w:space="0"/>
            </w:tcBorders>
            <w:vAlign w:val="center"/>
          </w:tcPr>
          <w:p>
            <w:pPr>
              <w:jc w:val="center"/>
              <w:textAlignment w:val="center"/>
              <w:rPr>
                <w:rFonts w:ascii="宋体" w:hAnsi="宋体" w:eastAsia="宋体" w:cs="宋体"/>
                <w:color w:val="000000"/>
                <w:sz w:val="24"/>
                <w:szCs w:val="24"/>
              </w:rPr>
            </w:pPr>
          </w:p>
        </w:tc>
        <w:tc>
          <w:tcPr>
            <w:tcW w:w="1392" w:type="dxa"/>
            <w:vMerge w:val="continue"/>
            <w:tcBorders>
              <w:left w:val="single" w:color="000000" w:sz="4" w:space="0"/>
              <w:right w:val="single" w:color="000000" w:sz="4" w:space="0"/>
            </w:tcBorders>
            <w:vAlign w:val="center"/>
          </w:tcPr>
          <w:p>
            <w:pPr>
              <w:rPr>
                <w:rFonts w:ascii="宋体" w:hAnsi="宋体" w:eastAsia="宋体" w:cs="宋体"/>
                <w:color w:val="000000"/>
                <w:sz w:val="24"/>
                <w:szCs w:val="24"/>
              </w:rPr>
            </w:pPr>
          </w:p>
        </w:tc>
        <w:tc>
          <w:tcPr>
            <w:tcW w:w="165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4"/>
                <w:szCs w:val="24"/>
              </w:rPr>
            </w:pPr>
            <w:r>
              <w:rPr>
                <w:rFonts w:hint="eastAsia" w:ascii="宋体" w:hAnsi="宋体" w:eastAsia="宋体" w:cs="宋体"/>
                <w:color w:val="000000"/>
                <w:sz w:val="24"/>
                <w:szCs w:val="24"/>
              </w:rPr>
              <w:t>27.58m*4.25m</w:t>
            </w:r>
          </w:p>
        </w:tc>
        <w:tc>
          <w:tcPr>
            <w:tcW w:w="939" w:type="dxa"/>
            <w:vMerge w:val="continue"/>
            <w:tcBorders>
              <w:left w:val="single" w:color="000000" w:sz="4" w:space="0"/>
              <w:right w:val="single" w:color="000000" w:sz="4" w:space="0"/>
            </w:tcBorders>
            <w:vAlign w:val="center"/>
          </w:tcPr>
          <w:p>
            <w:pPr>
              <w:widowControl/>
              <w:jc w:val="center"/>
              <w:textAlignment w:val="center"/>
              <w:rPr>
                <w:rFonts w:ascii="宋体" w:hAnsi="宋体" w:eastAsia="宋体" w:cs="宋体"/>
                <w:color w:val="000000"/>
                <w:kern w:val="0"/>
                <w:sz w:val="24"/>
                <w:szCs w:val="24"/>
              </w:rPr>
            </w:pPr>
          </w:p>
        </w:tc>
        <w:tc>
          <w:tcPr>
            <w:tcW w:w="4512" w:type="dxa"/>
            <w:vMerge w:val="continue"/>
            <w:tcBorders>
              <w:left w:val="single" w:color="000000" w:sz="4" w:space="0"/>
              <w:right w:val="single" w:color="000000" w:sz="4" w:space="0"/>
            </w:tcBorders>
          </w:tcPr>
          <w:p>
            <w:pPr>
              <w:widowControl/>
              <w:jc w:val="center"/>
              <w:textAlignment w:val="top"/>
              <w:rPr>
                <w:rFonts w:ascii="宋体" w:hAnsi="宋体" w:eastAsia="宋体" w:cs="宋体"/>
                <w:color w:val="000000"/>
                <w:kern w:val="0"/>
                <w:sz w:val="24"/>
                <w:szCs w:val="24"/>
              </w:rPr>
            </w:pPr>
          </w:p>
        </w:tc>
        <w:tc>
          <w:tcPr>
            <w:tcW w:w="1275" w:type="dxa"/>
            <w:tcBorders>
              <w:top w:val="single" w:color="000000" w:sz="4" w:space="0"/>
              <w:left w:val="single" w:color="000000" w:sz="4" w:space="0"/>
              <w:bottom w:val="single" w:color="000000" w:sz="4" w:space="0"/>
              <w:right w:val="single" w:color="000000" w:sz="4" w:space="0"/>
            </w:tcBorders>
            <w:vAlign w:val="center"/>
          </w:tcPr>
          <w:p>
            <w:pPr>
              <w:jc w:val="center"/>
              <w:rPr>
                <w:rFonts w:ascii="Calibri" w:hAnsi="Calibri" w:eastAsia="宋体" w:cs="Times New Roman"/>
              </w:rPr>
            </w:pPr>
            <w:r>
              <w:rPr>
                <w:rFonts w:hint="eastAsia" w:ascii="宋体" w:hAnsi="宋体" w:eastAsia="宋体" w:cs="宋体"/>
                <w:color w:val="000000"/>
                <w:kern w:val="0"/>
                <w:sz w:val="24"/>
                <w:szCs w:val="24"/>
              </w:rPr>
              <w:t>1套</w:t>
            </w:r>
          </w:p>
        </w:tc>
      </w:tr>
      <w:tr>
        <w:tblPrEx>
          <w:tblLayout w:type="fixed"/>
          <w:tblCellMar>
            <w:top w:w="15" w:type="dxa"/>
            <w:left w:w="15" w:type="dxa"/>
            <w:bottom w:w="15" w:type="dxa"/>
            <w:right w:w="15" w:type="dxa"/>
          </w:tblCellMar>
        </w:tblPrEx>
        <w:trPr>
          <w:trHeight w:val="650" w:hRule="atLeast"/>
        </w:trPr>
        <w:tc>
          <w:tcPr>
            <w:tcW w:w="933" w:type="dxa"/>
            <w:vMerge w:val="continue"/>
            <w:tcBorders>
              <w:left w:val="single" w:color="000000" w:sz="4" w:space="0"/>
              <w:right w:val="single" w:color="000000" w:sz="4" w:space="0"/>
            </w:tcBorders>
            <w:vAlign w:val="center"/>
          </w:tcPr>
          <w:p>
            <w:pPr>
              <w:jc w:val="center"/>
              <w:textAlignment w:val="center"/>
              <w:rPr>
                <w:rFonts w:ascii="宋体" w:hAnsi="宋体" w:eastAsia="宋体" w:cs="宋体"/>
                <w:color w:val="000000"/>
                <w:sz w:val="24"/>
                <w:szCs w:val="24"/>
              </w:rPr>
            </w:pPr>
          </w:p>
        </w:tc>
        <w:tc>
          <w:tcPr>
            <w:tcW w:w="1392" w:type="dxa"/>
            <w:vMerge w:val="continue"/>
            <w:tcBorders>
              <w:left w:val="single" w:color="000000" w:sz="4" w:space="0"/>
              <w:right w:val="single" w:color="000000" w:sz="4" w:space="0"/>
            </w:tcBorders>
            <w:vAlign w:val="center"/>
          </w:tcPr>
          <w:p>
            <w:pPr>
              <w:rPr>
                <w:rFonts w:ascii="宋体" w:hAnsi="宋体" w:eastAsia="宋体" w:cs="宋体"/>
                <w:color w:val="000000"/>
                <w:sz w:val="24"/>
                <w:szCs w:val="24"/>
              </w:rPr>
            </w:pPr>
          </w:p>
        </w:tc>
        <w:tc>
          <w:tcPr>
            <w:tcW w:w="165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4"/>
                <w:szCs w:val="24"/>
              </w:rPr>
            </w:pPr>
            <w:r>
              <w:rPr>
                <w:rFonts w:hint="eastAsia" w:ascii="宋体" w:hAnsi="宋体" w:eastAsia="宋体" w:cs="宋体"/>
                <w:color w:val="000000"/>
                <w:sz w:val="24"/>
                <w:szCs w:val="24"/>
              </w:rPr>
              <w:t>9.1m*4.25m</w:t>
            </w:r>
          </w:p>
        </w:tc>
        <w:tc>
          <w:tcPr>
            <w:tcW w:w="939" w:type="dxa"/>
            <w:vMerge w:val="continue"/>
            <w:tcBorders>
              <w:left w:val="single" w:color="000000" w:sz="4" w:space="0"/>
              <w:right w:val="single" w:color="000000" w:sz="4" w:space="0"/>
            </w:tcBorders>
            <w:vAlign w:val="center"/>
          </w:tcPr>
          <w:p>
            <w:pPr>
              <w:widowControl/>
              <w:jc w:val="center"/>
              <w:textAlignment w:val="center"/>
              <w:rPr>
                <w:rFonts w:ascii="宋体" w:hAnsi="宋体" w:eastAsia="宋体" w:cs="宋体"/>
                <w:color w:val="000000"/>
                <w:kern w:val="0"/>
                <w:sz w:val="24"/>
                <w:szCs w:val="24"/>
              </w:rPr>
            </w:pPr>
          </w:p>
        </w:tc>
        <w:tc>
          <w:tcPr>
            <w:tcW w:w="4512" w:type="dxa"/>
            <w:vMerge w:val="continue"/>
            <w:tcBorders>
              <w:left w:val="single" w:color="000000" w:sz="4" w:space="0"/>
              <w:right w:val="single" w:color="000000" w:sz="4" w:space="0"/>
            </w:tcBorders>
          </w:tcPr>
          <w:p>
            <w:pPr>
              <w:widowControl/>
              <w:jc w:val="center"/>
              <w:textAlignment w:val="top"/>
              <w:rPr>
                <w:rFonts w:ascii="宋体" w:hAnsi="宋体" w:eastAsia="宋体" w:cs="宋体"/>
                <w:color w:val="000000"/>
                <w:kern w:val="0"/>
                <w:sz w:val="24"/>
                <w:szCs w:val="24"/>
              </w:rPr>
            </w:pPr>
          </w:p>
        </w:tc>
        <w:tc>
          <w:tcPr>
            <w:tcW w:w="1275" w:type="dxa"/>
            <w:tcBorders>
              <w:top w:val="single" w:color="000000" w:sz="4" w:space="0"/>
              <w:left w:val="single" w:color="000000" w:sz="4" w:space="0"/>
              <w:bottom w:val="single" w:color="000000" w:sz="4" w:space="0"/>
              <w:right w:val="single" w:color="000000" w:sz="4" w:space="0"/>
            </w:tcBorders>
            <w:vAlign w:val="center"/>
          </w:tcPr>
          <w:p>
            <w:pPr>
              <w:jc w:val="center"/>
              <w:rPr>
                <w:rFonts w:ascii="Calibri" w:hAnsi="Calibri" w:eastAsia="宋体" w:cs="Times New Roman"/>
              </w:rPr>
            </w:pPr>
            <w:r>
              <w:rPr>
                <w:rFonts w:hint="eastAsia" w:ascii="宋体" w:hAnsi="宋体" w:eastAsia="宋体" w:cs="宋体"/>
                <w:color w:val="000000"/>
                <w:kern w:val="0"/>
                <w:sz w:val="24"/>
                <w:szCs w:val="24"/>
              </w:rPr>
              <w:t>1套</w:t>
            </w:r>
          </w:p>
        </w:tc>
      </w:tr>
      <w:tr>
        <w:tblPrEx>
          <w:tblLayout w:type="fixed"/>
          <w:tblCellMar>
            <w:top w:w="15" w:type="dxa"/>
            <w:left w:w="15" w:type="dxa"/>
            <w:bottom w:w="15" w:type="dxa"/>
            <w:right w:w="15" w:type="dxa"/>
          </w:tblCellMar>
        </w:tblPrEx>
        <w:trPr>
          <w:trHeight w:val="745" w:hRule="atLeast"/>
        </w:trPr>
        <w:tc>
          <w:tcPr>
            <w:tcW w:w="933" w:type="dxa"/>
            <w:vMerge w:val="continue"/>
            <w:tcBorders>
              <w:left w:val="single" w:color="000000" w:sz="4" w:space="0"/>
              <w:right w:val="single" w:color="000000" w:sz="4" w:space="0"/>
            </w:tcBorders>
            <w:vAlign w:val="center"/>
          </w:tcPr>
          <w:p>
            <w:pPr>
              <w:jc w:val="center"/>
              <w:textAlignment w:val="center"/>
              <w:rPr>
                <w:rFonts w:ascii="宋体" w:hAnsi="宋体" w:eastAsia="宋体" w:cs="宋体"/>
                <w:color w:val="000000"/>
                <w:sz w:val="24"/>
                <w:szCs w:val="24"/>
              </w:rPr>
            </w:pPr>
          </w:p>
        </w:tc>
        <w:tc>
          <w:tcPr>
            <w:tcW w:w="1392" w:type="dxa"/>
            <w:vMerge w:val="continue"/>
            <w:tcBorders>
              <w:left w:val="single" w:color="000000" w:sz="4" w:space="0"/>
              <w:right w:val="single" w:color="000000" w:sz="4" w:space="0"/>
            </w:tcBorders>
            <w:vAlign w:val="center"/>
          </w:tcPr>
          <w:p>
            <w:pPr>
              <w:rPr>
                <w:rFonts w:ascii="宋体" w:hAnsi="宋体" w:eastAsia="宋体" w:cs="宋体"/>
                <w:color w:val="000000"/>
                <w:sz w:val="24"/>
                <w:szCs w:val="24"/>
              </w:rPr>
            </w:pPr>
          </w:p>
        </w:tc>
        <w:tc>
          <w:tcPr>
            <w:tcW w:w="165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4"/>
                <w:szCs w:val="24"/>
              </w:rPr>
            </w:pPr>
            <w:r>
              <w:rPr>
                <w:rFonts w:hint="eastAsia" w:ascii="宋体" w:hAnsi="宋体" w:eastAsia="宋体" w:cs="宋体"/>
                <w:color w:val="000000"/>
                <w:sz w:val="24"/>
                <w:szCs w:val="24"/>
              </w:rPr>
              <w:t>12.73m*4.25m</w:t>
            </w:r>
          </w:p>
        </w:tc>
        <w:tc>
          <w:tcPr>
            <w:tcW w:w="939" w:type="dxa"/>
            <w:vMerge w:val="continue"/>
            <w:tcBorders>
              <w:left w:val="single" w:color="000000" w:sz="4" w:space="0"/>
              <w:right w:val="single" w:color="000000" w:sz="4" w:space="0"/>
            </w:tcBorders>
            <w:vAlign w:val="center"/>
          </w:tcPr>
          <w:p>
            <w:pPr>
              <w:widowControl/>
              <w:jc w:val="center"/>
              <w:textAlignment w:val="center"/>
              <w:rPr>
                <w:rFonts w:ascii="宋体" w:hAnsi="宋体" w:eastAsia="宋体" w:cs="宋体"/>
                <w:color w:val="000000"/>
                <w:kern w:val="0"/>
                <w:sz w:val="24"/>
                <w:szCs w:val="24"/>
              </w:rPr>
            </w:pPr>
          </w:p>
        </w:tc>
        <w:tc>
          <w:tcPr>
            <w:tcW w:w="4512" w:type="dxa"/>
            <w:vMerge w:val="continue"/>
            <w:tcBorders>
              <w:left w:val="single" w:color="000000" w:sz="4" w:space="0"/>
              <w:right w:val="single" w:color="000000" w:sz="4" w:space="0"/>
            </w:tcBorders>
          </w:tcPr>
          <w:p>
            <w:pPr>
              <w:widowControl/>
              <w:jc w:val="center"/>
              <w:textAlignment w:val="top"/>
              <w:rPr>
                <w:rFonts w:ascii="宋体" w:hAnsi="宋体" w:eastAsia="宋体" w:cs="宋体"/>
                <w:color w:val="000000"/>
                <w:kern w:val="0"/>
                <w:sz w:val="24"/>
                <w:szCs w:val="24"/>
              </w:rPr>
            </w:pPr>
          </w:p>
        </w:tc>
        <w:tc>
          <w:tcPr>
            <w:tcW w:w="1275" w:type="dxa"/>
            <w:tcBorders>
              <w:top w:val="single" w:color="000000" w:sz="4" w:space="0"/>
              <w:left w:val="single" w:color="000000" w:sz="4" w:space="0"/>
              <w:bottom w:val="single" w:color="000000" w:sz="4" w:space="0"/>
              <w:right w:val="single" w:color="000000" w:sz="4" w:space="0"/>
            </w:tcBorders>
            <w:vAlign w:val="center"/>
          </w:tcPr>
          <w:p>
            <w:pPr>
              <w:jc w:val="center"/>
              <w:rPr>
                <w:rFonts w:ascii="Calibri" w:hAnsi="Calibri" w:eastAsia="宋体" w:cs="Times New Roman"/>
              </w:rPr>
            </w:pPr>
            <w:r>
              <w:rPr>
                <w:rFonts w:hint="eastAsia" w:ascii="宋体" w:hAnsi="宋体" w:eastAsia="宋体" w:cs="宋体"/>
                <w:color w:val="000000"/>
                <w:kern w:val="0"/>
                <w:sz w:val="24"/>
                <w:szCs w:val="24"/>
              </w:rPr>
              <w:t>1套</w:t>
            </w:r>
          </w:p>
        </w:tc>
      </w:tr>
      <w:tr>
        <w:tblPrEx>
          <w:tblLayout w:type="fixed"/>
          <w:tblCellMar>
            <w:top w:w="15" w:type="dxa"/>
            <w:left w:w="15" w:type="dxa"/>
            <w:bottom w:w="15" w:type="dxa"/>
            <w:right w:w="15" w:type="dxa"/>
          </w:tblCellMar>
        </w:tblPrEx>
        <w:trPr>
          <w:trHeight w:val="645" w:hRule="atLeast"/>
        </w:trPr>
        <w:tc>
          <w:tcPr>
            <w:tcW w:w="933" w:type="dxa"/>
            <w:vMerge w:val="continue"/>
            <w:tcBorders>
              <w:left w:val="single" w:color="000000" w:sz="4" w:space="0"/>
              <w:right w:val="single" w:color="000000" w:sz="4" w:space="0"/>
            </w:tcBorders>
            <w:vAlign w:val="center"/>
          </w:tcPr>
          <w:p>
            <w:pPr>
              <w:jc w:val="center"/>
              <w:textAlignment w:val="center"/>
              <w:rPr>
                <w:rFonts w:ascii="宋体" w:hAnsi="宋体" w:eastAsia="宋体" w:cs="宋体"/>
                <w:color w:val="000000"/>
                <w:sz w:val="24"/>
                <w:szCs w:val="24"/>
              </w:rPr>
            </w:pPr>
          </w:p>
        </w:tc>
        <w:tc>
          <w:tcPr>
            <w:tcW w:w="1392" w:type="dxa"/>
            <w:vMerge w:val="continue"/>
            <w:tcBorders>
              <w:left w:val="single" w:color="000000" w:sz="4" w:space="0"/>
              <w:bottom w:val="single" w:color="auto" w:sz="4" w:space="0"/>
              <w:right w:val="single" w:color="000000" w:sz="4" w:space="0"/>
            </w:tcBorders>
            <w:vAlign w:val="center"/>
          </w:tcPr>
          <w:p>
            <w:pPr>
              <w:rPr>
                <w:rFonts w:ascii="宋体" w:hAnsi="宋体" w:eastAsia="宋体" w:cs="宋体"/>
                <w:color w:val="000000"/>
                <w:sz w:val="24"/>
                <w:szCs w:val="24"/>
              </w:rPr>
            </w:pPr>
          </w:p>
        </w:tc>
        <w:tc>
          <w:tcPr>
            <w:tcW w:w="165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4"/>
                <w:szCs w:val="24"/>
              </w:rPr>
            </w:pPr>
            <w:r>
              <w:rPr>
                <w:rFonts w:hint="eastAsia" w:ascii="宋体" w:hAnsi="宋体" w:eastAsia="宋体" w:cs="宋体"/>
                <w:color w:val="000000"/>
                <w:sz w:val="24"/>
                <w:szCs w:val="24"/>
              </w:rPr>
              <w:t>10m*4.25m</w:t>
            </w:r>
          </w:p>
        </w:tc>
        <w:tc>
          <w:tcPr>
            <w:tcW w:w="939" w:type="dxa"/>
            <w:vMerge w:val="continue"/>
            <w:tcBorders>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kern w:val="0"/>
                <w:sz w:val="24"/>
                <w:szCs w:val="24"/>
              </w:rPr>
            </w:pPr>
          </w:p>
        </w:tc>
        <w:tc>
          <w:tcPr>
            <w:tcW w:w="4512" w:type="dxa"/>
            <w:vMerge w:val="continue"/>
            <w:tcBorders>
              <w:left w:val="single" w:color="000000" w:sz="4" w:space="0"/>
              <w:bottom w:val="single" w:color="000000" w:sz="4" w:space="0"/>
              <w:right w:val="single" w:color="000000" w:sz="4" w:space="0"/>
            </w:tcBorders>
          </w:tcPr>
          <w:p>
            <w:pPr>
              <w:widowControl/>
              <w:jc w:val="center"/>
              <w:textAlignment w:val="top"/>
              <w:rPr>
                <w:rFonts w:ascii="宋体" w:hAnsi="宋体" w:eastAsia="宋体" w:cs="宋体"/>
                <w:color w:val="000000"/>
                <w:kern w:val="0"/>
                <w:sz w:val="24"/>
                <w:szCs w:val="24"/>
              </w:rPr>
            </w:pPr>
          </w:p>
        </w:tc>
        <w:tc>
          <w:tcPr>
            <w:tcW w:w="1275" w:type="dxa"/>
            <w:tcBorders>
              <w:top w:val="single" w:color="000000" w:sz="4" w:space="0"/>
              <w:left w:val="single" w:color="000000" w:sz="4" w:space="0"/>
              <w:bottom w:val="single" w:color="000000" w:sz="4" w:space="0"/>
              <w:right w:val="single" w:color="000000" w:sz="4" w:space="0"/>
            </w:tcBorders>
            <w:vAlign w:val="center"/>
          </w:tcPr>
          <w:p>
            <w:pPr>
              <w:jc w:val="center"/>
              <w:rPr>
                <w:rFonts w:ascii="Calibri" w:hAnsi="Calibri" w:eastAsia="宋体" w:cs="Times New Roman"/>
              </w:rPr>
            </w:pPr>
            <w:r>
              <w:rPr>
                <w:rFonts w:hint="eastAsia" w:ascii="宋体" w:hAnsi="宋体" w:eastAsia="宋体" w:cs="宋体"/>
                <w:color w:val="000000"/>
                <w:kern w:val="0"/>
                <w:sz w:val="24"/>
                <w:szCs w:val="24"/>
              </w:rPr>
              <w:t>1套</w:t>
            </w:r>
          </w:p>
        </w:tc>
      </w:tr>
      <w:tr>
        <w:tblPrEx>
          <w:tblLayout w:type="fixed"/>
          <w:tblCellMar>
            <w:top w:w="15" w:type="dxa"/>
            <w:left w:w="15" w:type="dxa"/>
            <w:bottom w:w="15" w:type="dxa"/>
            <w:right w:w="15" w:type="dxa"/>
          </w:tblCellMar>
        </w:tblPrEx>
        <w:trPr>
          <w:trHeight w:val="655" w:hRule="atLeast"/>
        </w:trPr>
        <w:tc>
          <w:tcPr>
            <w:tcW w:w="933" w:type="dxa"/>
            <w:vMerge w:val="continue"/>
            <w:tcBorders>
              <w:left w:val="single" w:color="000000" w:sz="4" w:space="0"/>
              <w:right w:val="single" w:color="auto" w:sz="4" w:space="0"/>
            </w:tcBorders>
            <w:vAlign w:val="center"/>
          </w:tcPr>
          <w:p>
            <w:pPr>
              <w:widowControl/>
              <w:jc w:val="center"/>
              <w:textAlignment w:val="center"/>
              <w:rPr>
                <w:rFonts w:ascii="宋体" w:hAnsi="宋体" w:eastAsia="宋体" w:cs="宋体"/>
                <w:color w:val="000000"/>
                <w:sz w:val="24"/>
                <w:szCs w:val="24"/>
              </w:rPr>
            </w:pPr>
          </w:p>
        </w:tc>
        <w:tc>
          <w:tcPr>
            <w:tcW w:w="1392"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sz w:val="24"/>
                <w:szCs w:val="24"/>
              </w:rPr>
            </w:pPr>
            <w:r>
              <w:rPr>
                <w:rFonts w:hint="eastAsia" w:ascii="宋体" w:hAnsi="宋体" w:eastAsia="宋体" w:cs="宋体"/>
                <w:color w:val="000000"/>
                <w:sz w:val="24"/>
                <w:szCs w:val="24"/>
              </w:rPr>
              <w:t>百叶窗帘</w:t>
            </w:r>
          </w:p>
        </w:tc>
        <w:tc>
          <w:tcPr>
            <w:tcW w:w="1659" w:type="dxa"/>
            <w:tcBorders>
              <w:top w:val="single" w:color="auto" w:sz="4" w:space="0"/>
              <w:left w:val="single" w:color="auto" w:sz="4" w:space="0"/>
              <w:bottom w:val="single" w:color="000000" w:sz="4" w:space="0"/>
              <w:right w:val="single" w:color="000000" w:sz="4" w:space="0"/>
            </w:tcBorders>
            <w:vAlign w:val="center"/>
          </w:tcPr>
          <w:p>
            <w:pPr>
              <w:jc w:val="center"/>
              <w:rPr>
                <w:rFonts w:ascii="宋体" w:hAnsi="宋体" w:eastAsia="宋体" w:cs="宋体"/>
                <w:color w:val="000000"/>
                <w:sz w:val="24"/>
                <w:szCs w:val="24"/>
              </w:rPr>
            </w:pPr>
            <w:r>
              <w:rPr>
                <w:rFonts w:hint="eastAsia" w:ascii="宋体" w:hAnsi="宋体" w:eastAsia="宋体" w:cs="宋体"/>
                <w:color w:val="000000"/>
                <w:sz w:val="24"/>
                <w:szCs w:val="24"/>
              </w:rPr>
              <w:t>1.42m*2.3m</w:t>
            </w:r>
          </w:p>
        </w:tc>
        <w:tc>
          <w:tcPr>
            <w:tcW w:w="939"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银灰色</w:t>
            </w:r>
          </w:p>
        </w:tc>
        <w:tc>
          <w:tcPr>
            <w:tcW w:w="4512"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采用优质铝合金材质打造，经氧化烤漆处理不腐蚀、生锈。叶片表面光滑。（含安装窗帘）</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1套</w:t>
            </w:r>
          </w:p>
        </w:tc>
      </w:tr>
      <w:tr>
        <w:tblPrEx>
          <w:tblLayout w:type="fixed"/>
          <w:tblCellMar>
            <w:top w:w="15" w:type="dxa"/>
            <w:left w:w="15" w:type="dxa"/>
            <w:bottom w:w="15" w:type="dxa"/>
            <w:right w:w="15" w:type="dxa"/>
          </w:tblCellMar>
        </w:tblPrEx>
        <w:trPr>
          <w:trHeight w:val="655" w:hRule="atLeast"/>
        </w:trPr>
        <w:tc>
          <w:tcPr>
            <w:tcW w:w="933" w:type="dxa"/>
            <w:vMerge w:val="continue"/>
            <w:tcBorders>
              <w:left w:val="single" w:color="000000" w:sz="4" w:space="0"/>
              <w:bottom w:val="single" w:color="auto" w:sz="4" w:space="0"/>
              <w:right w:val="single" w:color="auto" w:sz="4" w:space="0"/>
            </w:tcBorders>
            <w:vAlign w:val="center"/>
          </w:tcPr>
          <w:p>
            <w:pPr>
              <w:widowControl/>
              <w:jc w:val="center"/>
              <w:textAlignment w:val="center"/>
              <w:rPr>
                <w:rFonts w:ascii="宋体" w:hAnsi="宋体" w:eastAsia="宋体" w:cs="宋体"/>
                <w:color w:val="000000"/>
                <w:kern w:val="0"/>
                <w:sz w:val="24"/>
                <w:szCs w:val="24"/>
              </w:rPr>
            </w:pPr>
          </w:p>
        </w:tc>
        <w:tc>
          <w:tcPr>
            <w:tcW w:w="139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659" w:type="dxa"/>
            <w:tcBorders>
              <w:top w:val="single" w:color="000000" w:sz="4" w:space="0"/>
              <w:left w:val="single" w:color="auto" w:sz="4" w:space="0"/>
              <w:bottom w:val="single" w:color="auto" w:sz="4" w:space="0"/>
              <w:right w:val="single" w:color="000000" w:sz="4" w:space="0"/>
            </w:tcBorders>
            <w:vAlign w:val="center"/>
          </w:tcPr>
          <w:p>
            <w:pPr>
              <w:jc w:val="center"/>
              <w:rPr>
                <w:rFonts w:ascii="宋体" w:hAnsi="宋体" w:eastAsia="宋体" w:cs="宋体"/>
                <w:color w:val="000000"/>
                <w:sz w:val="24"/>
                <w:szCs w:val="24"/>
              </w:rPr>
            </w:pPr>
            <w:r>
              <w:rPr>
                <w:rFonts w:hint="eastAsia" w:ascii="宋体" w:hAnsi="宋体" w:eastAsia="宋体" w:cs="宋体"/>
                <w:color w:val="000000"/>
                <w:sz w:val="24"/>
                <w:szCs w:val="24"/>
              </w:rPr>
              <w:t>2m*2.3m</w:t>
            </w:r>
          </w:p>
        </w:tc>
        <w:tc>
          <w:tcPr>
            <w:tcW w:w="939" w:type="dxa"/>
            <w:vMerge w:val="continue"/>
            <w:tcBorders>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kern w:val="0"/>
                <w:sz w:val="24"/>
                <w:szCs w:val="24"/>
              </w:rPr>
            </w:pPr>
          </w:p>
        </w:tc>
        <w:tc>
          <w:tcPr>
            <w:tcW w:w="4512" w:type="dxa"/>
            <w:vMerge w:val="continue"/>
            <w:tcBorders>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kern w:val="0"/>
                <w:sz w:val="24"/>
                <w:szCs w:val="24"/>
              </w:rPr>
            </w:pP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kern w:val="0"/>
                <w:sz w:val="24"/>
                <w:szCs w:val="24"/>
              </w:rPr>
            </w:pPr>
            <w:r>
              <w:rPr>
                <w:rFonts w:hint="eastAsia" w:ascii="宋体" w:hAnsi="宋体" w:eastAsia="宋体" w:cs="宋体"/>
                <w:color w:val="000000"/>
                <w:sz w:val="24"/>
                <w:szCs w:val="24"/>
              </w:rPr>
              <w:t>9套</w:t>
            </w:r>
          </w:p>
        </w:tc>
      </w:tr>
      <w:tr>
        <w:tblPrEx>
          <w:tblLayout w:type="fixed"/>
          <w:tblCellMar>
            <w:top w:w="15" w:type="dxa"/>
            <w:left w:w="15" w:type="dxa"/>
            <w:bottom w:w="15" w:type="dxa"/>
            <w:right w:w="15" w:type="dxa"/>
          </w:tblCellMar>
        </w:tblPrEx>
        <w:trPr>
          <w:trHeight w:val="600" w:hRule="atLeast"/>
        </w:trPr>
        <w:tc>
          <w:tcPr>
            <w:tcW w:w="933"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rPr>
              <w:t>18</w:t>
            </w:r>
          </w:p>
        </w:tc>
        <w:tc>
          <w:tcPr>
            <w:tcW w:w="1392" w:type="dxa"/>
            <w:tcBorders>
              <w:top w:val="single" w:color="auto"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4"/>
                <w:szCs w:val="24"/>
              </w:rPr>
            </w:pPr>
            <w:r>
              <w:rPr>
                <w:rFonts w:hint="eastAsia" w:ascii="宋体" w:hAnsi="宋体" w:eastAsia="宋体" w:cs="宋体"/>
                <w:color w:val="000000"/>
                <w:kern w:val="0"/>
                <w:sz w:val="24"/>
                <w:szCs w:val="24"/>
              </w:rPr>
              <w:t>颈模道具</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0.21*0.19*0.58</w:t>
            </w:r>
          </w:p>
        </w:tc>
        <w:tc>
          <w:tcPr>
            <w:tcW w:w="9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白色</w:t>
            </w:r>
          </w:p>
        </w:tc>
        <w:tc>
          <w:tcPr>
            <w:tcW w:w="45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top"/>
              <w:rPr>
                <w:rFonts w:ascii="宋体" w:hAnsi="宋体" w:eastAsia="宋体" w:cs="宋体"/>
                <w:color w:val="000000"/>
                <w:sz w:val="24"/>
                <w:szCs w:val="24"/>
              </w:rPr>
            </w:pPr>
            <w:r>
              <w:rPr>
                <w:rFonts w:hint="eastAsia" w:ascii="宋体" w:hAnsi="宋体" w:eastAsia="宋体" w:cs="宋体"/>
                <w:color w:val="000000"/>
                <w:kern w:val="0"/>
                <w:sz w:val="24"/>
                <w:szCs w:val="24"/>
              </w:rPr>
              <w:t>玻璃钢材质（女模）</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800具</w:t>
            </w:r>
          </w:p>
        </w:tc>
      </w:tr>
      <w:tr>
        <w:tblPrEx>
          <w:tblLayout w:type="fixed"/>
          <w:tblCellMar>
            <w:top w:w="15" w:type="dxa"/>
            <w:left w:w="15" w:type="dxa"/>
            <w:bottom w:w="15" w:type="dxa"/>
            <w:right w:w="15" w:type="dxa"/>
          </w:tblCellMar>
        </w:tblPrEx>
        <w:trPr>
          <w:trHeight w:val="645" w:hRule="atLeast"/>
        </w:trPr>
        <w:tc>
          <w:tcPr>
            <w:tcW w:w="933" w:type="dxa"/>
            <w:vMerge w:val="continue"/>
            <w:tcBorders>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szCs w:val="24"/>
              </w:rPr>
            </w:pPr>
          </w:p>
        </w:tc>
        <w:tc>
          <w:tcPr>
            <w:tcW w:w="139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4"/>
                <w:szCs w:val="24"/>
              </w:rPr>
            </w:pPr>
            <w:r>
              <w:rPr>
                <w:rFonts w:hint="eastAsia" w:ascii="宋体" w:hAnsi="宋体" w:eastAsia="宋体" w:cs="宋体"/>
                <w:color w:val="000000"/>
                <w:kern w:val="0"/>
                <w:sz w:val="24"/>
                <w:szCs w:val="24"/>
              </w:rPr>
              <w:t>全模道具</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0.21*0.19*1.58</w:t>
            </w:r>
          </w:p>
        </w:tc>
        <w:tc>
          <w:tcPr>
            <w:tcW w:w="9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白色</w:t>
            </w:r>
          </w:p>
        </w:tc>
        <w:tc>
          <w:tcPr>
            <w:tcW w:w="4512" w:type="dxa"/>
            <w:tcBorders>
              <w:top w:val="single" w:color="000000" w:sz="4" w:space="0"/>
              <w:left w:val="single" w:color="000000" w:sz="4" w:space="0"/>
              <w:bottom w:val="single" w:color="000000" w:sz="4" w:space="0"/>
              <w:right w:val="single" w:color="000000" w:sz="4" w:space="0"/>
            </w:tcBorders>
          </w:tcPr>
          <w:p>
            <w:pPr>
              <w:widowControl/>
              <w:jc w:val="center"/>
              <w:textAlignment w:val="top"/>
              <w:rPr>
                <w:rFonts w:ascii="宋体" w:hAnsi="宋体" w:eastAsia="宋体" w:cs="宋体"/>
                <w:color w:val="000000"/>
                <w:sz w:val="24"/>
                <w:szCs w:val="24"/>
              </w:rPr>
            </w:pPr>
            <w:r>
              <w:rPr>
                <w:rFonts w:hint="eastAsia" w:ascii="宋体" w:hAnsi="宋体" w:eastAsia="宋体" w:cs="宋体"/>
                <w:color w:val="000000"/>
                <w:kern w:val="0"/>
                <w:sz w:val="24"/>
                <w:szCs w:val="24"/>
              </w:rPr>
              <w:t>玻璃刚材质：硬度高，表面处理后光滑，细致。（女模）</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20具</w:t>
            </w:r>
          </w:p>
        </w:tc>
      </w:tr>
    </w:tbl>
    <w:p>
      <w:pPr>
        <w:widowControl/>
        <w:shd w:val="clear" w:color="auto" w:fill="FFFFFF"/>
        <w:spacing w:line="360" w:lineRule="auto"/>
        <w:contextualSpacing/>
        <w:jc w:val="left"/>
        <w:rPr>
          <w:rFonts w:ascii="楷体" w:hAnsi="楷体" w:eastAsia="楷体" w:cs="宋体"/>
          <w:color w:val="000000"/>
          <w:kern w:val="0"/>
          <w:sz w:val="28"/>
          <w:szCs w:val="28"/>
          <w:lang w:val="zh-CN"/>
        </w:rPr>
      </w:pPr>
    </w:p>
    <w:p>
      <w:pPr>
        <w:spacing w:line="360" w:lineRule="auto"/>
        <w:ind w:firstLine="482" w:firstLineChars="200"/>
        <w:contextualSpacing/>
        <w:rPr>
          <w:rFonts w:cs="微软雅黑" w:asciiTheme="minorEastAsia" w:hAnsiTheme="minorEastAsia"/>
          <w:b/>
          <w:color w:val="FF0000"/>
          <w:sz w:val="24"/>
          <w:szCs w:val="24"/>
        </w:rPr>
      </w:pPr>
      <w:r>
        <w:rPr>
          <w:rFonts w:hint="eastAsia" w:cs="微软雅黑" w:asciiTheme="minorEastAsia" w:hAnsiTheme="minorEastAsia"/>
          <w:b/>
          <w:color w:val="FF0000"/>
          <w:sz w:val="24"/>
          <w:szCs w:val="24"/>
        </w:rPr>
        <w:t>本采购清单中所列技术规格或主要参数为最低要求，不允许负偏离，否则将承担其投标被视为非实质性响应投标的风险。</w:t>
      </w:r>
    </w:p>
    <w:p>
      <w:pPr>
        <w:spacing w:line="360" w:lineRule="auto"/>
        <w:ind w:firstLine="482" w:firstLineChars="200"/>
        <w:contextualSpacing/>
        <w:rPr>
          <w:rFonts w:cs="微软雅黑" w:asciiTheme="minorEastAsia" w:hAnsiTheme="minorEastAsia"/>
          <w:b/>
          <w:color w:val="FF0000"/>
          <w:sz w:val="24"/>
          <w:szCs w:val="24"/>
        </w:rPr>
      </w:pPr>
    </w:p>
    <w:p>
      <w:pPr>
        <w:spacing w:line="360" w:lineRule="auto"/>
        <w:ind w:firstLine="482" w:firstLineChars="200"/>
        <w:contextualSpacing/>
        <w:rPr>
          <w:rFonts w:cs="微软雅黑" w:asciiTheme="minorEastAsia" w:hAnsiTheme="minorEastAsia"/>
          <w:b/>
          <w:color w:val="FF0000"/>
          <w:sz w:val="24"/>
          <w:szCs w:val="24"/>
        </w:rPr>
      </w:pPr>
    </w:p>
    <w:p>
      <w:pPr>
        <w:spacing w:line="360" w:lineRule="auto"/>
        <w:ind w:firstLine="482" w:firstLineChars="200"/>
        <w:contextualSpacing/>
        <w:rPr>
          <w:rFonts w:cs="微软雅黑" w:asciiTheme="minorEastAsia" w:hAnsiTheme="minorEastAsia"/>
          <w:b/>
          <w:color w:val="FF0000"/>
          <w:sz w:val="24"/>
          <w:szCs w:val="24"/>
        </w:rPr>
      </w:pPr>
    </w:p>
    <w:p>
      <w:pPr>
        <w:spacing w:line="360" w:lineRule="auto"/>
        <w:ind w:firstLine="482" w:firstLineChars="200"/>
        <w:contextualSpacing/>
        <w:rPr>
          <w:rFonts w:ascii="楷体" w:hAnsi="楷体" w:eastAsia="楷体" w:cs="宋体"/>
          <w:color w:val="000000"/>
          <w:kern w:val="0"/>
          <w:sz w:val="28"/>
          <w:szCs w:val="28"/>
          <w:lang w:val="zh-CN"/>
        </w:rPr>
      </w:pPr>
      <w:r>
        <w:rPr>
          <w:rFonts w:hint="eastAsia" w:cs="微软雅黑" w:asciiTheme="minorEastAsia" w:hAnsiTheme="minorEastAsia"/>
          <w:b/>
          <w:color w:val="FF0000"/>
          <w:sz w:val="24"/>
          <w:szCs w:val="24"/>
        </w:rPr>
        <w:t>★</w:t>
      </w:r>
      <w:r>
        <w:rPr>
          <w:rFonts w:hint="eastAsia" w:cs="宋体" w:asciiTheme="minorEastAsia" w:hAnsiTheme="minorEastAsia"/>
          <w:b/>
          <w:color w:val="000000"/>
          <w:kern w:val="0"/>
          <w:sz w:val="24"/>
          <w:szCs w:val="24"/>
          <w:lang w:val="zh-CN"/>
        </w:rPr>
        <w:t>三、采购标的执行标准</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cs="仿宋_GB2312" w:asciiTheme="minorEastAsia" w:hAnsiTheme="minorEastAsia"/>
          <w:sz w:val="24"/>
          <w:szCs w:val="24"/>
          <w:lang w:val="zh-CN"/>
        </w:rPr>
        <w:t>强制性产品认证</w:t>
      </w:r>
    </w:p>
    <w:p>
      <w:pPr>
        <w:spacing w:line="360" w:lineRule="auto"/>
        <w:ind w:firstLine="480" w:firstLineChars="200"/>
        <w:contextualSpacing/>
        <w:rPr>
          <w:rFonts w:cs="宋体" w:asciiTheme="minorEastAsia" w:hAnsiTheme="minorEastAsia"/>
          <w:kern w:val="0"/>
          <w:sz w:val="24"/>
          <w:szCs w:val="24"/>
        </w:rPr>
      </w:pPr>
      <w:r>
        <w:rPr>
          <w:rFonts w:hint="eastAsia" w:cs="仿宋_GB2312" w:asciiTheme="minorEastAsia" w:hAnsiTheme="minorEastAsia"/>
          <w:sz w:val="24"/>
          <w:szCs w:val="24"/>
          <w:lang w:val="zh-CN"/>
        </w:rPr>
        <w:t>如投标人所投产品属于“中国强制性产品认证”（3C认证）范围内,则必须承诺采用</w:t>
      </w:r>
      <w:r>
        <w:rPr>
          <w:rFonts w:cs="仿宋_GB2312" w:asciiTheme="minorEastAsia" w:hAnsiTheme="minorEastAsia"/>
          <w:sz w:val="24"/>
          <w:szCs w:val="24"/>
          <w:lang w:val="zh-CN"/>
        </w:rPr>
        <w:t>《中华人民共和国实施强制性产品认证的产品目录》</w:t>
      </w:r>
      <w:r>
        <w:rPr>
          <w:rFonts w:hint="eastAsia" w:cs="仿宋_GB2312" w:asciiTheme="minorEastAsia" w:hAnsiTheme="minorEastAsia"/>
          <w:sz w:val="24"/>
          <w:szCs w:val="24"/>
          <w:lang w:val="zh-CN"/>
        </w:rPr>
        <w:t>并在有效期内的产品，应在投标文件中提供</w:t>
      </w:r>
      <w:r>
        <w:rPr>
          <w:rFonts w:hint="eastAsia" w:cs="仿宋_GB2312" w:asciiTheme="minorEastAsia" w:hAnsiTheme="minorEastAsia"/>
          <w:lang w:val="zh-CN"/>
        </w:rPr>
        <w:t>“</w:t>
      </w:r>
      <w:r>
        <w:rPr>
          <w:rFonts w:hint="eastAsia" w:cs="仿宋_GB2312" w:asciiTheme="minorEastAsia" w:hAnsiTheme="minorEastAsia"/>
          <w:sz w:val="24"/>
          <w:szCs w:val="24"/>
          <w:lang w:val="zh-CN"/>
        </w:rPr>
        <w:t>所投产品符合国家强制性要求承诺函</w:t>
      </w:r>
      <w:r>
        <w:rPr>
          <w:rFonts w:hint="eastAsia" w:cs="仿宋_GB2312" w:asciiTheme="minorEastAsia" w:hAnsiTheme="minorEastAsia"/>
          <w:lang w:val="zh-CN"/>
        </w:rPr>
        <w:t>”</w:t>
      </w:r>
      <w:r>
        <w:rPr>
          <w:rFonts w:hint="eastAsia" w:cs="仿宋_GB2312" w:asciiTheme="minorEastAsia" w:hAnsiTheme="minorEastAsia"/>
          <w:sz w:val="24"/>
          <w:szCs w:val="24"/>
          <w:lang w:val="zh-CN"/>
        </w:rPr>
        <w:t>并加盖投标人公章，否则将承担其投标被视为非实质性响应投标的风险。</w:t>
      </w:r>
    </w:p>
    <w:p>
      <w:pPr>
        <w:widowControl/>
        <w:shd w:val="clear" w:color="auto" w:fill="FFFFFF"/>
        <w:spacing w:line="360" w:lineRule="auto"/>
        <w:ind w:firstLine="482" w:firstLineChars="200"/>
        <w:contextualSpacing/>
        <w:jc w:val="left"/>
        <w:rPr>
          <w:rFonts w:ascii="楷体" w:hAnsi="楷体" w:eastAsia="楷体" w:cs="宋体"/>
          <w:color w:val="000000"/>
          <w:kern w:val="0"/>
          <w:sz w:val="28"/>
          <w:szCs w:val="28"/>
          <w:lang w:val="zh-CN"/>
        </w:rPr>
      </w:pPr>
      <w:r>
        <w:rPr>
          <w:rFonts w:hint="eastAsia" w:cs="微软雅黑" w:asciiTheme="minorEastAsia" w:hAnsiTheme="minorEastAsia"/>
          <w:b/>
          <w:color w:val="FF0000"/>
          <w:sz w:val="24"/>
          <w:szCs w:val="24"/>
        </w:rPr>
        <w:t>★</w:t>
      </w:r>
      <w:r>
        <w:rPr>
          <w:rFonts w:hint="eastAsia" w:cs="宋体" w:asciiTheme="minorEastAsia" w:hAnsiTheme="minorEastAsia"/>
          <w:b/>
          <w:color w:val="000000"/>
          <w:kern w:val="0"/>
          <w:sz w:val="24"/>
          <w:szCs w:val="24"/>
          <w:lang w:val="zh-CN"/>
        </w:rPr>
        <w:t>四、验收标准</w:t>
      </w:r>
    </w:p>
    <w:p>
      <w:pPr>
        <w:widowControl/>
        <w:shd w:val="clear" w:color="auto" w:fill="FFFFFF"/>
        <w:spacing w:line="360" w:lineRule="auto"/>
        <w:ind w:firstLine="480" w:firstLineChars="200"/>
        <w:contextualSpacing/>
        <w:jc w:val="left"/>
        <w:rPr>
          <w:rFonts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zh-CN"/>
        </w:rPr>
        <w:t>1、由</w:t>
      </w:r>
      <w:r>
        <w:rPr>
          <w:rFonts w:cs="宋体" w:asciiTheme="minorEastAsia" w:hAnsiTheme="minorEastAsia"/>
          <w:color w:val="000000"/>
          <w:kern w:val="0"/>
          <w:sz w:val="24"/>
          <w:szCs w:val="24"/>
          <w:lang w:val="zh-CN"/>
        </w:rPr>
        <w:t>采购人成立验收小组,按照采购合同的约定对</w:t>
      </w:r>
      <w:r>
        <w:rPr>
          <w:rFonts w:hint="eastAsia" w:cs="宋体" w:asciiTheme="minorEastAsia" w:hAnsiTheme="minorEastAsia"/>
          <w:color w:val="000000"/>
          <w:kern w:val="0"/>
          <w:sz w:val="24"/>
          <w:szCs w:val="24"/>
          <w:lang w:val="zh-CN"/>
        </w:rPr>
        <w:t>中标人</w:t>
      </w:r>
      <w:r>
        <w:rPr>
          <w:rFonts w:cs="宋体" w:asciiTheme="minorEastAsia" w:hAnsiTheme="minorEastAsia"/>
          <w:color w:val="000000"/>
          <w:kern w:val="0"/>
          <w:sz w:val="24"/>
          <w:szCs w:val="24"/>
          <w:lang w:val="zh-CN"/>
        </w:rPr>
        <w:t>履约情况进行验收。验收时,按照采购合同的约定对每一项技术、服务、安全标准的履约情况进行确认。验收结束后,出具验收书,列明各项标准的验收情况及项目总体评价,由验收双方共同签署。</w:t>
      </w:r>
    </w:p>
    <w:p>
      <w:pPr>
        <w:widowControl/>
        <w:shd w:val="clear" w:color="auto" w:fill="FFFFFF"/>
        <w:spacing w:line="360" w:lineRule="auto"/>
        <w:ind w:firstLine="480" w:firstLineChars="200"/>
        <w:contextualSpacing/>
        <w:jc w:val="left"/>
        <w:rPr>
          <w:rFonts w:ascii="仿宋" w:hAnsi="仿宋" w:eastAsia="仿宋" w:cs="宋体"/>
          <w:color w:val="000000"/>
          <w:kern w:val="0"/>
          <w:sz w:val="28"/>
          <w:szCs w:val="28"/>
          <w:lang w:val="zh-CN"/>
        </w:rPr>
      </w:pPr>
      <w:r>
        <w:rPr>
          <w:rFonts w:hint="eastAsia" w:cs="宋体" w:asciiTheme="minorEastAsia" w:hAnsiTheme="minorEastAsia"/>
          <w:color w:val="000000"/>
          <w:kern w:val="0"/>
          <w:sz w:val="24"/>
          <w:szCs w:val="24"/>
          <w:lang w:val="zh-CN"/>
        </w:rPr>
        <w:t>2、按照招标文件要求、投标文件响应和承诺验收</w:t>
      </w:r>
      <w:r>
        <w:rPr>
          <w:rFonts w:hint="eastAsia" w:ascii="仿宋" w:hAnsi="仿宋" w:eastAsia="仿宋" w:cs="宋体"/>
          <w:color w:val="000000"/>
          <w:kern w:val="0"/>
          <w:sz w:val="28"/>
          <w:szCs w:val="28"/>
          <w:lang w:val="zh-CN"/>
        </w:rPr>
        <w:t>；</w:t>
      </w:r>
    </w:p>
    <w:p>
      <w:pPr>
        <w:pStyle w:val="19"/>
        <w:widowControl/>
        <w:shd w:val="clear" w:color="auto" w:fill="FFFFFF"/>
        <w:spacing w:line="360" w:lineRule="auto"/>
        <w:ind w:firstLine="420"/>
        <w:contextualSpacing/>
        <w:jc w:val="left"/>
        <w:rPr>
          <w:rFonts w:cs="黑体" w:asciiTheme="minorEastAsia" w:hAnsiTheme="minorEastAsia" w:eastAsiaTheme="minorEastAsia"/>
          <w:b/>
          <w:bCs/>
          <w:color w:val="000000"/>
          <w:shd w:val="clear" w:color="auto" w:fill="FFFFFF"/>
        </w:rPr>
      </w:pPr>
      <w:r>
        <w:rPr>
          <w:rFonts w:hint="eastAsia" w:cs="微软雅黑" w:asciiTheme="minorEastAsia" w:hAnsiTheme="minorEastAsia" w:eastAsiaTheme="minorEastAsia"/>
          <w:b/>
          <w:color w:val="FF0000"/>
        </w:rPr>
        <w:t>★</w:t>
      </w:r>
      <w:r>
        <w:rPr>
          <w:rFonts w:hint="eastAsia" w:cs="黑体" w:asciiTheme="minorEastAsia" w:hAnsiTheme="minorEastAsia" w:eastAsiaTheme="minorEastAsia"/>
          <w:b/>
          <w:bCs/>
          <w:color w:val="000000"/>
          <w:shd w:val="clear" w:color="auto" w:fill="FFFFFF"/>
        </w:rPr>
        <w:t>五、本项目预算金额423298元。最高限价423298</w:t>
      </w:r>
      <w:r>
        <w:rPr>
          <w:rFonts w:hint="eastAsia" w:cs="宋体" w:asciiTheme="minorEastAsia" w:hAnsiTheme="minorEastAsia" w:eastAsiaTheme="minorEastAsia"/>
          <w:b/>
          <w:color w:val="000000"/>
          <w:kern w:val="0"/>
          <w:lang w:val="zh-CN"/>
        </w:rPr>
        <w:t>元。超出最高限价的投标无效。</w:t>
      </w:r>
    </w:p>
    <w:p>
      <w:pPr>
        <w:widowControl/>
        <w:shd w:val="clear" w:color="auto" w:fill="FFFFFF"/>
        <w:spacing w:line="360" w:lineRule="auto"/>
        <w:ind w:firstLine="482" w:firstLineChars="200"/>
        <w:contextualSpacing/>
        <w:jc w:val="left"/>
        <w:rPr>
          <w:rFonts w:cs="宋体" w:asciiTheme="minorEastAsia" w:hAnsiTheme="minorEastAsia"/>
          <w:b/>
          <w:color w:val="000000"/>
          <w:kern w:val="0"/>
          <w:sz w:val="24"/>
          <w:szCs w:val="24"/>
          <w:lang w:val="zh-CN"/>
        </w:rPr>
      </w:pPr>
      <w:r>
        <w:rPr>
          <w:rFonts w:hint="eastAsia" w:cs="微软雅黑" w:asciiTheme="minorEastAsia" w:hAnsiTheme="minorEastAsia"/>
          <w:b/>
          <w:color w:val="FF0000"/>
          <w:sz w:val="24"/>
          <w:szCs w:val="24"/>
        </w:rPr>
        <w:t>★</w:t>
      </w:r>
      <w:r>
        <w:rPr>
          <w:rFonts w:hint="eastAsia" w:cs="宋体" w:asciiTheme="minorEastAsia" w:hAnsiTheme="minorEastAsia"/>
          <w:b/>
          <w:color w:val="000000"/>
          <w:kern w:val="0"/>
          <w:sz w:val="24"/>
          <w:szCs w:val="24"/>
          <w:lang w:val="zh-CN"/>
        </w:rPr>
        <w:t>八、资金支付</w:t>
      </w:r>
    </w:p>
    <w:p>
      <w:pPr>
        <w:widowControl/>
        <w:shd w:val="clear" w:color="auto" w:fill="FFFFFF"/>
        <w:spacing w:line="360" w:lineRule="auto"/>
        <w:ind w:firstLine="480" w:firstLineChars="200"/>
        <w:contextualSpacing/>
        <w:jc w:val="left"/>
        <w:rPr>
          <w:rFonts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zh-CN"/>
        </w:rPr>
        <w:t>1、支付方式：银行转账</w:t>
      </w:r>
    </w:p>
    <w:p>
      <w:pPr>
        <w:widowControl/>
        <w:shd w:val="clear" w:color="auto" w:fill="FFFFFF"/>
        <w:spacing w:line="360" w:lineRule="auto"/>
        <w:ind w:firstLine="480" w:firstLineChars="200"/>
        <w:contextualSpacing/>
        <w:jc w:val="left"/>
        <w:rPr>
          <w:rFonts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zh-CN"/>
        </w:rPr>
        <w:t>2、支付时间及条件：合同签订后、货到安装调试完成、验收合格后支付合同总价款的95%，剩余5%满3年无质量问题一次付清。</w:t>
      </w:r>
    </w:p>
    <w:p>
      <w:pPr>
        <w:widowControl/>
        <w:shd w:val="clear" w:color="auto" w:fill="FFFFFF"/>
        <w:spacing w:line="360" w:lineRule="auto"/>
        <w:ind w:firstLine="480" w:firstLineChars="200"/>
        <w:contextualSpacing/>
        <w:jc w:val="left"/>
        <w:rPr>
          <w:rFonts w:cs="黑体" w:asciiTheme="minorEastAsia" w:hAnsiTheme="minorEastAsia"/>
          <w:color w:val="000000"/>
          <w:kern w:val="0"/>
          <w:sz w:val="24"/>
          <w:szCs w:val="24"/>
          <w:lang w:val="zh-CN"/>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第三章 投标人须知前附表</w:t>
      </w:r>
    </w:p>
    <w:p>
      <w:pPr>
        <w:autoSpaceDE w:val="0"/>
        <w:autoSpaceDN w:val="0"/>
        <w:adjustRightInd w:val="0"/>
        <w:spacing w:line="360" w:lineRule="auto"/>
        <w:ind w:right="-11"/>
        <w:jc w:val="left"/>
        <w:rPr>
          <w:rFonts w:cs="宋体" w:asciiTheme="minorEastAsia" w:hAnsiTheme="minorEastAsia"/>
          <w:b/>
          <w:kern w:val="0"/>
          <w:sz w:val="24"/>
          <w:szCs w:val="24"/>
        </w:rPr>
      </w:pPr>
      <w:r>
        <w:rPr>
          <w:rFonts w:hint="eastAsia" w:cs="微软雅黑"/>
          <w:b/>
          <w:color w:val="FF0000"/>
          <w:sz w:val="24"/>
          <w:szCs w:val="24"/>
        </w:rPr>
        <w:t>招标文件中凡标有</w:t>
      </w:r>
      <w:r>
        <w:rPr>
          <w:rFonts w:hint="eastAsia" w:cs="微软雅黑" w:asciiTheme="minorEastAsia" w:hAnsiTheme="minorEastAsia"/>
          <w:b/>
          <w:color w:val="FF0000"/>
          <w:sz w:val="24"/>
          <w:szCs w:val="24"/>
        </w:rPr>
        <w:t>★</w:t>
      </w:r>
      <w:r>
        <w:rPr>
          <w:rFonts w:hint="eastAsia" w:cs="微软雅黑"/>
          <w:b/>
          <w:color w:val="FF0000"/>
          <w:sz w:val="24"/>
          <w:szCs w:val="24"/>
        </w:rPr>
        <w:t>条款均为实质性要求条款，投标文件须完全响应，未实质响应的，按照无效投标处理。</w:t>
      </w:r>
    </w:p>
    <w:tbl>
      <w:tblPr>
        <w:tblStyle w:val="24"/>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采购项目</w:t>
            </w:r>
          </w:p>
        </w:tc>
        <w:tc>
          <w:tcPr>
            <w:tcW w:w="6813" w:type="dxa"/>
          </w:tcPr>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项目名称：许昌市东城区跨境电商产业园桌椅及窗帘等采购项目</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项目编号：JZFCG-G2018038号</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项目内容：单人位电脑桌（含独立抽屉柜）35套、单人椅413把等。</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项目地址：：许昌市东城区跨境电商产业园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采购人</w:t>
            </w:r>
          </w:p>
        </w:tc>
        <w:tc>
          <w:tcPr>
            <w:tcW w:w="6813" w:type="dxa"/>
            <w:vAlign w:val="center"/>
          </w:tcPr>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名称：许昌市东城区经济发展服务局</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地址：许昌市东城区前进路与魏文路交汇处东城区管委会</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联系人姓名：宋婷        联系电话：0374-2959705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3</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代理机构</w:t>
            </w:r>
          </w:p>
        </w:tc>
        <w:tc>
          <w:tcPr>
            <w:tcW w:w="6813" w:type="dxa"/>
            <w:vAlign w:val="center"/>
          </w:tcPr>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名称：中益工程管理有限公司</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地 址：许昌市天宝路于延安路交叉口五洲万商城411</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联系人：齐洪雨          联系电话：18567379719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4</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微软雅黑" w:asciiTheme="minorEastAsia" w:hAnsiTheme="minorEastAsia"/>
                <w:b/>
                <w:color w:val="FF0000"/>
                <w:sz w:val="24"/>
                <w:szCs w:val="24"/>
              </w:rPr>
              <w:t>★</w:t>
            </w:r>
            <w:r>
              <w:rPr>
                <w:rFonts w:hint="eastAsia" w:cs="仿宋_GB2312" w:asciiTheme="minorEastAsia" w:hAnsiTheme="minorEastAsia"/>
                <w:sz w:val="24"/>
                <w:szCs w:val="24"/>
              </w:rPr>
              <w:t>投标人资格</w:t>
            </w:r>
          </w:p>
        </w:tc>
        <w:tc>
          <w:tcPr>
            <w:tcW w:w="6813" w:type="dxa"/>
            <w:vAlign w:val="center"/>
          </w:tcPr>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bCs/>
                <w:sz w:val="24"/>
                <w:szCs w:val="24"/>
                <w:lang w:val="zh-CN"/>
              </w:rPr>
              <w:t>一、</w:t>
            </w:r>
            <w:r>
              <w:rPr>
                <w:rFonts w:cs="宋体" w:asciiTheme="minorEastAsia" w:hAnsiTheme="minorEastAsia"/>
                <w:b/>
                <w:bCs/>
                <w:sz w:val="24"/>
                <w:szCs w:val="24"/>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1、企业法人营业执照或营业执照。（企业投标提供）</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2、事业单位法人证书。（事业单位投标提供）</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3、执业许可证。（非专业服务机构投标提供）</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4、个体工商户营业执照。（个体工商户投标提供）</w:t>
            </w:r>
          </w:p>
          <w:p>
            <w:pPr>
              <w:autoSpaceDE w:val="0"/>
              <w:autoSpaceDN w:val="0"/>
              <w:adjustRightInd w:val="0"/>
              <w:spacing w:line="360" w:lineRule="auto"/>
              <w:jc w:val="left"/>
              <w:rPr>
                <w:rFonts w:cs="仿宋_GB2312" w:asciiTheme="minorEastAsia" w:hAnsiTheme="minorEastAsia"/>
                <w:sz w:val="24"/>
                <w:szCs w:val="24"/>
              </w:rPr>
            </w:pPr>
            <w:r>
              <w:rPr>
                <w:rFonts w:hint="eastAsia" w:cs="宋体" w:asciiTheme="minorEastAsia" w:hAnsiTheme="minorEastAsia"/>
                <w:bCs/>
                <w:sz w:val="24"/>
                <w:szCs w:val="24"/>
                <w:lang w:val="zh-CN"/>
              </w:rPr>
              <w:t>5、自然人身份证明。（自然人投标提供）</w:t>
            </w:r>
          </w:p>
          <w:p>
            <w:pPr>
              <w:autoSpaceDE w:val="0"/>
              <w:autoSpaceDN w:val="0"/>
              <w:adjustRightInd w:val="0"/>
              <w:spacing w:line="360" w:lineRule="auto"/>
              <w:jc w:val="left"/>
              <w:rPr>
                <w:rFonts w:cs="仿宋_GB2312" w:asciiTheme="minorEastAsia" w:hAnsiTheme="minorEastAsia"/>
                <w:b/>
                <w:sz w:val="24"/>
                <w:szCs w:val="24"/>
              </w:rPr>
            </w:pPr>
            <w:r>
              <w:rPr>
                <w:rFonts w:hint="eastAsia" w:cs="仿宋_GB2312" w:asciiTheme="minorEastAsia" w:hAnsiTheme="minorEastAsia"/>
                <w:b/>
                <w:sz w:val="24"/>
                <w:szCs w:val="24"/>
              </w:rPr>
              <w:t>二、财务状况报告相关材料</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仿宋_GB2312" w:asciiTheme="minorEastAsia" w:hAnsiTheme="minorEastAsia"/>
                <w:sz w:val="24"/>
                <w:szCs w:val="24"/>
              </w:rPr>
              <w:t>1、</w:t>
            </w:r>
            <w:r>
              <w:rPr>
                <w:rFonts w:hint="eastAsia" w:cs="宋体" w:asciiTheme="minorEastAsia" w:hAnsiTheme="minorEastAsia"/>
                <w:bCs/>
                <w:sz w:val="24"/>
                <w:szCs w:val="24"/>
                <w:lang w:val="zh-CN"/>
              </w:rPr>
              <w:t>201</w:t>
            </w:r>
            <w:r>
              <w:rPr>
                <w:rFonts w:hint="eastAsia" w:cs="宋体" w:asciiTheme="minorEastAsia" w:hAnsiTheme="minorEastAsia"/>
                <w:bCs/>
                <w:sz w:val="24"/>
                <w:szCs w:val="24"/>
              </w:rPr>
              <w:t>7</w:t>
            </w:r>
            <w:r>
              <w:rPr>
                <w:rFonts w:hint="eastAsia" w:cs="宋体" w:asciiTheme="minorEastAsia" w:hAnsiTheme="minorEastAsia"/>
                <w:bCs/>
                <w:sz w:val="24"/>
                <w:szCs w:val="24"/>
                <w:lang w:val="zh-CN"/>
              </w:rPr>
              <w:t>年度经审计的财务报告，包括资产负债表、利润表、现金流量表、所有者权益变动表及其附注；</w:t>
            </w:r>
            <w:r>
              <w:rPr>
                <w:rFonts w:hint="eastAsia" w:cs="宋体" w:asciiTheme="minorEastAsia" w:hAnsiTheme="minorEastAsia"/>
                <w:bCs/>
                <w:color w:val="FF0000"/>
                <w:sz w:val="24"/>
                <w:szCs w:val="24"/>
                <w:lang w:val="zh-CN"/>
              </w:rPr>
              <w:t>或</w:t>
            </w:r>
            <w:r>
              <w:rPr>
                <w:rFonts w:hint="eastAsia" w:cs="宋体" w:asciiTheme="minorEastAsia" w:hAnsiTheme="minorEastAsia"/>
                <w:bCs/>
                <w:sz w:val="24"/>
                <w:szCs w:val="24"/>
                <w:lang w:val="zh-CN"/>
              </w:rPr>
              <w:t>基本开户银行出具的资信证明；</w:t>
            </w:r>
            <w:r>
              <w:rPr>
                <w:rFonts w:hint="eastAsia" w:cs="宋体" w:asciiTheme="minorEastAsia" w:hAnsiTheme="minorEastAsia"/>
                <w:bCs/>
                <w:color w:val="FF0000"/>
                <w:sz w:val="24"/>
                <w:szCs w:val="24"/>
                <w:lang w:val="zh-CN"/>
              </w:rPr>
              <w:t>或</w:t>
            </w:r>
            <w:r>
              <w:rPr>
                <w:rFonts w:hint="eastAsia" w:cs="宋体" w:asciiTheme="minorEastAsia" w:hAnsiTheme="minorEastAsia"/>
                <w:bCs/>
                <w:sz w:val="24"/>
                <w:szCs w:val="24"/>
                <w:lang w:val="zh-CN"/>
              </w:rPr>
              <w:t>财政部门认可的政府采购专业担保机构的证明文件和担保机构出具的投标担保函。（法人投标提供。法人包括企业法人、机关法人、事业单位法人和社会团体法人）</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仿宋_GB2312" w:asciiTheme="minorEastAsia" w:hAnsiTheme="minorEastAsia"/>
                <w:sz w:val="24"/>
                <w:szCs w:val="24"/>
              </w:rPr>
              <w:t>2、</w:t>
            </w:r>
            <w:r>
              <w:rPr>
                <w:rFonts w:hint="eastAsia" w:cs="宋体" w:asciiTheme="minorEastAsia" w:hAnsiTheme="minorEastAsia"/>
                <w:bCs/>
                <w:sz w:val="24"/>
                <w:szCs w:val="24"/>
                <w:lang w:val="zh-CN"/>
              </w:rPr>
              <w:t>银行出具的资信证明；</w:t>
            </w:r>
            <w:r>
              <w:rPr>
                <w:rFonts w:hint="eastAsia" w:cs="宋体" w:asciiTheme="minorEastAsia" w:hAnsiTheme="minorEastAsia"/>
                <w:bCs/>
                <w:color w:val="FF0000"/>
                <w:sz w:val="24"/>
                <w:szCs w:val="24"/>
                <w:lang w:val="zh-CN"/>
              </w:rPr>
              <w:t>或</w:t>
            </w:r>
            <w:r>
              <w:rPr>
                <w:rFonts w:hint="eastAsia" w:cs="宋体" w:asciiTheme="minorEastAsia" w:hAnsiTheme="minorEastAsia"/>
                <w:bCs/>
                <w:sz w:val="24"/>
                <w:szCs w:val="24"/>
                <w:lang w:val="zh-CN"/>
              </w:rPr>
              <w:t>财政部门认可的政府采购专业担保机构的证明文件和担保机构出具的投标担保函。（其他组织和自然人投标提供）</w:t>
            </w:r>
          </w:p>
          <w:p>
            <w:pPr>
              <w:autoSpaceDE w:val="0"/>
              <w:autoSpaceDN w:val="0"/>
              <w:adjustRightInd w:val="0"/>
              <w:spacing w:line="360" w:lineRule="auto"/>
              <w:ind w:right="-11"/>
              <w:rPr>
                <w:rFonts w:cs="仿宋_GB2312" w:asciiTheme="minorEastAsia" w:hAnsiTheme="minorEastAsia"/>
                <w:b/>
                <w:sz w:val="24"/>
                <w:szCs w:val="24"/>
              </w:rPr>
            </w:pPr>
            <w:r>
              <w:rPr>
                <w:rFonts w:hint="eastAsia" w:cs="仿宋_GB2312" w:asciiTheme="minorEastAsia" w:hAnsiTheme="minorEastAsia"/>
                <w:b/>
                <w:sz w:val="24"/>
                <w:szCs w:val="24"/>
              </w:rPr>
              <w:t>三、依法缴纳税收相关材料</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税务登记证和投标截止时间前三个月内任意一个月缴纳税收凭据。（依法免税的投标人，应提供相应文件证明依法免税）</w:t>
            </w:r>
          </w:p>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bCs/>
                <w:sz w:val="24"/>
                <w:szCs w:val="24"/>
                <w:lang w:val="zh-CN"/>
              </w:rPr>
              <w:t>四、依法缴纳社会保障资金的证明材料</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投标截止时间前三个月内任意一个月缴纳社会保险凭据。（依法不需要缴纳社会保障资金的投标人，应提供相应文件证明依法不需要缴纳社会保障资金）</w:t>
            </w:r>
          </w:p>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bCs/>
                <w:sz w:val="24"/>
                <w:szCs w:val="24"/>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kern w:val="0"/>
                <w:sz w:val="24"/>
                <w:szCs w:val="24"/>
              </w:rPr>
            </w:pPr>
            <w:r>
              <w:rPr>
                <w:rFonts w:hint="eastAsia" w:cs="宋体" w:asciiTheme="minorEastAsia" w:hAnsiTheme="minorEastAsia"/>
                <w:bCs/>
                <w:sz w:val="24"/>
                <w:szCs w:val="24"/>
                <w:lang w:val="zh-CN"/>
              </w:rPr>
              <w:t>相关设备的购置发票、专业技术人员职称证书、用工合同等或者</w:t>
            </w:r>
            <w:r>
              <w:rPr>
                <w:rFonts w:hint="eastAsia" w:cs="宋体" w:asciiTheme="minorEastAsia" w:hAnsiTheme="minorEastAsia"/>
                <w:kern w:val="0"/>
                <w:sz w:val="24"/>
                <w:szCs w:val="24"/>
              </w:rPr>
              <w:t>附投标人相关承诺函或声明。</w:t>
            </w:r>
          </w:p>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kern w:val="0"/>
                <w:sz w:val="24"/>
                <w:szCs w:val="24"/>
              </w:rPr>
              <w:t>六、</w:t>
            </w:r>
            <w:r>
              <w:rPr>
                <w:rFonts w:cs="宋体" w:asciiTheme="minorEastAsia" w:hAnsiTheme="minorEastAsia"/>
                <w:b/>
                <w:bCs/>
                <w:sz w:val="24"/>
                <w:szCs w:val="24"/>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sz w:val="24"/>
                <w:szCs w:val="24"/>
                <w:lang w:val="zh-CN"/>
              </w:rPr>
            </w:pPr>
            <w:r>
              <w:rPr>
                <w:rFonts w:hint="eastAsia" w:cs="宋体" w:asciiTheme="minorEastAsia" w:hAnsiTheme="minorEastAsia"/>
                <w:bCs/>
                <w:sz w:val="24"/>
                <w:szCs w:val="24"/>
                <w:lang w:val="zh-CN"/>
              </w:rPr>
              <w:t>投标人“</w:t>
            </w:r>
            <w:r>
              <w:rPr>
                <w:rFonts w:cs="宋体" w:asciiTheme="minorEastAsia" w:hAnsiTheme="minorEastAsia"/>
                <w:bCs/>
                <w:sz w:val="24"/>
                <w:szCs w:val="24"/>
                <w:lang w:val="zh-CN"/>
              </w:rPr>
              <w:t>参加政府采购活动前3年内在经营活动中没有重大违法记录的书面声明</w:t>
            </w:r>
            <w:r>
              <w:rPr>
                <w:rFonts w:hint="eastAsia" w:cs="宋体" w:asciiTheme="minorEastAsia" w:hAnsiTheme="minorEastAsia"/>
                <w:bCs/>
                <w:sz w:val="24"/>
                <w:szCs w:val="24"/>
                <w:lang w:val="zh-CN"/>
              </w:rPr>
              <w:t>”。 重大违法记录，是指投标人因违法经营受到刑事处罚或者责令停产停业、吊销许可证或者执照、较大数额罚款等行政处罚。</w:t>
            </w:r>
          </w:p>
          <w:p>
            <w:pPr>
              <w:autoSpaceDE w:val="0"/>
              <w:autoSpaceDN w:val="0"/>
              <w:spacing w:line="360" w:lineRule="auto"/>
              <w:contextualSpacing/>
              <w:jc w:val="left"/>
              <w:rPr>
                <w:rFonts w:cs="宋体" w:asciiTheme="minorEastAsia" w:hAnsiTheme="minorEastAsia"/>
                <w:kern w:val="0"/>
                <w:sz w:val="24"/>
                <w:szCs w:val="24"/>
              </w:rPr>
            </w:pPr>
            <w:r>
              <w:rPr>
                <w:rFonts w:hint="eastAsia" w:cs="宋体" w:asciiTheme="minorEastAsia" w:hAnsiTheme="minorEastAsia"/>
                <w:b/>
                <w:bCs/>
                <w:sz w:val="24"/>
                <w:szCs w:val="24"/>
                <w:lang w:val="zh-CN"/>
              </w:rPr>
              <w:t>七、</w:t>
            </w:r>
            <w:r>
              <w:rPr>
                <w:rFonts w:cs="仿宋_GB2312" w:asciiTheme="minorEastAsia" w:hAnsiTheme="minorEastAsia"/>
                <w:b/>
                <w:color w:val="000000"/>
                <w:sz w:val="24"/>
                <w:szCs w:val="24"/>
                <w:shd w:val="clear" w:color="auto" w:fill="FFFFFF"/>
              </w:rPr>
              <w:t>未被列入“信用中国”网站(www.creditchina.gov.cn)失信被执行人、重大税收违法案件当事人名单、政府采购严重违法失信名单的投标人；</w:t>
            </w:r>
            <w:r>
              <w:rPr>
                <w:rFonts w:hint="eastAsia" w:cs="仿宋_GB2312" w:asciiTheme="minorEastAsia" w:hAnsiTheme="minorEastAsia"/>
                <w:b/>
                <w:color w:val="000000"/>
                <w:sz w:val="24"/>
                <w:szCs w:val="24"/>
                <w:shd w:val="clear" w:color="auto" w:fill="FFFFFF"/>
              </w:rPr>
              <w:t>“</w:t>
            </w:r>
            <w:r>
              <w:rPr>
                <w:rFonts w:cs="仿宋_GB2312" w:asciiTheme="minorEastAsia" w:hAnsiTheme="minorEastAsia"/>
                <w:b/>
                <w:color w:val="000000"/>
                <w:sz w:val="24"/>
                <w:szCs w:val="24"/>
                <w:shd w:val="clear" w:color="auto" w:fill="FFFFFF"/>
              </w:rPr>
              <w:t>中国政府采购网</w:t>
            </w:r>
            <w:r>
              <w:rPr>
                <w:rFonts w:hint="eastAsia" w:cs="仿宋_GB2312" w:asciiTheme="minorEastAsia" w:hAnsiTheme="minorEastAsia"/>
                <w:b/>
                <w:color w:val="000000"/>
                <w:sz w:val="24"/>
                <w:szCs w:val="24"/>
                <w:shd w:val="clear" w:color="auto" w:fill="FFFFFF"/>
              </w:rPr>
              <w:t>”</w:t>
            </w:r>
            <w:r>
              <w:rPr>
                <w:rFonts w:cs="仿宋_GB2312" w:asciiTheme="minorEastAsia" w:hAnsiTheme="minorEastAsia"/>
                <w:b/>
                <w:color w:val="000000"/>
                <w:sz w:val="24"/>
                <w:szCs w:val="24"/>
                <w:shd w:val="clear" w:color="auto" w:fill="FFFFFF"/>
              </w:rPr>
              <w:t xml:space="preserve"> (www.ccgp.gov.cn)政府采购严重违法失信行为记录名单的投标人</w:t>
            </w:r>
            <w:r>
              <w:rPr>
                <w:rFonts w:hint="eastAsia" w:cs="宋体" w:asciiTheme="minorEastAsia" w:hAnsiTheme="minorEastAsia"/>
                <w:b/>
                <w:bCs/>
                <w:sz w:val="24"/>
                <w:szCs w:val="24"/>
                <w:lang w:val="zh-CN"/>
              </w:rPr>
              <w:t>。</w:t>
            </w:r>
            <w:r>
              <w:rPr>
                <w:rFonts w:hint="eastAsia" w:cs="宋体" w:asciiTheme="minorEastAsia" w:hAnsiTheme="minorEastAsia"/>
                <w:kern w:val="0"/>
                <w:sz w:val="24"/>
                <w:szCs w:val="24"/>
              </w:rPr>
              <w:t>（联合体形式投标的，联合体成员存在不良信用记录，视同联合体存在不良信用记录）。</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1、查询渠道：“信用中国”网站（</w:t>
            </w:r>
            <w:r>
              <w:rPr>
                <w:rFonts w:cs="宋体" w:asciiTheme="minorEastAsia" w:hAnsiTheme="minorEastAsia"/>
                <w:kern w:val="0"/>
                <w:sz w:val="24"/>
                <w:szCs w:val="24"/>
              </w:rPr>
              <w:t>www.creditchina.gov.cn</w:t>
            </w:r>
            <w:r>
              <w:rPr>
                <w:rFonts w:hint="eastAsia" w:cs="宋体" w:asciiTheme="minorEastAsia" w:hAnsiTheme="minorEastAsia"/>
                <w:kern w:val="0"/>
                <w:sz w:val="24"/>
                <w:szCs w:val="24"/>
              </w:rPr>
              <w:t>）和“中国政府采购网”（</w:t>
            </w:r>
            <w:r>
              <w:rPr>
                <w:rFonts w:cs="宋体" w:asciiTheme="minorEastAsia" w:hAnsiTheme="minorEastAsia"/>
                <w:kern w:val="0"/>
                <w:sz w:val="24"/>
                <w:szCs w:val="24"/>
              </w:rPr>
              <w:t>www.ccgp.gov.cn</w:t>
            </w:r>
            <w:r>
              <w:rPr>
                <w:rFonts w:hint="eastAsia" w:cs="宋体" w:asciiTheme="minorEastAsia" w:hAnsiTheme="minorEastAsia"/>
                <w:kern w:val="0"/>
                <w:sz w:val="24"/>
                <w:szCs w:val="24"/>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2、截止时间：同投标截止时间；</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4、信用信息的使用原则：经采购人认定的被列入失信被执行人、重大税收违法案件当事人名单、政府采购严重违法失信行为记录名单的投标人，将拒绝其参与政府采购活动。</w:t>
            </w:r>
          </w:p>
          <w:p>
            <w:pPr>
              <w:autoSpaceDE w:val="0"/>
              <w:autoSpaceDN w:val="0"/>
              <w:spacing w:line="360" w:lineRule="auto"/>
              <w:contextualSpacing/>
              <w:rPr>
                <w:rFonts w:cs="仿宋_GB2312" w:asciiTheme="minorEastAsia" w:hAnsiTheme="minorEastAsia"/>
                <w:sz w:val="24"/>
                <w:szCs w:val="24"/>
              </w:rPr>
            </w:pPr>
            <w:r>
              <w:rPr>
                <w:rFonts w:hint="eastAsia" w:cs="宋体" w:asciiTheme="minorEastAsia" w:hAnsiTheme="minor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5</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微软雅黑" w:asciiTheme="minorEastAsia" w:hAnsiTheme="minorEastAsia"/>
                <w:b/>
                <w:color w:val="FF0000"/>
                <w:sz w:val="24"/>
                <w:szCs w:val="24"/>
              </w:rPr>
              <w:t>★</w:t>
            </w:r>
            <w:r>
              <w:rPr>
                <w:rFonts w:hint="eastAsia" w:cs="宋体" w:asciiTheme="minorEastAsia" w:hAnsiTheme="minorEastAsia"/>
                <w:bCs/>
                <w:sz w:val="24"/>
                <w:szCs w:val="24"/>
                <w:lang w:val="zh-CN"/>
              </w:rPr>
              <w:t>联合体投标</w:t>
            </w:r>
          </w:p>
        </w:tc>
        <w:tc>
          <w:tcPr>
            <w:tcW w:w="6813"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kern w:val="0"/>
                <w:sz w:val="24"/>
                <w:szCs w:val="24"/>
              </w:rPr>
              <w:t>本项目</w:t>
            </w:r>
            <w:r>
              <w:rPr>
                <w:rFonts w:cs="宋体" w:asciiTheme="minorEastAsia" w:hAnsiTheme="minorEastAsia"/>
                <w:b/>
                <w:color w:val="000000"/>
                <w:kern w:val="0"/>
                <w:sz w:val="24"/>
                <w:szCs w:val="24"/>
                <w:lang w:val="zh-CN"/>
              </w:rPr>
              <w:fldChar w:fldCharType="begin"/>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kern w:val="0"/>
                <w:sz w:val="24"/>
                <w:szCs w:val="24"/>
              </w:rPr>
              <w:t>不接受</w:t>
            </w:r>
            <w:r>
              <w:rPr>
                <w:rFonts w:hint="eastAsia" w:cs="宋体" w:asciiTheme="minorEastAsia" w:hAnsiTheme="minorEastAsia"/>
                <w:bCs/>
                <w:sz w:val="24"/>
                <w:szCs w:val="24"/>
                <w:lang w:val="zh-CN"/>
              </w:rPr>
              <w:t>□接受</w:t>
            </w:r>
            <w:r>
              <w:rPr>
                <w:rFonts w:hint="eastAsia" w:cs="宋体" w:asciiTheme="minorEastAsia" w:hAnsiTheme="minorEastAsia"/>
                <w:kern w:val="0"/>
                <w:sz w:val="24"/>
                <w:szCs w:val="24"/>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6</w:t>
            </w:r>
          </w:p>
        </w:tc>
        <w:tc>
          <w:tcPr>
            <w:tcW w:w="2268" w:type="dxa"/>
            <w:vAlign w:val="center"/>
          </w:tcPr>
          <w:p>
            <w:pPr>
              <w:autoSpaceDE w:val="0"/>
              <w:autoSpaceDN w:val="0"/>
              <w:adjustRightInd w:val="0"/>
              <w:spacing w:line="276" w:lineRule="auto"/>
              <w:ind w:firstLine="361" w:firstLineChars="150"/>
              <w:rPr>
                <w:rFonts w:cs="宋体" w:asciiTheme="minorEastAsia" w:hAnsiTheme="minorEastAsia"/>
                <w:bCs/>
                <w:sz w:val="24"/>
                <w:szCs w:val="24"/>
                <w:lang w:val="zh-CN"/>
              </w:rPr>
            </w:pPr>
            <w:r>
              <w:rPr>
                <w:rFonts w:hint="eastAsia" w:cs="微软雅黑" w:asciiTheme="minorEastAsia" w:hAnsiTheme="minorEastAsia"/>
                <w:b/>
                <w:color w:val="FF0000"/>
                <w:sz w:val="24"/>
                <w:szCs w:val="24"/>
              </w:rPr>
              <w:t>★</w:t>
            </w:r>
            <w:r>
              <w:rPr>
                <w:rFonts w:hint="eastAsia" w:cs="宋体" w:asciiTheme="minorEastAsia" w:hAnsiTheme="minorEastAsia"/>
                <w:bCs/>
                <w:sz w:val="24"/>
                <w:szCs w:val="24"/>
                <w:lang w:val="zh-CN"/>
              </w:rPr>
              <w:t>最高限价</w:t>
            </w:r>
          </w:p>
        </w:tc>
        <w:tc>
          <w:tcPr>
            <w:tcW w:w="6813" w:type="dxa"/>
            <w:vAlign w:val="center"/>
          </w:tcPr>
          <w:p>
            <w:pPr>
              <w:autoSpaceDE w:val="0"/>
              <w:autoSpaceDN w:val="0"/>
              <w:adjustRightInd w:val="0"/>
              <w:spacing w:line="276" w:lineRule="auto"/>
              <w:ind w:firstLine="240" w:firstLineChars="100"/>
              <w:rPr>
                <w:rFonts w:cs="宋体" w:asciiTheme="minorEastAsia" w:hAnsiTheme="minorEastAsia"/>
                <w:bCs/>
                <w:sz w:val="24"/>
                <w:szCs w:val="24"/>
                <w:lang w:val="zh-CN"/>
              </w:rPr>
            </w:pPr>
            <w:r>
              <w:rPr>
                <w:rFonts w:hint="eastAsia" w:ascii="宋体" w:hAnsi="宋体" w:eastAsia="宋体" w:cs="宋体"/>
                <w:bCs/>
                <w:sz w:val="24"/>
                <w:szCs w:val="24"/>
              </w:rPr>
              <w:t>423298</w:t>
            </w:r>
            <w:r>
              <w:rPr>
                <w:rFonts w:hint="eastAsia" w:cs="宋体" w:asciiTheme="minorEastAsia" w:hAnsiTheme="minorEastAsia"/>
                <w:bCs/>
                <w:sz w:val="24"/>
                <w:szCs w:val="24"/>
                <w:lang w:val="zh-CN"/>
              </w:rPr>
              <w:t>元，超出最高限价的投标无效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7</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现场考察</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不组织</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bCs/>
                <w:sz w:val="24"/>
                <w:szCs w:val="24"/>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8</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开标前答疑会</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不召开</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9</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进口产品参与</w:t>
            </w:r>
          </w:p>
        </w:tc>
        <w:tc>
          <w:tcPr>
            <w:tcW w:w="6813" w:type="dxa"/>
            <w:vAlign w:val="center"/>
          </w:tcPr>
          <w:p>
            <w:pPr>
              <w:autoSpaceDE w:val="0"/>
              <w:autoSpaceDN w:val="0"/>
              <w:adjustRightInd w:val="0"/>
              <w:spacing w:line="276" w:lineRule="auto"/>
              <w:rPr>
                <w:rFonts w:asciiTheme="minorEastAsia" w:hAnsiTheme="minorEastAsia"/>
                <w:sz w:val="24"/>
                <w:szCs w:val="24"/>
              </w:rPr>
            </w:pPr>
            <w:r>
              <w:rPr>
                <w:rFonts w:cs="宋体" w:asciiTheme="minorEastAsia" w:hAnsiTheme="minorEastAsia"/>
                <w:b/>
                <w:color w:val="000000"/>
                <w:kern w:val="0"/>
                <w:sz w:val="24"/>
                <w:szCs w:val="24"/>
                <w:lang w:val="zh-CN"/>
              </w:rPr>
              <w:fldChar w:fldCharType="begin"/>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10</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微软雅黑" w:asciiTheme="minorEastAsia" w:hAnsiTheme="minorEastAsia"/>
                <w:b/>
                <w:color w:val="FF0000"/>
                <w:sz w:val="24"/>
                <w:szCs w:val="24"/>
              </w:rPr>
              <w:t>★</w:t>
            </w:r>
            <w:r>
              <w:rPr>
                <w:rFonts w:hint="eastAsia" w:cs="仿宋_GB2312" w:asciiTheme="minorEastAsia" w:hAnsiTheme="minorEastAsia"/>
                <w:sz w:val="24"/>
                <w:szCs w:val="24"/>
              </w:rPr>
              <w:t>投标有效期</w:t>
            </w:r>
          </w:p>
        </w:tc>
        <w:tc>
          <w:tcPr>
            <w:tcW w:w="6813" w:type="dxa"/>
            <w:vAlign w:val="center"/>
          </w:tcPr>
          <w:p>
            <w:pPr>
              <w:autoSpaceDE w:val="0"/>
              <w:autoSpaceDN w:val="0"/>
              <w:adjustRightInd w:val="0"/>
              <w:spacing w:line="360" w:lineRule="auto"/>
              <w:rPr>
                <w:rFonts w:cs="仿宋_GB2312" w:asciiTheme="minorEastAsia" w:hAnsiTheme="minorEastAsia"/>
                <w:sz w:val="24"/>
                <w:szCs w:val="24"/>
              </w:rPr>
            </w:pPr>
            <w:r>
              <w:rPr>
                <w:rFonts w:hint="eastAsia" w:cs="仿宋_GB2312" w:asciiTheme="minorEastAsia" w:hAnsiTheme="minorEastAsia"/>
                <w:sz w:val="24"/>
                <w:szCs w:val="24"/>
              </w:rPr>
              <w:t>60天（自</w:t>
            </w:r>
            <w:r>
              <w:rPr>
                <w:rFonts w:hint="eastAsia" w:cs="宋体" w:asciiTheme="minorEastAsia" w:hAnsiTheme="minorEastAsia"/>
                <w:kern w:val="0"/>
                <w:sz w:val="24"/>
                <w:szCs w:val="24"/>
              </w:rPr>
              <w:t>提交投标文件的截止之日起算</w:t>
            </w:r>
            <w:r>
              <w:rPr>
                <w:rFonts w:hint="eastAsia" w:cs="仿宋_GB2312" w:asciiTheme="minorEastAsia" w:hAnsiTheme="minorEastAsia"/>
                <w:sz w:val="24"/>
                <w:szCs w:val="24"/>
              </w:rPr>
              <w:t>）</w:t>
            </w:r>
          </w:p>
          <w:p>
            <w:pPr>
              <w:autoSpaceDE w:val="0"/>
              <w:autoSpaceDN w:val="0"/>
              <w:adjustRightInd w:val="0"/>
              <w:spacing w:line="360" w:lineRule="auto"/>
              <w:rPr>
                <w:rFonts w:cs="仿宋_GB2312" w:asciiTheme="minorEastAsia" w:hAnsiTheme="minorEastAsia"/>
                <w:sz w:val="24"/>
                <w:szCs w:val="24"/>
              </w:rPr>
            </w:pPr>
            <w:r>
              <w:rPr>
                <w:rFonts w:cs="仿宋_GB2312" w:asciiTheme="minorEastAsia" w:hAnsiTheme="minorEastAsia"/>
                <w:sz w:val="24"/>
                <w:szCs w:val="24"/>
                <w:lang w:val="zh-CN"/>
              </w:rPr>
              <w:t>中标</w:t>
            </w:r>
            <w:r>
              <w:rPr>
                <w:rFonts w:hint="eastAsia" w:cs="仿宋_GB2312" w:asciiTheme="minorEastAsia" w:hAnsiTheme="minorEastAsia"/>
                <w:sz w:val="24"/>
                <w:szCs w:val="24"/>
                <w:lang w:val="zh-CN"/>
              </w:rPr>
              <w:t>人投标</w:t>
            </w:r>
            <w:r>
              <w:rPr>
                <w:rFonts w:cs="仿宋_GB2312" w:asciiTheme="minorEastAsia" w:hAnsiTheme="minorEastAsia"/>
                <w:sz w:val="24"/>
                <w:szCs w:val="24"/>
                <w:lang w:val="zh-CN"/>
              </w:rPr>
              <w:t>有效期延</w:t>
            </w:r>
            <w:r>
              <w:rPr>
                <w:rFonts w:hint="eastAsia" w:cs="仿宋_GB2312" w:asciiTheme="minorEastAsia" w:hAnsiTheme="minorEastAsia"/>
                <w:sz w:val="24"/>
                <w:szCs w:val="24"/>
                <w:lang w:val="zh-CN"/>
              </w:rPr>
              <w:t>至合同</w:t>
            </w:r>
            <w:r>
              <w:rPr>
                <w:rFonts w:cs="仿宋_GB2312" w:asciiTheme="minorEastAsia" w:hAnsiTheme="minorEastAsia"/>
                <w:sz w:val="24"/>
                <w:szCs w:val="24"/>
                <w:lang w:val="zh-CN"/>
              </w:rPr>
              <w:t>验收之日</w:t>
            </w:r>
            <w:r>
              <w:rPr>
                <w:rFonts w:hint="eastAsia" w:cs="仿宋_GB2312" w:asciiTheme="minorEastAsia" w:hAnsiTheme="minorEastAsia"/>
                <w:sz w:val="24"/>
                <w:szCs w:val="24"/>
                <w:lang w:val="zh-CN"/>
              </w:rPr>
              <w:t>，</w:t>
            </w:r>
            <w:r>
              <w:rPr>
                <w:rFonts w:hint="eastAsia" w:cs="宋体" w:asciiTheme="minorEastAsia" w:hAnsiTheme="minorEastAsia"/>
                <w:kern w:val="0"/>
                <w:sz w:val="24"/>
                <w:szCs w:val="24"/>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11</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中标人将本项目的非主体、非关键性</w:t>
            </w:r>
          </w:p>
          <w:p>
            <w:pPr>
              <w:autoSpaceDE w:val="0"/>
              <w:autoSpaceDN w:val="0"/>
              <w:adjustRightInd w:val="0"/>
              <w:spacing w:line="360" w:lineRule="auto"/>
              <w:jc w:val="center"/>
              <w:rPr>
                <w:rFonts w:cs="仿宋_GB2312" w:asciiTheme="minorEastAsia" w:hAnsiTheme="minorEastAsia"/>
                <w:sz w:val="24"/>
                <w:szCs w:val="24"/>
              </w:rPr>
            </w:pPr>
            <w:r>
              <w:rPr>
                <w:rFonts w:cs="宋体" w:asciiTheme="minorEastAsia" w:hAnsiTheme="minorEastAsia"/>
                <w:bCs/>
                <w:sz w:val="24"/>
                <w:szCs w:val="24"/>
                <w:lang w:val="zh-CN"/>
              </w:rPr>
              <w:t>工作分包</w:t>
            </w:r>
          </w:p>
        </w:tc>
        <w:tc>
          <w:tcPr>
            <w:tcW w:w="6813" w:type="dxa"/>
            <w:vAlign w:val="center"/>
          </w:tcPr>
          <w:p>
            <w:pPr>
              <w:autoSpaceDE w:val="0"/>
              <w:autoSpaceDN w:val="0"/>
              <w:adjustRightInd w:val="0"/>
              <w:spacing w:line="276" w:lineRule="auto"/>
              <w:rPr>
                <w:rFonts w:cs="仿宋_GB2312" w:asciiTheme="minorEastAsia" w:hAnsiTheme="minorEastAsia"/>
                <w:sz w:val="24"/>
                <w:szCs w:val="24"/>
              </w:rPr>
            </w:pPr>
            <w:r>
              <w:rPr>
                <w:rFonts w:cs="宋体" w:asciiTheme="minorEastAsia" w:hAnsiTheme="minorEastAsia"/>
                <w:b/>
                <w:color w:val="000000"/>
                <w:kern w:val="0"/>
                <w:sz w:val="24"/>
                <w:szCs w:val="24"/>
                <w:lang w:val="zh-CN"/>
              </w:rPr>
              <w:fldChar w:fldCharType="begin"/>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cs="仿宋_GB2312"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12</w:t>
            </w:r>
          </w:p>
        </w:tc>
        <w:tc>
          <w:tcPr>
            <w:tcW w:w="2268" w:type="dxa"/>
            <w:vAlign w:val="center"/>
          </w:tcPr>
          <w:p>
            <w:pPr>
              <w:autoSpaceDE w:val="0"/>
              <w:autoSpaceDN w:val="0"/>
              <w:adjustRightInd w:val="0"/>
              <w:spacing w:line="360" w:lineRule="auto"/>
              <w:jc w:val="center"/>
              <w:rPr>
                <w:rFonts w:cs="宋体" w:asciiTheme="minorEastAsia" w:hAnsiTheme="minorEastAsia"/>
                <w:bCs/>
                <w:color w:val="0000FF"/>
                <w:sz w:val="24"/>
                <w:szCs w:val="24"/>
                <w:lang w:val="zh-CN"/>
              </w:rPr>
            </w:pPr>
            <w:r>
              <w:rPr>
                <w:rFonts w:hint="eastAsia" w:cs="宋体" w:asciiTheme="minorEastAsia" w:hAnsiTheme="minorEastAsia"/>
                <w:bCs/>
                <w:color w:val="0000FF"/>
                <w:sz w:val="24"/>
                <w:szCs w:val="24"/>
                <w:lang w:val="zh-CN"/>
              </w:rPr>
              <w:t>投标截止及</w:t>
            </w:r>
          </w:p>
          <w:p>
            <w:pPr>
              <w:autoSpaceDE w:val="0"/>
              <w:autoSpaceDN w:val="0"/>
              <w:adjustRightInd w:val="0"/>
              <w:spacing w:line="360" w:lineRule="auto"/>
              <w:jc w:val="center"/>
              <w:rPr>
                <w:rFonts w:cs="宋体" w:asciiTheme="minorEastAsia" w:hAnsiTheme="minorEastAsia"/>
                <w:bCs/>
                <w:color w:val="0000FF"/>
                <w:sz w:val="24"/>
                <w:szCs w:val="24"/>
                <w:lang w:val="zh-CN"/>
              </w:rPr>
            </w:pPr>
            <w:r>
              <w:rPr>
                <w:rFonts w:hint="eastAsia" w:cs="宋体" w:asciiTheme="minorEastAsia" w:hAnsiTheme="minorEastAsia"/>
                <w:bCs/>
                <w:color w:val="0000FF"/>
                <w:sz w:val="24"/>
                <w:szCs w:val="24"/>
                <w:lang w:val="zh-CN"/>
              </w:rPr>
              <w:t>开标时间</w:t>
            </w:r>
          </w:p>
        </w:tc>
        <w:tc>
          <w:tcPr>
            <w:tcW w:w="6813" w:type="dxa"/>
            <w:vAlign w:val="center"/>
          </w:tcPr>
          <w:p>
            <w:pPr>
              <w:autoSpaceDE w:val="0"/>
              <w:autoSpaceDN w:val="0"/>
              <w:adjustRightInd w:val="0"/>
              <w:spacing w:line="360" w:lineRule="auto"/>
              <w:rPr>
                <w:rFonts w:cs="宋体" w:asciiTheme="minorEastAsia" w:hAnsiTheme="minorEastAsia"/>
                <w:bCs/>
                <w:color w:val="0000FF"/>
                <w:sz w:val="24"/>
                <w:szCs w:val="24"/>
                <w:lang w:val="zh-CN"/>
              </w:rPr>
            </w:pPr>
            <w:r>
              <w:rPr>
                <w:rFonts w:hint="eastAsia" w:cs="宋体" w:asciiTheme="minorEastAsia" w:hAnsiTheme="minorEastAsia"/>
                <w:bCs/>
                <w:color w:val="0000FF"/>
                <w:sz w:val="24"/>
                <w:szCs w:val="24"/>
                <w:lang w:val="zh-CN"/>
              </w:rPr>
              <w:t>2018年</w:t>
            </w:r>
            <w:r>
              <w:rPr>
                <w:rFonts w:hint="eastAsia" w:cs="宋体" w:asciiTheme="minorEastAsia" w:hAnsiTheme="minorEastAsia"/>
                <w:bCs/>
                <w:color w:val="0000FF"/>
                <w:sz w:val="24"/>
                <w:szCs w:val="24"/>
              </w:rPr>
              <w:t>6</w:t>
            </w:r>
            <w:r>
              <w:rPr>
                <w:rFonts w:hint="eastAsia" w:cs="宋体" w:asciiTheme="minorEastAsia" w:hAnsiTheme="minorEastAsia"/>
                <w:bCs/>
                <w:color w:val="0000FF"/>
                <w:sz w:val="24"/>
                <w:szCs w:val="24"/>
                <w:lang w:val="zh-CN"/>
              </w:rPr>
              <w:t xml:space="preserve">月 </w:t>
            </w:r>
            <w:r>
              <w:rPr>
                <w:rFonts w:hint="eastAsia" w:cs="宋体" w:asciiTheme="minorEastAsia" w:hAnsiTheme="minorEastAsia"/>
                <w:bCs/>
                <w:color w:val="0000FF"/>
                <w:sz w:val="24"/>
                <w:szCs w:val="24"/>
              </w:rPr>
              <w:t>28</w:t>
            </w:r>
            <w:r>
              <w:rPr>
                <w:rFonts w:hint="eastAsia" w:cs="宋体" w:asciiTheme="minorEastAsia" w:hAnsiTheme="minorEastAsia"/>
                <w:bCs/>
                <w:color w:val="0000FF"/>
                <w:sz w:val="24"/>
                <w:szCs w:val="24"/>
                <w:lang w:val="zh-CN"/>
              </w:rPr>
              <w:t xml:space="preserve">日 </w:t>
            </w:r>
            <w:r>
              <w:rPr>
                <w:rFonts w:hint="eastAsia" w:cs="宋体" w:asciiTheme="minorEastAsia" w:hAnsiTheme="minorEastAsia"/>
                <w:bCs/>
                <w:color w:val="0000FF"/>
                <w:sz w:val="24"/>
                <w:szCs w:val="24"/>
              </w:rPr>
              <w:t>10</w:t>
            </w:r>
            <w:r>
              <w:rPr>
                <w:rFonts w:hint="eastAsia" w:cs="宋体" w:asciiTheme="minorEastAsia" w:hAnsiTheme="minorEastAsia"/>
                <w:bCs/>
                <w:color w:val="0000FF"/>
                <w:sz w:val="24"/>
                <w:szCs w:val="24"/>
                <w:lang w:val="zh-CN"/>
              </w:rPr>
              <w:t>时 30分（北京时间）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13</w:t>
            </w:r>
          </w:p>
        </w:tc>
        <w:tc>
          <w:tcPr>
            <w:tcW w:w="2268" w:type="dxa"/>
            <w:vAlign w:val="center"/>
          </w:tcPr>
          <w:p>
            <w:pPr>
              <w:autoSpaceDE w:val="0"/>
              <w:autoSpaceDN w:val="0"/>
              <w:adjustRightInd w:val="0"/>
              <w:spacing w:line="360" w:lineRule="auto"/>
              <w:jc w:val="center"/>
              <w:rPr>
                <w:rFonts w:cs="黑体" w:asciiTheme="minorEastAsia" w:hAnsiTheme="minorEastAsia"/>
                <w:color w:val="0000FF"/>
                <w:sz w:val="24"/>
                <w:szCs w:val="24"/>
              </w:rPr>
            </w:pPr>
            <w:r>
              <w:rPr>
                <w:rFonts w:hint="eastAsia" w:cs="黑体" w:asciiTheme="minorEastAsia" w:hAnsiTheme="minorEastAsia"/>
                <w:color w:val="0000FF"/>
                <w:sz w:val="24"/>
                <w:szCs w:val="24"/>
              </w:rPr>
              <w:t>递交投标文件</w:t>
            </w:r>
          </w:p>
          <w:p>
            <w:pPr>
              <w:autoSpaceDE w:val="0"/>
              <w:autoSpaceDN w:val="0"/>
              <w:adjustRightInd w:val="0"/>
              <w:spacing w:line="360" w:lineRule="auto"/>
              <w:jc w:val="center"/>
              <w:rPr>
                <w:rFonts w:cs="黑体" w:asciiTheme="minorEastAsia" w:hAnsiTheme="minorEastAsia"/>
                <w:color w:val="0000FF"/>
                <w:sz w:val="24"/>
                <w:szCs w:val="24"/>
              </w:rPr>
            </w:pPr>
            <w:r>
              <w:rPr>
                <w:rFonts w:hint="eastAsia" w:cs="黑体" w:asciiTheme="minorEastAsia" w:hAnsiTheme="minorEastAsia"/>
                <w:color w:val="0000FF"/>
                <w:sz w:val="24"/>
                <w:szCs w:val="24"/>
              </w:rPr>
              <w:t>及开标地点</w:t>
            </w:r>
          </w:p>
        </w:tc>
        <w:tc>
          <w:tcPr>
            <w:tcW w:w="6813" w:type="dxa"/>
            <w:vAlign w:val="center"/>
          </w:tcPr>
          <w:p>
            <w:pPr>
              <w:autoSpaceDE w:val="0"/>
              <w:autoSpaceDN w:val="0"/>
              <w:adjustRightInd w:val="0"/>
              <w:spacing w:line="360" w:lineRule="auto"/>
              <w:rPr>
                <w:rFonts w:cs="宋体" w:asciiTheme="minorEastAsia" w:hAnsiTheme="minorEastAsia"/>
                <w:bCs/>
                <w:color w:val="0000FF"/>
                <w:sz w:val="24"/>
                <w:szCs w:val="24"/>
                <w:lang w:val="zh-CN"/>
              </w:rPr>
            </w:pPr>
            <w:r>
              <w:rPr>
                <w:rFonts w:hint="eastAsia" w:cs="宋体" w:asciiTheme="minorEastAsia" w:hAnsiTheme="minorEastAsia"/>
                <w:bCs/>
                <w:color w:val="0000FF"/>
                <w:sz w:val="24"/>
                <w:szCs w:val="24"/>
                <w:lang w:val="zh-CN"/>
              </w:rPr>
              <w:t>许昌市公共资源交易中心三楼开标</w:t>
            </w:r>
            <w:r>
              <w:rPr>
                <w:rFonts w:hint="eastAsia" w:cs="宋体" w:asciiTheme="minorEastAsia" w:hAnsiTheme="minorEastAsia"/>
                <w:bCs/>
                <w:color w:val="0000FF"/>
                <w:sz w:val="24"/>
                <w:szCs w:val="24"/>
                <w:u w:val="single"/>
                <w:lang w:val="zh-CN"/>
              </w:rPr>
              <w:t xml:space="preserve"> 三 </w:t>
            </w:r>
            <w:r>
              <w:rPr>
                <w:rFonts w:hint="eastAsia" w:cs="宋体" w:asciiTheme="minorEastAsia" w:hAnsiTheme="minorEastAsia"/>
                <w:bCs/>
                <w:color w:val="0000FF"/>
                <w:sz w:val="24"/>
                <w:szCs w:val="24"/>
                <w:lang w:val="zh-CN"/>
              </w:rPr>
              <w:t>室（</w:t>
            </w:r>
            <w:r>
              <w:rPr>
                <w:rFonts w:cs="宋体" w:asciiTheme="minorEastAsia" w:hAnsiTheme="minorEastAsia"/>
                <w:bCs/>
                <w:color w:val="0000FF"/>
                <w:sz w:val="24"/>
                <w:szCs w:val="24"/>
                <w:lang w:val="zh-CN"/>
              </w:rPr>
              <w:t>龙兴路与竹林路交汇处</w:t>
            </w:r>
            <w:r>
              <w:rPr>
                <w:rFonts w:hint="eastAsia" w:cs="宋体" w:asciiTheme="minorEastAsia" w:hAnsiTheme="minorEastAsia"/>
                <w:bCs/>
                <w:color w:val="0000FF"/>
                <w:sz w:val="24"/>
                <w:szCs w:val="24"/>
                <w:lang w:val="zh-CN"/>
              </w:rPr>
              <w:t>公共资源大厦）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14</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kern w:val="0"/>
                <w:sz w:val="24"/>
                <w:szCs w:val="24"/>
              </w:rPr>
              <w:t>投标保证金</w:t>
            </w:r>
          </w:p>
        </w:tc>
        <w:tc>
          <w:tcPr>
            <w:tcW w:w="6813" w:type="dxa"/>
            <w:vAlign w:val="center"/>
          </w:tcPr>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缴纳截止时间：同投标截止时间。</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金额：捌仟肆佰元整 （¥</w:t>
            </w:r>
            <w:r>
              <w:rPr>
                <w:rFonts w:hint="eastAsia" w:cs="仿宋_GB2312" w:asciiTheme="minorEastAsia" w:hAnsiTheme="minorEastAsia"/>
                <w:sz w:val="24"/>
                <w:szCs w:val="24"/>
              </w:rPr>
              <w:t>8400</w:t>
            </w:r>
            <w:r>
              <w:rPr>
                <w:rFonts w:hint="eastAsia" w:cs="仿宋_GB2312" w:asciiTheme="minorEastAsia" w:hAnsiTheme="minorEastAsia"/>
                <w:sz w:val="24"/>
                <w:szCs w:val="24"/>
                <w:lang w:val="zh-CN"/>
              </w:rPr>
              <w:t>元）</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三、投标保证金缴纳方式：</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1、投标人网上下载招标文件后，登录</w:t>
            </w:r>
            <w:r>
              <w:fldChar w:fldCharType="begin"/>
            </w:r>
            <w:r>
              <w:instrText xml:space="preserve"> HYPERLINK "http://221.14.6.70:8088/ggzy" </w:instrText>
            </w:r>
            <w:r>
              <w:fldChar w:fldCharType="separate"/>
            </w:r>
            <w:r>
              <w:rPr>
                <w:rFonts w:hint="eastAsia" w:cs="仿宋_GB2312" w:asciiTheme="minorEastAsia" w:hAnsiTheme="minorEastAsia"/>
                <w:sz w:val="24"/>
                <w:szCs w:val="24"/>
                <w:lang w:val="zh-CN"/>
              </w:rPr>
              <w:t>http://221.14.6.70:8088/ggzy</w:t>
            </w:r>
            <w:r>
              <w:rPr>
                <w:rFonts w:hint="eastAsia" w:cs="仿宋_GB2312" w:asciiTheme="minorEastAsia" w:hAnsiTheme="minorEastAsia"/>
                <w:sz w:val="24"/>
                <w:szCs w:val="24"/>
                <w:lang w:val="zh-CN"/>
              </w:rPr>
              <w:fldChar w:fldCharType="end"/>
            </w:r>
            <w:r>
              <w:rPr>
                <w:rFonts w:hint="eastAsia" w:cs="仿宋_GB2312" w:asciiTheme="minorEastAsia" w:hAnsiTheme="minorEastAsia"/>
                <w:sz w:val="24"/>
                <w:szCs w:val="24"/>
                <w:lang w:val="zh-CN"/>
              </w:rPr>
              <w:t>系统，依次点击“会员向导”→“参与投标”→“费用缴纳说明”→“保证金缴纳说明单”，获取缴费说明单，根据每个标段的缴纳说明单在缴纳截止时间前缴纳；</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2、成功缴纳后重新登录前述系统，依次点击“会员向导”→“参与投标”→“保证金绑定”→“绑定”进行投标保证金绑定。</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3、《保证金缴纳绑定操作指南》获取方法：登录许昌公共资源交易系统-组件下载-《保证金缴纳绑定操作指南》。</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5、每个投标人每个项目每个标段只有唯一缴纳账号，切勿重复缴纳或错误缴纳。</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7、不同投标人的投标保证金不得从同一单位或者个人的账户转出。</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8、未按上述规定操作引起的无效投标，由投标人自行负责。</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9、汇款凭证无需备注项目编号和项目名称。</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15</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color w:val="000000"/>
                <w:sz w:val="24"/>
                <w:szCs w:val="24"/>
              </w:rPr>
              <w:t>招标公告、中标公告、变更（更正）公告、现场勘察答复等相关信息同时在以下网站发布：《中国政府采购网》、《河南省政府采购网》、《许昌市政府采购网》、《全国公共资源交易平台（河南省·许昌市）》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16</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仿宋_GB2312" w:asciiTheme="minorEastAsia" w:hAnsiTheme="minorEastAsia"/>
                <w:sz w:val="24"/>
                <w:szCs w:val="24"/>
              </w:rPr>
              <w:t>采购人澄清或修改招标文件时间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投标截止时间15日前（</w:t>
            </w:r>
            <w:r>
              <w:rPr>
                <w:rFonts w:hint="eastAsia" w:cs="仿宋_GB2312" w:asciiTheme="minorEastAsia" w:hAnsiTheme="minorEastAsia"/>
                <w:sz w:val="24"/>
                <w:szCs w:val="24"/>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17</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投标人对采购文件质疑截止时间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18</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投标文件份数</w:t>
            </w:r>
          </w:p>
        </w:tc>
        <w:tc>
          <w:tcPr>
            <w:tcW w:w="6813" w:type="dxa"/>
            <w:vAlign w:val="center"/>
          </w:tcPr>
          <w:p>
            <w:pPr>
              <w:autoSpaceDE w:val="0"/>
              <w:autoSpaceDN w:val="0"/>
              <w:adjustRightInd w:val="0"/>
              <w:spacing w:line="360" w:lineRule="auto"/>
              <w:rPr>
                <w:rFonts w:cs="宋体" w:asciiTheme="minorEastAsia" w:hAnsiTheme="minorEastAsia"/>
                <w:color w:val="000000"/>
                <w:sz w:val="24"/>
                <w:szCs w:val="24"/>
              </w:rPr>
            </w:pPr>
            <w:r>
              <w:rPr>
                <w:rFonts w:ascii="新宋体" w:hAnsi="新宋体" w:eastAsia="新宋体"/>
                <w:b/>
                <w:sz w:val="24"/>
              </w:rPr>
              <w:fldChar w:fldCharType="begin"/>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电子投标文件：成功上传至《全国公共资源交易平台（河南省·许昌市）》公共资源交易系统加密电子投标文件1份</w:t>
            </w:r>
            <w:r>
              <w:rPr>
                <w:rFonts w:hint="eastAsia" w:hAnsi="宋体" w:cs="宋体"/>
                <w:sz w:val="24"/>
                <w:lang w:val="zh-CN"/>
              </w:rPr>
              <w:t>（文件格式为： XXX公司XXX项目编号.file）。</w:t>
            </w:r>
            <w:r>
              <w:rPr>
                <w:rFonts w:hint="eastAsia" w:ascii="新宋体" w:hAnsi="新宋体" w:eastAsia="新宋体"/>
                <w:sz w:val="24"/>
              </w:rPr>
              <w:t>使用电子介质存储的备份文件1份（文件格式为：名称为“备份”的文件夹）。</w:t>
            </w:r>
          </w:p>
          <w:p>
            <w:pPr>
              <w:autoSpaceDE w:val="0"/>
              <w:autoSpaceDN w:val="0"/>
              <w:adjustRightInd w:val="0"/>
              <w:spacing w:line="360" w:lineRule="auto"/>
              <w:rPr>
                <w:rFonts w:ascii="新宋体" w:hAnsi="新宋体" w:eastAsia="新宋体"/>
                <w:sz w:val="24"/>
              </w:rPr>
            </w:pPr>
            <w:r>
              <w:rPr>
                <w:rFonts w:ascii="新宋体" w:hAnsi="新宋体" w:eastAsia="新宋体"/>
                <w:b/>
                <w:sz w:val="24"/>
              </w:rPr>
              <w:fldChar w:fldCharType="begin"/>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纸质投标文件：</w:t>
            </w:r>
            <w:r>
              <w:rPr>
                <w:rFonts w:hint="eastAsia" w:cs="仿宋_GB2312" w:asciiTheme="minorEastAsia" w:hAnsiTheme="minorEastAsia"/>
                <w:sz w:val="24"/>
                <w:szCs w:val="24"/>
              </w:rPr>
              <w:t>正本</w:t>
            </w:r>
            <w:r>
              <w:rPr>
                <w:rFonts w:hint="eastAsia" w:cs="仿宋_GB2312" w:asciiTheme="minorEastAsia" w:hAnsiTheme="minorEastAsia"/>
                <w:b/>
                <w:sz w:val="24"/>
                <w:szCs w:val="24"/>
              </w:rPr>
              <w:t>一</w:t>
            </w:r>
            <w:r>
              <w:rPr>
                <w:rFonts w:hint="eastAsia" w:cs="仿宋_GB2312" w:asciiTheme="minorEastAsia" w:hAnsiTheme="minorEastAsia"/>
                <w:sz w:val="24"/>
                <w:szCs w:val="24"/>
              </w:rPr>
              <w:t>份，副本</w:t>
            </w:r>
            <w:r>
              <w:rPr>
                <w:rFonts w:hint="eastAsia" w:cs="仿宋_GB2312" w:asciiTheme="minorEastAsia" w:hAnsiTheme="minorEastAsia"/>
                <w:sz w:val="24"/>
                <w:szCs w:val="24"/>
                <w:u w:val="single"/>
              </w:rPr>
              <w:t xml:space="preserve">  3 </w:t>
            </w:r>
            <w:r>
              <w:rPr>
                <w:rFonts w:hint="eastAsia" w:cs="仿宋_GB2312" w:asciiTheme="minorEastAsia" w:hAnsiTheme="minorEastAsia"/>
                <w:sz w:val="24"/>
                <w:szCs w:val="24"/>
              </w:rPr>
              <w:t>份。使用</w:t>
            </w:r>
            <w:r>
              <w:rPr>
                <w:rFonts w:hint="eastAsia" w:ascii="新宋体" w:hAnsi="新宋体" w:eastAsia="新宋体"/>
                <w:sz w:val="24"/>
              </w:rPr>
              <w:t>格式为“投标文件（供打印）.PDF”的文件</w:t>
            </w:r>
          </w:p>
          <w:p>
            <w:pPr>
              <w:autoSpaceDE w:val="0"/>
              <w:autoSpaceDN w:val="0"/>
              <w:adjustRightInd w:val="0"/>
              <w:spacing w:line="360" w:lineRule="auto"/>
              <w:rPr>
                <w:rFonts w:cs="宋体" w:asciiTheme="minorEastAsia" w:hAnsiTheme="minorEastAsia"/>
                <w:bCs/>
                <w:sz w:val="24"/>
                <w:szCs w:val="24"/>
                <w:highlight w:val="lightGray"/>
                <w:lang w:val="zh-CN"/>
              </w:rPr>
            </w:pPr>
            <w:r>
              <w:rPr>
                <w:rFonts w:hint="eastAsia" w:ascii="新宋体" w:hAnsi="新宋体" w:eastAsia="新宋体"/>
                <w:sz w:val="24"/>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19</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投标文件的</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签署盖章</w:t>
            </w:r>
          </w:p>
        </w:tc>
        <w:tc>
          <w:tcPr>
            <w:tcW w:w="6813" w:type="dxa"/>
            <w:vAlign w:val="center"/>
          </w:tcPr>
          <w:p>
            <w:pPr>
              <w:autoSpaceDE w:val="0"/>
              <w:autoSpaceDN w:val="0"/>
              <w:adjustRightInd w:val="0"/>
              <w:spacing w:line="420" w:lineRule="exact"/>
              <w:rPr>
                <w:rFonts w:ascii="新宋体" w:hAnsi="新宋体" w:eastAsia="新宋体"/>
                <w:sz w:val="24"/>
              </w:rPr>
            </w:pPr>
            <w:r>
              <w:rPr>
                <w:rFonts w:ascii="新宋体" w:hAnsi="新宋体" w:eastAsia="新宋体"/>
                <w:b/>
                <w:sz w:val="24"/>
              </w:rPr>
              <w:fldChar w:fldCharType="begin"/>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电子投标文件：按招标文件要求加盖投标人电子印章和法人电子印章。</w:t>
            </w:r>
          </w:p>
          <w:p>
            <w:pPr>
              <w:autoSpaceDE w:val="0"/>
              <w:autoSpaceDN w:val="0"/>
              <w:adjustRightInd w:val="0"/>
              <w:spacing w:line="420" w:lineRule="exact"/>
              <w:rPr>
                <w:rFonts w:cs="仿宋_GB2312" w:asciiTheme="minorEastAsia" w:hAnsiTheme="minorEastAsia"/>
                <w:sz w:val="24"/>
                <w:szCs w:val="24"/>
                <w:highlight w:val="lightGray"/>
              </w:rPr>
            </w:pPr>
            <w:r>
              <w:rPr>
                <w:rFonts w:ascii="新宋体" w:hAnsi="新宋体" w:eastAsia="新宋体"/>
                <w:b/>
                <w:sz w:val="24"/>
              </w:rPr>
              <w:fldChar w:fldCharType="begin"/>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纸质投标文件：投标文件封面加盖投标人公章（投标文件是指投标人电子投标文件制作完成后生成的后缀名为</w:t>
            </w:r>
            <w:r>
              <w:rPr>
                <w:rFonts w:hint="eastAsia" w:hAnsi="宋体"/>
                <w:color w:val="000000"/>
                <w:sz w:val="24"/>
                <w:szCs w:val="24"/>
              </w:rPr>
              <w:t>“.PDF”的文件</w:t>
            </w:r>
            <w:r>
              <w:rPr>
                <w:rFonts w:hint="eastAsia" w:ascii="新宋体" w:hAnsi="新宋体" w:eastAsia="新宋体"/>
                <w:sz w:val="24"/>
              </w:rPr>
              <w:t>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20</w:t>
            </w:r>
          </w:p>
        </w:tc>
        <w:tc>
          <w:tcPr>
            <w:tcW w:w="2268" w:type="dxa"/>
            <w:vAlign w:val="center"/>
          </w:tcPr>
          <w:p>
            <w:pPr>
              <w:autoSpaceDE w:val="0"/>
              <w:autoSpaceDN w:val="0"/>
              <w:adjustRightInd w:val="0"/>
              <w:spacing w:line="360" w:lineRule="auto"/>
              <w:jc w:val="center"/>
              <w:rPr>
                <w:rFonts w:cs="仿宋_GB2312" w:asciiTheme="minorEastAsia" w:hAnsiTheme="minorEastAsia"/>
                <w:sz w:val="24"/>
                <w:szCs w:val="24"/>
              </w:rPr>
            </w:pPr>
            <w:r>
              <w:rPr>
                <w:rFonts w:hint="eastAsia" w:cs="黑体" w:asciiTheme="minorEastAsia" w:hAnsiTheme="minorEastAsia"/>
                <w:sz w:val="24"/>
                <w:szCs w:val="24"/>
              </w:rPr>
              <w:t>评标委员会组建</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由采购人代表和评审专家组成，其中评审专家的人数不少于评标委员会成员总数的三分之二。评审专家从政府采购评审专家库中随机抽取。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21</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仿宋_GB2312" w:asciiTheme="minorEastAsia" w:hAnsiTheme="minorEastAsia"/>
                <w:sz w:val="24"/>
                <w:szCs w:val="24"/>
              </w:rPr>
              <w:t>评标方法</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cs="宋体" w:asciiTheme="minorEastAsia" w:hAnsiTheme="minorEastAsia"/>
                <w:b/>
                <w:color w:val="000000"/>
                <w:kern w:val="0"/>
                <w:sz w:val="24"/>
                <w:szCs w:val="24"/>
                <w:lang w:val="zh-CN"/>
              </w:rPr>
              <w:fldChar w:fldCharType="begin"/>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综合评分法</w:t>
            </w:r>
            <w:r>
              <w:rPr>
                <w:rFonts w:hint="eastAsia" w:cs="宋体" w:asciiTheme="minorEastAsia" w:hAnsiTheme="minorEastAsia"/>
                <w:b/>
                <w:bCs/>
                <w:sz w:val="24"/>
                <w:szCs w:val="24"/>
                <w:lang w:val="zh-CN"/>
              </w:rPr>
              <w:t>□</w:t>
            </w:r>
            <w:r>
              <w:rPr>
                <w:rFonts w:hint="eastAsia" w:cs="仿宋_GB2312" w:asciiTheme="minorEastAsia" w:hAnsiTheme="minorEastAsia"/>
                <w:sz w:val="24"/>
                <w:szCs w:val="24"/>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22</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23</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无要求</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color w:val="333333"/>
                <w:sz w:val="24"/>
                <w:szCs w:val="24"/>
              </w:rPr>
              <w:t>要求提交。履约保证金的数额为合同金额的%。中标人以支票、汇票、本票或者金融机构、担保机构出具的保函等非现金形式向采购人提交。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24</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bCs/>
                <w:sz w:val="24"/>
                <w:szCs w:val="24"/>
                <w:lang w:val="zh-CN"/>
              </w:rPr>
              <w:t>不收取</w:t>
            </w:r>
          </w:p>
          <w:p>
            <w:pPr>
              <w:autoSpaceDE w:val="0"/>
              <w:autoSpaceDN w:val="0"/>
              <w:spacing w:line="360" w:lineRule="auto"/>
              <w:contextualSpacing/>
              <w:rPr>
                <w:rFonts w:cs="宋体" w:asciiTheme="minorEastAsia" w:hAnsiTheme="minorEastAsia"/>
                <w:bCs/>
                <w:sz w:val="24"/>
                <w:szCs w:val="24"/>
                <w:lang w:val="zh-CN"/>
              </w:rPr>
            </w:pPr>
            <w:r>
              <w:rPr>
                <w:rFonts w:cs="宋体" w:asciiTheme="minorEastAsia" w:hAnsiTheme="minorEastAsia"/>
                <w:b/>
                <w:color w:val="000000"/>
                <w:kern w:val="0"/>
                <w:sz w:val="24"/>
                <w:szCs w:val="24"/>
                <w:lang w:val="zh-CN"/>
              </w:rPr>
              <w:fldChar w:fldCharType="begin"/>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收取中标人。</w:t>
            </w:r>
            <w:r>
              <w:rPr>
                <w:rFonts w:hint="eastAsia" w:cs="宋体" w:asciiTheme="minorEastAsia" w:hAnsiTheme="minorEastAsia"/>
                <w:b/>
                <w:bCs/>
                <w:sz w:val="24"/>
                <w:szCs w:val="24"/>
                <w:lang w:val="zh-CN"/>
              </w:rPr>
              <w:t>□</w:t>
            </w:r>
            <w:r>
              <w:rPr>
                <w:rFonts w:hint="eastAsia" w:cs="宋体" w:asciiTheme="minorEastAsia" w:hAnsiTheme="minorEastAsia"/>
                <w:bCs/>
                <w:sz w:val="24"/>
                <w:szCs w:val="24"/>
                <w:lang w:val="zh-CN"/>
              </w:rPr>
              <w:t>收取采购人。</w:t>
            </w:r>
            <w:r>
              <w:rPr>
                <w:rFonts w:hint="eastAsia" w:cs="宋体" w:asciiTheme="minorEastAsia" w:hAnsiTheme="minorEastAsia"/>
                <w:color w:val="333333"/>
                <w:sz w:val="24"/>
                <w:szCs w:val="24"/>
              </w:rPr>
              <w:t>收取标准:中标合同金额的</w:t>
            </w:r>
            <w:r>
              <w:rPr>
                <w:rFonts w:hint="eastAsia" w:cs="宋体" w:asciiTheme="minorEastAsia" w:hAnsiTheme="minorEastAsia"/>
                <w:color w:val="333333"/>
                <w:sz w:val="24"/>
                <w:szCs w:val="24"/>
                <w:u w:val="single"/>
              </w:rPr>
              <w:t xml:space="preserve">  1.5 </w:t>
            </w:r>
            <w:r>
              <w:rPr>
                <w:rFonts w:hint="eastAsia" w:cs="宋体" w:asciiTheme="minorEastAsia" w:hAnsiTheme="minorEastAsia"/>
                <w:color w:val="333333"/>
                <w:sz w:val="24"/>
                <w:szCs w:val="24"/>
              </w:rPr>
              <w:t xml:space="preserve"> %。一次性以银行划账、电汇、汇票或支票的形式支付。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25</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中标人需提交</w:t>
            </w:r>
          </w:p>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的资料</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中标人在接到中标通知时，须向代理机构发送投标报价及分项报价一览表（包含主要中标标的的名称、规格型号、数量、单价、服务要求等）电子文档，并同时通知代理机构联系人。代理机构邮箱：</w:t>
            </w:r>
            <w:r>
              <w:rPr>
                <w:rFonts w:hint="eastAsia" w:cs="宋体" w:asciiTheme="minorEastAsia" w:hAnsiTheme="minorEastAsia"/>
                <w:bCs/>
                <w:sz w:val="24"/>
                <w:szCs w:val="24"/>
              </w:rPr>
              <w:t>2228607547@QQ.com</w:t>
            </w:r>
            <w:r>
              <w:rPr>
                <w:rFonts w:hint="eastAsia" w:cs="宋体" w:asciiTheme="minorEastAsia" w:hAnsiTheme="minorEastAsia"/>
                <w:bCs/>
                <w:sz w:val="24"/>
                <w:szCs w:val="24"/>
                <w:lang w:val="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26</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电子化采购模式</w:t>
            </w:r>
          </w:p>
        </w:tc>
        <w:tc>
          <w:tcPr>
            <w:tcW w:w="6813" w:type="dxa"/>
            <w:vAlign w:val="center"/>
          </w:tcPr>
          <w:p>
            <w:pPr>
              <w:autoSpaceDE w:val="0"/>
              <w:autoSpaceDN w:val="0"/>
              <w:adjustRightInd w:val="0"/>
              <w:spacing w:line="360" w:lineRule="auto"/>
              <w:contextualSpacing/>
              <w:rPr>
                <w:rFonts w:hAnsi="宋体" w:cs="宋体"/>
                <w:sz w:val="24"/>
                <w:lang w:val="zh-CN"/>
              </w:rPr>
            </w:pPr>
            <w:r>
              <w:rPr>
                <w:rFonts w:cs="宋体" w:asciiTheme="minorEastAsia" w:hAnsiTheme="minorEastAsia"/>
                <w:b/>
                <w:color w:val="000000"/>
                <w:kern w:val="0"/>
                <w:sz w:val="24"/>
                <w:szCs w:val="24"/>
                <w:lang w:val="zh-CN"/>
              </w:rPr>
              <w:fldChar w:fldCharType="begin"/>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是。</w:t>
            </w:r>
            <w:r>
              <w:rPr>
                <w:rFonts w:hint="eastAsia" w:hAnsi="宋体" w:cs="宋体"/>
                <w:sz w:val="24"/>
                <w:lang w:val="zh-CN"/>
              </w:rPr>
              <w:t>投标人投标时须提供加密电子投标文件、备份文件（使用电子介质存储）、纸质投标文件。投标人资质、业绩、荣誉及相关人员证明材料等资料原件开标现场不再提供。</w:t>
            </w:r>
          </w:p>
          <w:p>
            <w:pPr>
              <w:autoSpaceDE w:val="0"/>
              <w:autoSpaceDN w:val="0"/>
              <w:adjustRightInd w:val="0"/>
              <w:spacing w:line="360" w:lineRule="auto"/>
              <w:contextualSpacing/>
              <w:rPr>
                <w:rFonts w:cs="宋体" w:asciiTheme="minorEastAsia" w:hAnsiTheme="minorEastAsia"/>
                <w:bCs/>
                <w:sz w:val="24"/>
                <w:szCs w:val="24"/>
                <w:lang w:val="zh-CN"/>
              </w:rPr>
            </w:pPr>
            <w:r>
              <w:rPr>
                <w:rFonts w:hint="eastAsia" w:hAnsi="宋体" w:cs="宋体"/>
                <w:sz w:val="24"/>
                <w:lang w:val="zh-CN"/>
              </w:rPr>
              <w:t>□否。投标人投标时须提供纸质投标文件。投标人资质、业绩、荣誉及相关人员证明材料等资料原件根据招标文件要求提供。</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第四章 投标人须知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一、概念释义</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w:t>
      </w:r>
      <w:r>
        <w:rPr>
          <w:rFonts w:cs="宋体" w:asciiTheme="minorEastAsia" w:hAnsiTheme="minorEastAsia"/>
          <w:b/>
          <w:kern w:val="0"/>
          <w:sz w:val="24"/>
          <w:szCs w:val="24"/>
        </w:rPr>
        <w:t>.</w:t>
      </w:r>
      <w:r>
        <w:rPr>
          <w:rFonts w:hint="eastAsia" w:cs="宋体" w:asciiTheme="minorEastAsia" w:hAnsiTheme="minorEastAsia"/>
          <w:b/>
          <w:kern w:val="0"/>
          <w:sz w:val="24"/>
          <w:szCs w:val="24"/>
        </w:rPr>
        <w:t>适用范围</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1.1本招标文件仅适用于本次“投标邀请”中所述采购项目。</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1.2本招标文件解释权属于“投标邀请”所述的采购人。</w:t>
      </w:r>
    </w:p>
    <w:p>
      <w:pPr>
        <w:autoSpaceDE w:val="0"/>
        <w:autoSpaceDN w:val="0"/>
        <w:spacing w:line="360" w:lineRule="auto"/>
        <w:contextualSpacing/>
        <w:rPr>
          <w:rFonts w:cs="宋体" w:asciiTheme="minorEastAsia" w:hAnsiTheme="minorEastAsia"/>
          <w:b/>
          <w:kern w:val="0"/>
          <w:sz w:val="24"/>
          <w:szCs w:val="24"/>
        </w:rPr>
      </w:pPr>
      <w:r>
        <w:rPr>
          <w:rFonts w:cs="宋体" w:asciiTheme="minorEastAsia" w:hAnsiTheme="minorEastAsia"/>
          <w:b/>
          <w:kern w:val="0"/>
          <w:sz w:val="24"/>
          <w:szCs w:val="24"/>
        </w:rPr>
        <w:t>2.</w:t>
      </w:r>
      <w:r>
        <w:rPr>
          <w:rFonts w:hint="eastAsia" w:cs="宋体" w:asciiTheme="minorEastAsia" w:hAnsiTheme="minorEastAsia"/>
          <w:b/>
          <w:kern w:val="0"/>
          <w:sz w:val="24"/>
          <w:szCs w:val="24"/>
        </w:rPr>
        <w:t>定义</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2.1“采购项目”：“投标人须知前附表”中所述的采购项目。</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2.2“招标人”：“投标人须知前附表”中所述的组织本次招标的代理机构和采购人。</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2.3“采购人”：是指依法进行政府采购的国家机关、事业单位、团体组织。采购人名称、地址、电话、联系人见“投标人须知前附表”。</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2.4“代理机构”：接受采购人委托，代理采购项目的采购代理机构。代理机构名称、地址、电话、联系人见“投标人须知前附表”。</w:t>
      </w:r>
    </w:p>
    <w:p>
      <w:pPr>
        <w:spacing w:line="360" w:lineRule="auto"/>
        <w:contextualSpacing/>
        <w:rPr>
          <w:rFonts w:cs="宋体" w:asciiTheme="minorEastAsia" w:hAnsiTheme="minorEastAsia"/>
          <w:kern w:val="0"/>
          <w:sz w:val="24"/>
          <w:szCs w:val="24"/>
        </w:rPr>
      </w:pPr>
      <w:r>
        <w:rPr>
          <w:rFonts w:hint="eastAsia" w:cs="宋体" w:asciiTheme="minorEastAsia" w:hAnsiTheme="minorEastAsia"/>
          <w:sz w:val="24"/>
          <w:szCs w:val="24"/>
        </w:rPr>
        <w:t>采购代理机构及其分支机构不得在所代理的采购项目中投标或者代理投标</w:t>
      </w:r>
      <w:r>
        <w:rPr>
          <w:rFonts w:hint="eastAsia" w:cs="宋体" w:asciiTheme="minorEastAsia" w:hAnsiTheme="minorEastAsia"/>
          <w:kern w:val="0"/>
          <w:sz w:val="24"/>
          <w:szCs w:val="24"/>
        </w:rPr>
        <w:t>，不得为所代理的采购项目的投标人参加本项目提供投标咨询。</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2.5 “潜在投标人”指符合《中华人民共和国政府采购法》及相关法律法规和本招标文件的各项规定，且按照本项目招标公告及招标文件规定的方式获取招标文件的法人、其他组织或者自然人。</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2.7“节能产品”或者“环保产品”：财政部发布的《节能产品政府采购清单》或者《环境标志产品政府采购清单》的产品。</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2.8“进口产品”：是指通过中国海关报关验放进入中国境内且产自关境外的产品，包括已经进入中国境内的进口产品。详见《</w:t>
      </w:r>
      <w:r>
        <w:rPr>
          <w:rFonts w:cs="宋体" w:asciiTheme="minorEastAsia" w:hAnsiTheme="minorEastAsia"/>
          <w:kern w:val="0"/>
          <w:sz w:val="24"/>
          <w:szCs w:val="24"/>
        </w:rPr>
        <w:t>关于政府采购进口产品管理有关问题的通知</w:t>
      </w:r>
      <w:r>
        <w:rPr>
          <w:rFonts w:hint="eastAsia" w:cs="宋体" w:asciiTheme="minorEastAsia" w:hAnsiTheme="minorEastAsia"/>
          <w:kern w:val="0"/>
          <w:sz w:val="24"/>
          <w:szCs w:val="24"/>
        </w:rPr>
        <w:t>》(财库[2007]119号)、《关于政府采购进口产品管理有关问题的通知》（财办库［</w:t>
      </w:r>
      <w:r>
        <w:rPr>
          <w:rFonts w:cs="宋体" w:asciiTheme="minorEastAsia" w:hAnsiTheme="minorEastAsia"/>
          <w:kern w:val="0"/>
          <w:sz w:val="24"/>
          <w:szCs w:val="24"/>
        </w:rPr>
        <w:t>2008</w:t>
      </w:r>
      <w:r>
        <w:rPr>
          <w:rFonts w:hint="eastAsia" w:cs="宋体" w:asciiTheme="minorEastAsia" w:hAnsiTheme="minorEastAsia"/>
          <w:kern w:val="0"/>
          <w:sz w:val="24"/>
          <w:szCs w:val="24"/>
        </w:rPr>
        <w:t>］</w:t>
      </w:r>
      <w:r>
        <w:rPr>
          <w:rFonts w:cs="宋体" w:asciiTheme="minorEastAsia" w:hAnsiTheme="minorEastAsia"/>
          <w:kern w:val="0"/>
          <w:sz w:val="24"/>
          <w:szCs w:val="24"/>
        </w:rPr>
        <w:t xml:space="preserve">248 </w:t>
      </w:r>
      <w:r>
        <w:rPr>
          <w:rFonts w:hint="eastAsia" w:cs="宋体" w:asciiTheme="minorEastAsia" w:hAnsiTheme="minorEastAsia"/>
          <w:kern w:val="0"/>
          <w:sz w:val="24"/>
          <w:szCs w:val="24"/>
        </w:rPr>
        <w:t>号）。</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2.8.1 </w:t>
      </w:r>
      <w:r>
        <w:rPr>
          <w:rFonts w:cs="宋体" w:asciiTheme="minorEastAsia" w:hAnsiTheme="minorEastAsia"/>
          <w:kern w:val="0"/>
          <w:sz w:val="24"/>
          <w:szCs w:val="24"/>
        </w:rPr>
        <w:t>招标文件列明不允许或未列明允许进口产品参加投标的，均视为拒绝进口产品参加投标。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2.8.2 </w:t>
      </w:r>
      <w:r>
        <w:rPr>
          <w:rFonts w:cs="宋体" w:asciiTheme="minorEastAsia" w:hAnsiTheme="minorEastAsia"/>
          <w:kern w:val="0"/>
          <w:sz w:val="24"/>
          <w:szCs w:val="24"/>
        </w:rPr>
        <w:t>如</w:t>
      </w:r>
      <w:r>
        <w:rPr>
          <w:rFonts w:hint="eastAsia" w:cs="宋体" w:asciiTheme="minorEastAsia" w:hAnsiTheme="minorEastAsia"/>
          <w:kern w:val="0"/>
          <w:sz w:val="24"/>
          <w:szCs w:val="24"/>
        </w:rPr>
        <w:t>招标</w:t>
      </w:r>
      <w:r>
        <w:rPr>
          <w:rFonts w:cs="宋体" w:asciiTheme="minorEastAsia" w:hAnsiTheme="minorEastAsia"/>
          <w:kern w:val="0"/>
          <w:sz w:val="24"/>
          <w:szCs w:val="24"/>
        </w:rPr>
        <w:t>文件中已说明，经财政部门审核同意，允许部分或全部产品采购进口产品，投标人既可提供本国产品，也可以提供进口产品。</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2.9 招标文件中凡标有“★”的条款均系实质性要求条款。</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3.合格的投标人</w:t>
      </w:r>
    </w:p>
    <w:p>
      <w:pPr>
        <w:pStyle w:val="42"/>
        <w:numPr>
          <w:ilvl w:val="0"/>
          <w:numId w:val="0"/>
        </w:numPr>
        <w:tabs>
          <w:tab w:val="left" w:pos="0"/>
        </w:tabs>
        <w:adjustRightInd/>
        <w:spacing w:line="360" w:lineRule="auto"/>
        <w:contextualSpacing/>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3.1在中华人民共和国境内注册，具有本项目生产、制造、供应或实施能力，符合、承认并承诺履行本招标文件各项规定的法人、其他组织或者自然人。</w:t>
      </w:r>
    </w:p>
    <w:p>
      <w:pPr>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2符合本项目“投标邀请”和“投标人须知前附表”中规定的合格投标人所必须具备的条件。</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3政府采购活动中查询及使用投标人信用记录的具体要求为：投标人未被列入失信被执行人、重大税收违法案件当事人名单、</w:t>
      </w:r>
      <w:r>
        <w:rPr>
          <w:rFonts w:cs="仿宋_GB2312" w:asciiTheme="minorEastAsia" w:hAnsiTheme="minorEastAsia"/>
          <w:color w:val="000000"/>
          <w:sz w:val="24"/>
          <w:szCs w:val="24"/>
          <w:shd w:val="clear" w:color="auto" w:fill="FFFFFF"/>
        </w:rPr>
        <w:t>政府采购严重违法失信名单</w:t>
      </w:r>
      <w:r>
        <w:rPr>
          <w:rFonts w:hint="eastAsia" w:cs="仿宋_GB2312" w:asciiTheme="minorEastAsia" w:hAnsiTheme="minorEastAsia"/>
          <w:color w:val="000000"/>
          <w:sz w:val="24"/>
          <w:szCs w:val="24"/>
          <w:shd w:val="clear" w:color="auto" w:fill="FFFFFF"/>
        </w:rPr>
        <w:t>、</w:t>
      </w:r>
      <w:r>
        <w:rPr>
          <w:rFonts w:hint="eastAsia" w:cs="宋体" w:asciiTheme="minorEastAsia" w:hAnsiTheme="minorEastAsia"/>
          <w:kern w:val="0"/>
          <w:sz w:val="24"/>
          <w:szCs w:val="24"/>
        </w:rPr>
        <w:t>政府采购严重违法失信行为记录名单（联合体形式投标的，联合体成员存在不良信用记录，视同联合体存在不良信用记录）。</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（1）查询渠道：“信用中国”网站（</w:t>
      </w:r>
      <w:r>
        <w:rPr>
          <w:rFonts w:cs="宋体" w:asciiTheme="minorEastAsia" w:hAnsiTheme="minorEastAsia"/>
          <w:kern w:val="0"/>
          <w:sz w:val="24"/>
          <w:szCs w:val="24"/>
        </w:rPr>
        <w:t>www.creditchina.gov.cn</w:t>
      </w:r>
      <w:r>
        <w:rPr>
          <w:rFonts w:hint="eastAsia" w:cs="宋体" w:asciiTheme="minorEastAsia" w:hAnsiTheme="minorEastAsia"/>
          <w:kern w:val="0"/>
          <w:sz w:val="24"/>
          <w:szCs w:val="24"/>
        </w:rPr>
        <w:t>）和“中国政府采购网”（</w:t>
      </w:r>
      <w:r>
        <w:rPr>
          <w:rFonts w:cs="宋体" w:asciiTheme="minorEastAsia" w:hAnsiTheme="minorEastAsia"/>
          <w:kern w:val="0"/>
          <w:sz w:val="24"/>
          <w:szCs w:val="24"/>
        </w:rPr>
        <w:t>www.ccgp.gov.cn</w:t>
      </w:r>
      <w:r>
        <w:rPr>
          <w:rFonts w:hint="eastAsia" w:cs="宋体" w:asciiTheme="minorEastAsia" w:hAnsiTheme="minorEastAsia"/>
          <w:kern w:val="0"/>
          <w:sz w:val="24"/>
          <w:szCs w:val="24"/>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（2）截止时间：同投标截止时间；</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（4）信用信息的使用原则：经采购人认定的被列入失信被执行人、重大税收违法案件当事人名单、政府采购严重违法失信行为记录名单的投标人，将拒绝其参与政府采购活动。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4单位负责人为同一人或者存在直接控股、管理关系的不同供应商，不得参加同一合同项下的政府采购活动；</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5除单一来源采购项目外，为采购项目提供整体设计、规范编制或者项目管理、监理、检测等服务的供应商，不得再参加该采购项目的其他采购活动。</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6“投标邀请”和“投标人须知前附表”规定接受联合体投标的，除应符合本章第</w:t>
      </w:r>
      <w:r>
        <w:rPr>
          <w:rFonts w:cs="宋体" w:asciiTheme="minorEastAsia" w:hAnsiTheme="minorEastAsia"/>
          <w:kern w:val="0"/>
          <w:sz w:val="24"/>
          <w:szCs w:val="24"/>
        </w:rPr>
        <w:t>3.1</w:t>
      </w:r>
      <w:r>
        <w:rPr>
          <w:rFonts w:hint="eastAsia" w:cs="宋体" w:asciiTheme="minorEastAsia" w:hAnsiTheme="minorEastAsia"/>
          <w:kern w:val="0"/>
          <w:sz w:val="24"/>
          <w:szCs w:val="24"/>
        </w:rPr>
        <w:t>项和3.2项要求外，还应遵守以下规定：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（1）在投标文件中向采购人提交联合体协议书，明确联合体各方承担的工作和义务；</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（2）联合体中有同类资质的供应商按联合体分工承担相同工作的，应当按照资质等级较低的供应商确定资质等级；</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（3）招标人根据采购项目的特殊要求规定投标人特定条件的，联合体各方中至少应当有一方符合采购规定的特定条件。</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（4）联合体各方不得再单独参加或者与其他供应商另外组成联合体参加同一合同项下的政府采购活动。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w:t>
      </w:r>
      <w:r>
        <w:rPr>
          <w:rFonts w:cs="宋体" w:asciiTheme="minorEastAsia" w:hAnsiTheme="minorEastAsia"/>
          <w:kern w:val="0"/>
          <w:sz w:val="24"/>
          <w:szCs w:val="24"/>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 w:val="24"/>
          <w:szCs w:val="24"/>
        </w:rPr>
        <w:t>承担连带责任</w:t>
      </w:r>
      <w:r>
        <w:rPr>
          <w:rFonts w:cs="宋体" w:asciiTheme="minorEastAsia" w:hAnsiTheme="minorEastAsia"/>
          <w:kern w:val="0"/>
          <w:sz w:val="24"/>
          <w:szCs w:val="24"/>
        </w:rPr>
        <w:fldChar w:fldCharType="end"/>
      </w:r>
      <w:r>
        <w:rPr>
          <w:rFonts w:cs="宋体" w:asciiTheme="minorEastAsia" w:hAnsiTheme="minorEastAsia"/>
          <w:kern w:val="0"/>
          <w:sz w:val="24"/>
          <w:szCs w:val="24"/>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3.7 法律、行政法规规定的其他条件。</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4．合格的货物和服务</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4.2 投标人所提供的服务应当没有侵犯任何第三方的知识产权、技术秘密等合法权利。</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4.4 投标人所投产品如被列入财政部与国家主管部门颁发的节能产品目录或环境标志产品目录，应提供相关证明，在评标时予以优先采购。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4.5 投标人所投产品如被列入</w:t>
      </w:r>
      <w:r>
        <w:rPr>
          <w:rFonts w:cs="宋体" w:asciiTheme="minorEastAsia" w:hAnsiTheme="minorEastAsia"/>
          <w:kern w:val="0"/>
          <w:sz w:val="24"/>
          <w:szCs w:val="24"/>
        </w:rPr>
        <w:t>《中华人民共和国实施强制性产品认证的产品目录》，</w:t>
      </w:r>
      <w:r>
        <w:rPr>
          <w:rFonts w:hint="eastAsia" w:cs="宋体" w:asciiTheme="minorEastAsia" w:hAnsiTheme="minorEastAsia"/>
          <w:kern w:val="0"/>
          <w:sz w:val="24"/>
          <w:szCs w:val="24"/>
        </w:rPr>
        <w:t>则该产品应</w:t>
      </w:r>
      <w:r>
        <w:rPr>
          <w:rFonts w:cs="宋体" w:asciiTheme="minorEastAsia" w:hAnsiTheme="minorEastAsia"/>
          <w:kern w:val="0"/>
          <w:sz w:val="24"/>
          <w:szCs w:val="24"/>
        </w:rPr>
        <w:t>具备国家认监委</w:t>
      </w:r>
      <w:r>
        <w:rPr>
          <w:rFonts w:hint="eastAsia" w:cs="宋体" w:asciiTheme="minorEastAsia" w:hAnsiTheme="minorEastAsia"/>
          <w:kern w:val="0"/>
          <w:sz w:val="24"/>
          <w:szCs w:val="24"/>
        </w:rPr>
        <w:t>指定强制性产品认证机构</w:t>
      </w:r>
      <w:r>
        <w:rPr>
          <w:rFonts w:cs="宋体" w:asciiTheme="minorEastAsia" w:hAnsiTheme="minorEastAsia"/>
          <w:kern w:val="0"/>
          <w:sz w:val="24"/>
          <w:szCs w:val="24"/>
        </w:rPr>
        <w:t>颁</w:t>
      </w:r>
      <w:r>
        <w:rPr>
          <w:rFonts w:hint="eastAsia" w:cs="宋体" w:asciiTheme="minorEastAsia" w:hAnsiTheme="minorEastAsia"/>
          <w:kern w:val="0"/>
          <w:sz w:val="24"/>
          <w:szCs w:val="24"/>
        </w:rPr>
        <w:t>发的</w:t>
      </w:r>
      <w:r>
        <w:rPr>
          <w:rFonts w:cs="宋体" w:asciiTheme="minorEastAsia" w:hAnsiTheme="minorEastAsia"/>
          <w:kern w:val="0"/>
          <w:sz w:val="24"/>
          <w:szCs w:val="24"/>
        </w:rPr>
        <w:t>《中国</w:t>
      </w:r>
      <w:r>
        <w:rPr>
          <w:rFonts w:hint="eastAsia" w:cs="宋体" w:asciiTheme="minorEastAsia" w:hAnsiTheme="minorEastAsia"/>
          <w:kern w:val="0"/>
          <w:sz w:val="24"/>
          <w:szCs w:val="24"/>
        </w:rPr>
        <w:t>国家</w:t>
      </w:r>
      <w:r>
        <w:rPr>
          <w:rFonts w:cs="宋体" w:asciiTheme="minorEastAsia" w:hAnsiTheme="minorEastAsia"/>
          <w:kern w:val="0"/>
          <w:sz w:val="24"/>
          <w:szCs w:val="24"/>
        </w:rPr>
        <w:t>强制</w:t>
      </w:r>
      <w:r>
        <w:rPr>
          <w:rFonts w:hint="eastAsia" w:cs="宋体" w:asciiTheme="minorEastAsia" w:hAnsiTheme="minorEastAsia"/>
          <w:kern w:val="0"/>
          <w:sz w:val="24"/>
          <w:szCs w:val="24"/>
        </w:rPr>
        <w:t>性产品</w:t>
      </w:r>
      <w:r>
        <w:rPr>
          <w:rFonts w:cs="宋体" w:asciiTheme="minorEastAsia" w:hAnsiTheme="minorEastAsia"/>
          <w:kern w:val="0"/>
          <w:sz w:val="24"/>
          <w:szCs w:val="24"/>
        </w:rPr>
        <w:t>认证</w:t>
      </w:r>
      <w:r>
        <w:rPr>
          <w:rFonts w:hint="eastAsia" w:cs="宋体" w:asciiTheme="minorEastAsia" w:hAnsiTheme="minorEastAsia"/>
          <w:kern w:val="0"/>
          <w:sz w:val="24"/>
          <w:szCs w:val="24"/>
        </w:rPr>
        <w:t>证书</w:t>
      </w:r>
      <w:r>
        <w:rPr>
          <w:rFonts w:cs="宋体" w:asciiTheme="minorEastAsia" w:hAnsiTheme="minorEastAsia"/>
          <w:kern w:val="0"/>
          <w:sz w:val="24"/>
          <w:szCs w:val="24"/>
        </w:rPr>
        <w:t>》（CCC 认证）。</w:t>
      </w:r>
      <w:r>
        <w:rPr>
          <w:rFonts w:hint="eastAsia" w:cs="宋体" w:asciiTheme="minorEastAsia" w:hAnsiTheme="minorEastAsia"/>
          <w:kern w:val="0"/>
          <w:sz w:val="24"/>
          <w:szCs w:val="24"/>
        </w:rPr>
        <w:t>投标人</w:t>
      </w:r>
      <w:r>
        <w:rPr>
          <w:rFonts w:cs="宋体" w:asciiTheme="minorEastAsia" w:hAnsiTheme="minorEastAsia"/>
          <w:kern w:val="0"/>
          <w:sz w:val="24"/>
          <w:szCs w:val="24"/>
        </w:rPr>
        <w:t>不能提供超出此目录范畴外的替代品</w:t>
      </w:r>
      <w:r>
        <w:rPr>
          <w:rFonts w:hint="eastAsia" w:cs="宋体" w:asciiTheme="minorEastAsia" w:hAnsiTheme="minorEastAsia"/>
          <w:kern w:val="0"/>
          <w:sz w:val="24"/>
          <w:szCs w:val="24"/>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4.6 投标人所投产品如被列入</w:t>
      </w:r>
      <w:r>
        <w:rPr>
          <w:rFonts w:cs="宋体" w:asciiTheme="minorEastAsia" w:hAnsiTheme="minorEastAsia"/>
          <w:kern w:val="0"/>
          <w:sz w:val="24"/>
          <w:szCs w:val="24"/>
        </w:rPr>
        <w:t>《信息安全产品强制性认证目录》，</w:t>
      </w:r>
      <w:r>
        <w:rPr>
          <w:rFonts w:hint="eastAsia" w:cs="宋体" w:asciiTheme="minorEastAsia" w:hAnsiTheme="minorEastAsia"/>
          <w:kern w:val="0"/>
          <w:sz w:val="24"/>
          <w:szCs w:val="24"/>
        </w:rPr>
        <w:t>则该产品应</w:t>
      </w:r>
      <w:r>
        <w:rPr>
          <w:rFonts w:cs="宋体" w:asciiTheme="minorEastAsia" w:hAnsiTheme="minorEastAsia"/>
          <w:kern w:val="0"/>
          <w:sz w:val="24"/>
          <w:szCs w:val="24"/>
        </w:rPr>
        <w:t>具备</w:t>
      </w:r>
      <w:r>
        <w:rPr>
          <w:rFonts w:hint="eastAsia" w:cs="宋体" w:asciiTheme="minorEastAsia" w:hAnsiTheme="minorEastAsia"/>
          <w:kern w:val="0"/>
          <w:sz w:val="24"/>
          <w:szCs w:val="24"/>
        </w:rPr>
        <w:t>中国信息安全认证中心</w:t>
      </w:r>
      <w:r>
        <w:rPr>
          <w:rFonts w:cs="宋体" w:asciiTheme="minorEastAsia" w:hAnsiTheme="minorEastAsia"/>
          <w:kern w:val="0"/>
          <w:sz w:val="24"/>
          <w:szCs w:val="24"/>
        </w:rPr>
        <w:t>颁</w:t>
      </w:r>
      <w:r>
        <w:rPr>
          <w:rFonts w:hint="eastAsia" w:cs="宋体" w:asciiTheme="minorEastAsia" w:hAnsiTheme="minorEastAsia"/>
          <w:kern w:val="0"/>
          <w:sz w:val="24"/>
          <w:szCs w:val="24"/>
        </w:rPr>
        <w:t>发的</w:t>
      </w:r>
      <w:r>
        <w:rPr>
          <w:rFonts w:cs="宋体" w:asciiTheme="minorEastAsia" w:hAnsiTheme="minorEastAsia"/>
          <w:kern w:val="0"/>
          <w:sz w:val="24"/>
          <w:szCs w:val="24"/>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 w:val="24"/>
          <w:szCs w:val="24"/>
        </w:rPr>
        <w:t>中国国家信息安全产品认证证书</w:t>
      </w:r>
      <w:r>
        <w:rPr>
          <w:rFonts w:hint="eastAsia" w:cs="宋体" w:asciiTheme="minorEastAsia" w:hAnsiTheme="minorEastAsia"/>
          <w:kern w:val="0"/>
          <w:sz w:val="24"/>
          <w:szCs w:val="24"/>
        </w:rPr>
        <w:fldChar w:fldCharType="end"/>
      </w:r>
      <w:r>
        <w:rPr>
          <w:rFonts w:cs="宋体" w:asciiTheme="minorEastAsia" w:hAnsiTheme="minorEastAsia"/>
          <w:kern w:val="0"/>
          <w:sz w:val="24"/>
          <w:szCs w:val="24"/>
        </w:rPr>
        <w:t>》。</w:t>
      </w:r>
      <w:r>
        <w:rPr>
          <w:rFonts w:hint="eastAsia" w:cs="宋体" w:asciiTheme="minorEastAsia" w:hAnsiTheme="minorEastAsia"/>
          <w:kern w:val="0"/>
          <w:sz w:val="24"/>
          <w:szCs w:val="24"/>
        </w:rPr>
        <w:t>投标人</w:t>
      </w:r>
      <w:r>
        <w:rPr>
          <w:rFonts w:cs="宋体" w:asciiTheme="minorEastAsia" w:hAnsiTheme="minorEastAsia"/>
          <w:kern w:val="0"/>
          <w:sz w:val="24"/>
          <w:szCs w:val="24"/>
        </w:rPr>
        <w:t>不能提供超出此目录范畴外的替代品</w:t>
      </w:r>
      <w:r>
        <w:rPr>
          <w:rFonts w:hint="eastAsia" w:cs="宋体" w:asciiTheme="minorEastAsia" w:hAnsiTheme="minorEastAsia"/>
          <w:kern w:val="0"/>
          <w:sz w:val="24"/>
          <w:szCs w:val="24"/>
        </w:rPr>
        <w:t>。</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5．投标费用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不论投标的结果如何，投标人均应自行承担所有与投标有关的全部费用，招标人在任何情况下均无义务和责任承担这些费用。</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6．信息发布</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本采购项目需要公开的有关信息，包括招标公告、招标文件澄清或修改公告、中标公告以及延长投标截止时间等与招标活动有关的通知，招标人均将通过在</w:t>
      </w:r>
      <w:r>
        <w:rPr>
          <w:rFonts w:hint="eastAsia" w:cs="宋体" w:asciiTheme="minorEastAsia" w:hAnsiTheme="minorEastAsia"/>
          <w:color w:val="000000"/>
          <w:sz w:val="24"/>
          <w:szCs w:val="24"/>
        </w:rPr>
        <w:t>《中国政府采购网》、《河南省政府采购网》、《许昌市政府采购网》</w:t>
      </w:r>
      <w:r>
        <w:rPr>
          <w:rFonts w:hint="eastAsia" w:cs="宋体" w:asciiTheme="minorEastAsia" w:hAnsiTheme="minor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7.采购代理机构代理费用收取标准和方式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7.1 收取标准:按照中标合同金额的比例收取。详</w:t>
      </w:r>
      <w:r>
        <w:rPr>
          <w:rFonts w:hint="eastAsia" w:cs="仿宋_GB2312" w:asciiTheme="minorEastAsia" w:hAnsiTheme="minorEastAsia"/>
          <w:sz w:val="24"/>
          <w:szCs w:val="24"/>
          <w:lang w:val="zh-CN"/>
        </w:rPr>
        <w:t>见投标人须知前附表。</w:t>
      </w:r>
    </w:p>
    <w:p>
      <w:pPr>
        <w:widowControl/>
        <w:tabs>
          <w:tab w:val="left" w:pos="636"/>
        </w:tabs>
        <w:spacing w:line="360" w:lineRule="auto"/>
        <w:contextualSpacing/>
        <w:jc w:val="left"/>
        <w:rPr>
          <w:rFonts w:cs="宋体" w:asciiTheme="minorEastAsia" w:hAnsiTheme="minorEastAsia"/>
          <w:kern w:val="0"/>
          <w:sz w:val="24"/>
          <w:szCs w:val="24"/>
        </w:rPr>
      </w:pPr>
      <w:r>
        <w:rPr>
          <w:rFonts w:hint="eastAsia" w:cs="宋体" w:asciiTheme="minorEastAsia" w:hAnsiTheme="minorEastAsia"/>
          <w:kern w:val="0"/>
          <w:sz w:val="24"/>
          <w:szCs w:val="24"/>
        </w:rPr>
        <w:t>7.2 收取方式：一次性以银行划账、电汇、汇票或支票的形式支付。</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8. 其他</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pPr>
        <w:autoSpaceDE w:val="0"/>
        <w:autoSpaceDN w:val="0"/>
        <w:spacing w:line="360" w:lineRule="auto"/>
        <w:contextualSpacing/>
        <w:rPr>
          <w:rFonts w:cs="宋体" w:asciiTheme="minorEastAsia" w:hAnsiTheme="minorEastAsia"/>
          <w:kern w:val="0"/>
          <w:sz w:val="24"/>
          <w:szCs w:val="24"/>
        </w:rPr>
      </w:pP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二、招标文件说明</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9．招标文件构成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9.1 招标文件由以下部分组成：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（1）投标邀请（招标公告）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（2）项目需求</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（3）投标人须知前附表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（4）投标人须知</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（5）政府采购政策功能</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（6）资格审查与评标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（7）合同条款及格式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（8）投标文件有关格式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（9）本项目招标文件的澄清、答复、修改、补充内容（如有的话）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10.现场考察、开标前答疑会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10.1 招标人根据采购项目的具体情况，可以在招标文件公告期满后，组织已获取招标文件的潜在投标人现场考察或者召开开标前答疑会。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10.4 现场考察及参加开标前答疑会所发生的费用及一切责任由投标人自行承担。</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11.招标文件的澄清或修改</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11.1 在投标截止期前，无论出于何种原因，招标人可主动地或在解答潜在投标人提出的澄清问题时对招标文件进行修改。</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11</w:t>
      </w:r>
      <w:r>
        <w:rPr>
          <w:rFonts w:cs="宋体" w:asciiTheme="minorEastAsia" w:hAnsiTheme="minorEastAsia"/>
          <w:kern w:val="0"/>
          <w:sz w:val="24"/>
          <w:szCs w:val="24"/>
        </w:rPr>
        <w:t>.</w:t>
      </w:r>
      <w:r>
        <w:rPr>
          <w:rFonts w:hint="eastAsia" w:cs="宋体" w:asciiTheme="minorEastAsia" w:hAnsiTheme="minorEastAsia"/>
          <w:kern w:val="0"/>
          <w:sz w:val="24"/>
          <w:szCs w:val="24"/>
        </w:rPr>
        <w:t>2招标人可以对已发出的招标文件进行必要的澄清或者修改。澄清或者修改的内容可能影响投标文件编制的，招标人将在投标截止时间</w:t>
      </w:r>
      <w:r>
        <w:rPr>
          <w:rFonts w:cs="宋体" w:asciiTheme="minorEastAsia" w:hAnsiTheme="minorEastAsia"/>
          <w:kern w:val="0"/>
          <w:sz w:val="24"/>
          <w:szCs w:val="24"/>
        </w:rPr>
        <w:t>15</w:t>
      </w:r>
      <w:r>
        <w:rPr>
          <w:rFonts w:hint="eastAsia" w:cs="宋体" w:asciiTheme="minorEastAsia" w:hAnsiTheme="minorEastAsia"/>
          <w:kern w:val="0"/>
          <w:sz w:val="24"/>
          <w:szCs w:val="24"/>
        </w:rPr>
        <w:t>日前，在财政部门指定的政府采购信息发布媒体和《全国公共资源交易平台（河南省·许昌市）》发布更正公告。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11.3 澄清或修改公告的内容为招标文件的组成部分，并对投标人具有约束力。当招标文件与澄清或修改公告就同一内容的表述不一致时，以最后发出的文件内容为准。</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11.4 如果澄清或者修改发出的时间距规定的投标截止时间不足15日，招标人将顺延提交投标文件的截止时间。</w:t>
      </w: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三、投标文件的编制</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12． 投标的语言及计量单位</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12.2 投标计量单位，招标文件已有明确规定的，使用招标文件规定的计量单位；招标文件没有规定的，一律采用中华人民共和国法定计量单位。</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13</w:t>
      </w:r>
      <w:r>
        <w:rPr>
          <w:rFonts w:cs="宋体" w:asciiTheme="minorEastAsia" w:hAnsiTheme="minorEastAsia"/>
          <w:b/>
          <w:kern w:val="0"/>
          <w:sz w:val="24"/>
          <w:szCs w:val="24"/>
        </w:rPr>
        <w:t xml:space="preserve">. </w:t>
      </w:r>
      <w:r>
        <w:rPr>
          <w:rFonts w:hint="eastAsia" w:cs="宋体" w:asciiTheme="minorEastAsia" w:hAnsiTheme="minorEastAsia"/>
          <w:b/>
          <w:kern w:val="0"/>
          <w:sz w:val="24"/>
          <w:szCs w:val="24"/>
        </w:rPr>
        <w:t>投标报价</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13.1 本次招标项目的投标均以</w:t>
      </w:r>
      <w:r>
        <w:rPr>
          <w:rFonts w:hint="eastAsia" w:cs="宋体" w:asciiTheme="minorEastAsia" w:hAnsiTheme="minorEastAsia"/>
          <w:b/>
          <w:kern w:val="0"/>
          <w:sz w:val="24"/>
          <w:szCs w:val="24"/>
        </w:rPr>
        <w:t>人民币</w:t>
      </w:r>
      <w:r>
        <w:rPr>
          <w:rFonts w:hint="eastAsia" w:cs="宋体" w:asciiTheme="minorEastAsia" w:hAnsiTheme="minorEastAsia"/>
          <w:kern w:val="0"/>
          <w:sz w:val="24"/>
          <w:szCs w:val="24"/>
        </w:rPr>
        <w:t>为计算单位。</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13.2 采购人不得向投标人索要或者接受其给予的赠品、回扣或者与采购无关的其他商品、服务。</w:t>
      </w:r>
    </w:p>
    <w:p>
      <w:pPr>
        <w:pStyle w:val="36"/>
        <w:spacing w:line="374" w:lineRule="auto"/>
        <w:ind w:firstLine="0" w:firstLineChars="0"/>
        <w:rPr>
          <w:rFonts w:cs="宋体" w:asciiTheme="minorEastAsia" w:hAnsiTheme="minorEastAsia"/>
          <w:kern w:val="0"/>
          <w:sz w:val="24"/>
          <w:szCs w:val="24"/>
        </w:rPr>
      </w:pPr>
      <w:r>
        <w:rPr>
          <w:rFonts w:hint="eastAsia" w:cs="宋体" w:asciiTheme="minorEastAsia" w:hAnsiTheme="minorEastAsia"/>
          <w:kern w:val="0"/>
          <w:sz w:val="24"/>
          <w:szCs w:val="24"/>
        </w:rPr>
        <w:t>13.3 投标人应对项目要求的全部内容进行报价，少报漏报将导致其投标</w:t>
      </w:r>
      <w:r>
        <w:rPr>
          <w:rFonts w:hint="eastAsia" w:ascii="宋体" w:hAnsi="宋体" w:cs="宋体"/>
          <w:sz w:val="24"/>
          <w:szCs w:val="24"/>
          <w:lang w:val="en-GB"/>
        </w:rPr>
        <w:t>为非实质性响应予以拒绝。</w:t>
      </w:r>
    </w:p>
    <w:p>
      <w:pPr>
        <w:spacing w:line="360" w:lineRule="auto"/>
        <w:outlineLvl w:val="0"/>
        <w:rPr>
          <w:rFonts w:cs="宋体" w:asciiTheme="minorEastAsia" w:hAnsiTheme="minorEastAsia"/>
          <w:kern w:val="0"/>
          <w:sz w:val="24"/>
          <w:szCs w:val="24"/>
        </w:rPr>
      </w:pPr>
      <w:r>
        <w:rPr>
          <w:rFonts w:hint="eastAsia" w:cs="宋体" w:asciiTheme="minorEastAsia" w:hAnsiTheme="minorEastAsia"/>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13.5 本项目所涉及的运输、施工、安装、集成、调试、验收、备品和工具等费用均包含在投标报价中。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13.6 本次招标不接受可选择或可调整的投标方案和报价，任何有选择的或可调整的投标方案和报价将被视为非实质性响应投标而作无效投标处理。</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13.7 报价不得高于本项目最高限价，且不低于成本价。</w:t>
      </w:r>
      <w:r>
        <w:rPr>
          <w:rFonts w:hint="eastAsia" w:ascii="宋体" w:hAnsi="宋体" w:cs="宋体"/>
          <w:sz w:val="24"/>
          <w:szCs w:val="24"/>
          <w:lang w:val="en-GB"/>
        </w:rPr>
        <w:t>本次招标实行</w:t>
      </w:r>
      <w:r>
        <w:rPr>
          <w:rFonts w:hint="eastAsia" w:ascii="宋体" w:cs="宋体"/>
          <w:sz w:val="24"/>
          <w:szCs w:val="24"/>
          <w:lang w:val="en-GB"/>
        </w:rPr>
        <w:t>“</w:t>
      </w:r>
      <w:r>
        <w:rPr>
          <w:rFonts w:hint="eastAsia" w:ascii="宋体" w:hAnsi="宋体" w:cs="宋体"/>
          <w:sz w:val="24"/>
          <w:szCs w:val="24"/>
          <w:lang w:val="en-GB"/>
        </w:rPr>
        <w:t>最高限价（项目控制金额上限）</w:t>
      </w:r>
      <w:r>
        <w:rPr>
          <w:rFonts w:hint="eastAsia" w:ascii="宋体" w:cs="宋体"/>
          <w:sz w:val="24"/>
          <w:szCs w:val="24"/>
          <w:lang w:val="en-GB"/>
        </w:rPr>
        <w:t>”</w:t>
      </w:r>
      <w:r>
        <w:rPr>
          <w:rFonts w:hint="eastAsia" w:ascii="宋体" w:hAnsi="宋体" w:cs="宋体"/>
          <w:sz w:val="24"/>
          <w:szCs w:val="24"/>
          <w:lang w:val="en-GB"/>
        </w:rPr>
        <w:t>,投标人的投标报价高于最高限价（项目控制金额上限）的，该投标人的投标文件将被视为非实质性响应予以拒绝。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13.8 最低报价不能作为中标的保证。</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14．投标有效期</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14.1 投标有效期从提交投标文件的截止之日起算。本项目投标有效期详</w:t>
      </w:r>
      <w:r>
        <w:rPr>
          <w:rFonts w:hint="eastAsia" w:cs="仿宋_GB2312" w:asciiTheme="minorEastAsia" w:hAnsiTheme="minorEastAsia"/>
          <w:sz w:val="24"/>
          <w:szCs w:val="24"/>
          <w:lang w:val="zh-CN"/>
        </w:rPr>
        <w:t>见投标人须知前附表。</w:t>
      </w:r>
      <w:r>
        <w:rPr>
          <w:rFonts w:hint="eastAsia" w:cs="宋体" w:asciiTheme="minorEastAsia" w:hAnsiTheme="minorEastAsia"/>
          <w:kern w:val="0"/>
          <w:sz w:val="24"/>
          <w:szCs w:val="24"/>
        </w:rPr>
        <w:t>投标文件中承诺的投标有效期应当不少于“投标人须知前附表”载明的投标有效期。投标有效期比招标文件规定短的属于非实质性响应，将被认定为无效投标。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14.2 投标有效期内投标人撤销投标文件的，招标人将不退还投标保证金。</w:t>
      </w:r>
    </w:p>
    <w:p>
      <w:pPr>
        <w:widowControl/>
        <w:tabs>
          <w:tab w:val="left" w:pos="636"/>
        </w:tabs>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14.4 中标人的投标文件作为项目合同的附件，其有效期至中标人全部合同义务履行完毕为止。</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15．投标文件构成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15.1 投标文件的构成应符合法律法规及招标文件的要求。</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15.2 投标人应当按照招标文件的要求编制投标文件。投标文件应当对招标文件提出的要求和条件作出明确响应。</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15.3 投标文件由资格证明材料、符合性证明材料、其它材料等组成。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pPr>
        <w:tabs>
          <w:tab w:val="left" w:pos="7095"/>
        </w:tabs>
        <w:spacing w:line="360" w:lineRule="auto"/>
        <w:rPr>
          <w:rFonts w:hAnsi="宋体"/>
          <w:color w:val="000000"/>
          <w:sz w:val="24"/>
          <w:szCs w:val="24"/>
        </w:rPr>
      </w:pPr>
      <w:r>
        <w:rPr>
          <w:rFonts w:hint="eastAsia" w:cs="宋体" w:asciiTheme="minorEastAsia" w:hAnsiTheme="minorEastAsia"/>
          <w:kern w:val="0"/>
          <w:sz w:val="24"/>
          <w:szCs w:val="24"/>
        </w:rPr>
        <w:t xml:space="preserve">15.5 </w:t>
      </w:r>
      <w:r>
        <w:rPr>
          <w:rFonts w:hint="eastAsia" w:ascii="Calibri" w:hAnsi="宋体" w:eastAsia="宋体" w:cs="Times New Roman"/>
          <w:color w:val="000000"/>
          <w:sz w:val="24"/>
          <w:szCs w:val="24"/>
        </w:rPr>
        <w:t>投标人登录许昌公共资源交易系统下载“许昌投标文件制作系统SEARUN V1.0”，按招标文件要求</w:t>
      </w:r>
      <w:r>
        <w:rPr>
          <w:rFonts w:hint="eastAsia" w:hAnsi="宋体"/>
          <w:color w:val="000000"/>
          <w:sz w:val="24"/>
          <w:szCs w:val="24"/>
        </w:rPr>
        <w:t>根据所投标段</w:t>
      </w:r>
      <w:r>
        <w:rPr>
          <w:rFonts w:hint="eastAsia" w:ascii="Calibri" w:hAnsi="宋体" w:eastAsia="宋体" w:cs="Times New Roman"/>
          <w:color w:val="000000"/>
          <w:sz w:val="24"/>
          <w:szCs w:val="24"/>
        </w:rPr>
        <w:t>制作电子投标文件。</w:t>
      </w:r>
    </w:p>
    <w:p>
      <w:pPr>
        <w:tabs>
          <w:tab w:val="left" w:pos="7095"/>
        </w:tabs>
        <w:spacing w:line="360" w:lineRule="auto"/>
        <w:rPr>
          <w:rFonts w:ascii="Calibri" w:hAnsi="宋体" w:eastAsia="宋体" w:cs="Times New Roman"/>
          <w:color w:val="000000"/>
          <w:sz w:val="24"/>
          <w:szCs w:val="24"/>
        </w:rPr>
      </w:pPr>
      <w:r>
        <w:rPr>
          <w:rFonts w:hint="eastAsia" w:hAnsi="宋体"/>
          <w:color w:val="000000"/>
          <w:sz w:val="24"/>
          <w:szCs w:val="24"/>
        </w:rPr>
        <w:t>一个标段对应生成一个文件夹（xxxx项目xx标段）, 其中包含2个文件和1个文件夹。后缀名为“</w:t>
      </w:r>
      <w:r>
        <w:rPr>
          <w:rFonts w:hAnsi="宋体"/>
          <w:color w:val="000000"/>
          <w:sz w:val="24"/>
          <w:szCs w:val="24"/>
        </w:rPr>
        <w:t>.file</w:t>
      </w:r>
      <w:r>
        <w:rPr>
          <w:rFonts w:hint="eastAsia" w:hAnsi="宋体"/>
          <w:color w:val="000000"/>
          <w:sz w:val="24"/>
          <w:szCs w:val="24"/>
        </w:rPr>
        <w:t>”的文件用于电子投标使用，后缀名为“.PDF”的文件用于打印纸质投标文件，名称为“备份”的文件夹使用电子介质存储，供开标现场备用。</w:t>
      </w:r>
    </w:p>
    <w:p>
      <w:pPr>
        <w:autoSpaceDE w:val="0"/>
        <w:autoSpaceDN w:val="0"/>
        <w:spacing w:line="360" w:lineRule="auto"/>
        <w:contextualSpacing/>
        <w:rPr>
          <w:rFonts w:cs="宋体" w:asciiTheme="minorEastAsia" w:hAnsiTheme="minorEastAsia"/>
          <w:b/>
          <w:kern w:val="0"/>
          <w:sz w:val="24"/>
          <w:szCs w:val="24"/>
        </w:rPr>
      </w:pPr>
      <w:r>
        <w:rPr>
          <w:rFonts w:hint="eastAsia" w:hAnsi="宋体" w:cs="宋体"/>
          <w:sz w:val="24"/>
        </w:rPr>
        <w:t>电子</w:t>
      </w:r>
      <w:r>
        <w:rPr>
          <w:rFonts w:hint="eastAsia" w:ascii="Calibri" w:hAnsi="宋体" w:eastAsia="宋体" w:cs="宋体"/>
          <w:sz w:val="24"/>
        </w:rPr>
        <w:t>投标文件制作技术咨询：</w:t>
      </w:r>
      <w:r>
        <w:rPr>
          <w:rFonts w:hint="eastAsia" w:ascii="宋体" w:hAnsi="宋体" w:eastAsia="宋体" w:cs="宋体"/>
          <w:b/>
          <w:kern w:val="0"/>
          <w:sz w:val="24"/>
          <w:szCs w:val="24"/>
        </w:rPr>
        <w:t>0374-2961598</w:t>
      </w:r>
      <w:r>
        <w:rPr>
          <w:rFonts w:hint="eastAsia" w:ascii="宋体" w:hAnsi="宋体" w:eastAsia="宋体" w:cs="宋体"/>
          <w:kern w:val="0"/>
          <w:sz w:val="24"/>
          <w:szCs w:val="24"/>
        </w:rPr>
        <w:t>。</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16.投标文件格式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16.1 投标文件应参照招标文件第七部分（投标文件有关格式）的内容要求、编排顺序和格式要求，投标人应按照以上要求将投标文件编上唯一的连贯页码并以</w:t>
      </w:r>
      <w:r>
        <w:rPr>
          <w:rFonts w:hint="eastAsia" w:cs="宋体" w:asciiTheme="minorEastAsia" w:hAnsiTheme="minorEastAsia"/>
          <w:b/>
          <w:kern w:val="0"/>
          <w:sz w:val="24"/>
          <w:szCs w:val="24"/>
        </w:rPr>
        <w:t>A4</w:t>
      </w:r>
      <w:r>
        <w:rPr>
          <w:rFonts w:hint="eastAsia" w:cs="宋体" w:asciiTheme="minorEastAsia" w:hAnsiTheme="minorEastAsia"/>
          <w:kern w:val="0"/>
          <w:sz w:val="24"/>
          <w:szCs w:val="24"/>
        </w:rPr>
        <w:t>幅面装订成册，并在投标文件封面上注明：正本/副本、所投项目名称、项目编号、投标人名称、日期等字样。</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16.2 投标人应按招标文件提供的格式编写投标文件。招标文件未提供标准格式的投标人可自行拟定。</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17.投标保证金</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17.1投标保证金的缴纳</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17.1 .1投标人应按“投标人须知前附表”规定时间及金额提交投标保证金，并作为其投标的一部分。未按要求提交投标保证金的投标文件为无效投标。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17.1.2 投标保证金用于避免和减少本次招标由于投标人的行为而给采购人带来的损失。</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 xml:space="preserve">3 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 投标保证金缴纳方式：</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5.1 投标人网上下载招标文件后</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登录</w:t>
      </w:r>
      <w:r>
        <w:fldChar w:fldCharType="begin"/>
      </w:r>
      <w:r>
        <w:instrText xml:space="preserve"> HYPERLINK "http://221.14.6.70:8088/ggzy" </w:instrText>
      </w:r>
      <w:r>
        <w:fldChar w:fldCharType="separate"/>
      </w:r>
      <w:r>
        <w:rPr>
          <w:rFonts w:hint="eastAsia" w:cs="仿宋_GB2312" w:asciiTheme="minorEastAsia" w:hAnsiTheme="minorEastAsia"/>
          <w:sz w:val="24"/>
          <w:szCs w:val="24"/>
        </w:rPr>
        <w:t>http://221.14.6.70:8088/ggzy</w:t>
      </w:r>
      <w:r>
        <w:rPr>
          <w:rFonts w:hint="eastAsia" w:cs="仿宋_GB2312" w:asciiTheme="minorEastAsia" w:hAnsiTheme="minorEastAsia"/>
          <w:sz w:val="24"/>
          <w:szCs w:val="24"/>
        </w:rPr>
        <w:fldChar w:fldCharType="end"/>
      </w:r>
      <w:r>
        <w:rPr>
          <w:rFonts w:hint="eastAsia" w:cs="仿宋_GB2312" w:asciiTheme="minorEastAsia" w:hAnsiTheme="minorEastAsia"/>
          <w:sz w:val="24"/>
          <w:szCs w:val="24"/>
          <w:lang w:val="zh-CN"/>
        </w:rPr>
        <w:t>系统</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依次点击</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会员向导</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参与投标</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费用缴纳说明</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保证金缴纳说明单</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获取缴费说明单</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根据每个标段的缴纳说明单在缴纳截止时间前缴纳</w:t>
      </w:r>
      <w:r>
        <w:rPr>
          <w:rFonts w:hint="eastAsia" w:cs="仿宋_GB2312" w:asciiTheme="minorEastAsia" w:hAnsiTheme="minorEastAsia"/>
          <w:sz w:val="24"/>
          <w:szCs w:val="24"/>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5.2 成功缴纳后重新登录前述系统</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依次点击</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会员向导</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参与投标</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保证金绑定</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绑定</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进行投标保证金绑定。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 xml:space="preserve"> 《保证金缴纳绑定操作指南》获取方法：登录许昌公共资源交易系统-组件下载-《保证金缴纳绑定操作指南》。</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6 每个投标人每个项目每个标段只有唯一缴纳账号，切勿重复缴纳或错误缴纳。</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17.1.8 不同投标人的投标保证金不得从同一单位或者个人的账户转出。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 xml:space="preserve"> 未按上述规定操作引起的无效投标，由投标人自行负责。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 xml:space="preserve">17.1.10 </w:t>
      </w:r>
      <w:r>
        <w:rPr>
          <w:rFonts w:hint="eastAsia" w:cs="仿宋_GB2312" w:asciiTheme="minorEastAsia" w:hAnsiTheme="minorEastAsia"/>
          <w:sz w:val="24"/>
          <w:szCs w:val="24"/>
          <w:lang w:val="zh-CN"/>
        </w:rPr>
        <w:t>汇款凭证无需备注项目编号和项目名称。</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宋体" w:asciiTheme="minorEastAsia" w:hAnsiTheme="minorEastAsia"/>
          <w:b/>
          <w:kern w:val="0"/>
          <w:sz w:val="24"/>
          <w:szCs w:val="24"/>
        </w:rPr>
        <w:t>17.2 投标保证金的退还</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 xml:space="preserve">2.1 </w:t>
      </w:r>
      <w:r>
        <w:rPr>
          <w:rFonts w:hint="eastAsia" w:cs="仿宋_GB2312" w:asciiTheme="minorEastAsia" w:hAnsiTheme="minorEastAsia"/>
          <w:sz w:val="24"/>
          <w:szCs w:val="24"/>
          <w:lang w:val="zh-CN"/>
        </w:rPr>
        <w:t>退还投标保证金时，区别中标与否，按不同时序由银行按来款途径退还原账户。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2.1.1</w:t>
      </w:r>
      <w:r>
        <w:rPr>
          <w:rFonts w:hint="eastAsia" w:cs="仿宋_GB2312" w:asciiTheme="minorEastAsia" w:hAnsiTheme="minorEastAsia"/>
          <w:sz w:val="24"/>
          <w:szCs w:val="24"/>
          <w:lang w:val="zh-CN"/>
        </w:rPr>
        <w:t xml:space="preserve"> 自中标通知书发出之日起</w:t>
      </w:r>
      <w:r>
        <w:rPr>
          <w:rFonts w:cs="仿宋_GB2312" w:asciiTheme="minorEastAsia" w:hAnsiTheme="minorEastAsia"/>
          <w:sz w:val="24"/>
          <w:szCs w:val="24"/>
          <w:lang w:val="zh-CN"/>
        </w:rPr>
        <w:t>5</w:t>
      </w:r>
      <w:r>
        <w:rPr>
          <w:rFonts w:hint="eastAsia" w:cs="仿宋_GB2312" w:asciiTheme="minorEastAsia" w:hAnsiTheme="minorEastAsia"/>
          <w:sz w:val="24"/>
          <w:szCs w:val="24"/>
          <w:lang w:val="zh-CN"/>
        </w:rPr>
        <w:t>个工作日内退还未中标人的投标保证金。</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2.1.2</w:t>
      </w:r>
      <w:r>
        <w:rPr>
          <w:rFonts w:hint="eastAsia" w:cs="仿宋_GB2312" w:asciiTheme="minorEastAsia" w:hAnsiTheme="minorEastAsia"/>
          <w:sz w:val="24"/>
          <w:szCs w:val="24"/>
          <w:lang w:val="zh-CN"/>
        </w:rPr>
        <w:t xml:space="preserve"> 自采购合同签订之日起</w:t>
      </w:r>
      <w:r>
        <w:rPr>
          <w:rFonts w:cs="仿宋_GB2312" w:asciiTheme="minorEastAsia" w:hAnsiTheme="minorEastAsia"/>
          <w:sz w:val="24"/>
          <w:szCs w:val="24"/>
          <w:lang w:val="zh-CN"/>
        </w:rPr>
        <w:t>5</w:t>
      </w:r>
      <w:r>
        <w:rPr>
          <w:rFonts w:hint="eastAsia" w:cs="仿宋_GB2312" w:asciiTheme="minorEastAsia" w:hAnsiTheme="minorEastAsia"/>
          <w:sz w:val="24"/>
          <w:szCs w:val="24"/>
          <w:lang w:val="zh-CN"/>
        </w:rPr>
        <w:t>个工作日内退还中标人的投标保证金。</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17.2.1.3 特殊情况处理：投标人投标过程中因账户开户银行、银行账号发生变化，不能按照来款途径原路返还投标保证金的，投标人须提供原账户开户银行相关证明及新开账户开户许可证，到许昌市公共资源交易中心一楼交易见证部办理退款手续（0374-2968027）。</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17.2.1.4 因投标人自身原因无法及时退还投标保证金，滞留三年以上的，投标保证金上缴财政。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2.2</w:t>
      </w:r>
      <w:r>
        <w:rPr>
          <w:rFonts w:hint="eastAsia" w:cs="仿宋_GB2312" w:asciiTheme="minorEastAsia" w:hAnsiTheme="minorEastAsia"/>
          <w:sz w:val="24"/>
          <w:szCs w:val="24"/>
          <w:lang w:val="zh-CN"/>
        </w:rPr>
        <w:t xml:space="preserve"> 有下列情形之一的，投标保证金不予退还</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 xml:space="preserve">2.2.1 </w:t>
      </w:r>
      <w:r>
        <w:rPr>
          <w:rFonts w:hint="eastAsia" w:cs="仿宋_GB2312" w:asciiTheme="minorEastAsia" w:hAnsiTheme="minorEastAsia"/>
          <w:sz w:val="24"/>
          <w:szCs w:val="24"/>
          <w:lang w:val="zh-CN"/>
        </w:rPr>
        <w:t>投标有效期内投标人撤销投标文件的；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 xml:space="preserve">2.2.2 </w:t>
      </w:r>
      <w:r>
        <w:rPr>
          <w:rFonts w:hint="eastAsia" w:cs="仿宋_GB2312" w:asciiTheme="minorEastAsia" w:hAnsiTheme="minorEastAsia"/>
          <w:sz w:val="24"/>
          <w:szCs w:val="24"/>
          <w:lang w:val="zh-CN"/>
        </w:rPr>
        <w:t>投标人在投标文件中提供虚假材料的；</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2.2.3 除因不可抗力或招标文件认可的情形以外，中标人不与采购人签订合同的；</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17.2.2.4 投标人与采购人、其他投标人或者采购代理机构恶意串通的；</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17.2.2.5 法律法规及招标文件规定的其他情形。</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17.3 </w:t>
      </w:r>
      <w:r>
        <w:rPr>
          <w:rFonts w:hint="eastAsia" w:cs="仿宋_GB2312" w:asciiTheme="minorEastAsia" w:hAnsiTheme="minor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1</w:t>
      </w:r>
      <w:r>
        <w:rPr>
          <w:rFonts w:hint="eastAsia" w:cs="仿宋_GB2312" w:asciiTheme="minorEastAsia" w:hAnsiTheme="minorEastAsia"/>
          <w:b/>
          <w:sz w:val="24"/>
          <w:szCs w:val="24"/>
        </w:rPr>
        <w:t>8</w:t>
      </w:r>
      <w:r>
        <w:rPr>
          <w:rFonts w:hint="eastAsia" w:cs="仿宋_GB2312" w:asciiTheme="minorEastAsia" w:hAnsiTheme="minorEastAsia"/>
          <w:b/>
          <w:sz w:val="24"/>
          <w:szCs w:val="24"/>
          <w:lang w:val="zh-CN"/>
        </w:rPr>
        <w:t>. 投标文件的数量和签署盖章</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.1 投标人应提交投标文件份数见“投标人须知前附表”。</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 在招标文件中已明示需盖章及签名之处，</w:t>
      </w:r>
      <w:r>
        <w:rPr>
          <w:rFonts w:hint="eastAsia" w:ascii="新宋体" w:hAnsi="新宋体" w:eastAsia="新宋体"/>
          <w:sz w:val="24"/>
        </w:rPr>
        <w:t>电子投标文件应按招标文件要求加盖投标人电子印章和法人电子印章或授权代表电子印章。</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18.3 纸质投标文件</w:t>
      </w:r>
      <w:r>
        <w:rPr>
          <w:rFonts w:hint="eastAsia" w:ascii="新宋体" w:hAnsi="新宋体" w:eastAsia="新宋体"/>
          <w:sz w:val="24"/>
        </w:rPr>
        <w:t>是指投标人电子投标文件制作完成后生成的后缀名为</w:t>
      </w:r>
      <w:r>
        <w:rPr>
          <w:rFonts w:hint="eastAsia" w:hAnsi="宋体"/>
          <w:color w:val="000000"/>
          <w:sz w:val="24"/>
          <w:szCs w:val="24"/>
        </w:rPr>
        <w:t>“.PDF”的文件打印的投标文件。</w:t>
      </w:r>
      <w:r>
        <w:rPr>
          <w:rFonts w:hint="eastAsia" w:cs="仿宋_GB2312" w:asciiTheme="minorEastAsia" w:hAnsiTheme="minorEastAsia"/>
          <w:sz w:val="24"/>
          <w:szCs w:val="24"/>
          <w:lang w:val="zh-CN"/>
        </w:rPr>
        <w:t>纸质投标文件正本和副本封面上应清楚标明</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正本</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或</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副本</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字样；一旦正本和副本内容不一致时，以正本为准。纸质投标文件的正本及所有副本的封面均须由投标人加盖投标人公章。</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.4 纸质投标文件副本可以是纸质投标文件的正本复印而成。</w:t>
      </w:r>
    </w:p>
    <w:p>
      <w:pPr>
        <w:tabs>
          <w:tab w:val="left" w:pos="1260"/>
        </w:tabs>
        <w:autoSpaceDE w:val="0"/>
        <w:autoSpaceDN w:val="0"/>
        <w:spacing w:line="360" w:lineRule="auto"/>
        <w:contextualSpacing/>
        <w:rPr>
          <w:rFonts w:cs="仿宋_GB2312" w:asciiTheme="minorEastAsia" w:hAnsiTheme="minorEastAsia"/>
          <w:sz w:val="24"/>
          <w:szCs w:val="24"/>
          <w:lang w:val="zh-CN"/>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四、投标文件的递交</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19</w:t>
      </w:r>
      <w:r>
        <w:rPr>
          <w:rFonts w:hint="eastAsia" w:cs="仿宋_GB2312" w:asciiTheme="minorEastAsia" w:hAnsiTheme="minorEastAsia"/>
          <w:b/>
          <w:sz w:val="24"/>
          <w:szCs w:val="24"/>
          <w:lang w:val="zh-CN"/>
        </w:rPr>
        <w:t>.投标文件的密封</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.1 投标人应将纸质投标文件“正本”、“ 副本”密封包装。</w:t>
      </w:r>
      <w:r>
        <w:rPr>
          <w:rFonts w:hint="eastAsia" w:hAnsi="宋体" w:cs="宋体"/>
          <w:sz w:val="24"/>
        </w:rPr>
        <w:t>使用电子介质存储的投标文件单独密封包装，并随纸质投标文件一并提交。</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.2 投标文件如果未按规定密封，招标人将拒绝接收。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20</w:t>
      </w:r>
      <w:r>
        <w:rPr>
          <w:rFonts w:hint="eastAsia" w:cs="仿宋_GB2312" w:asciiTheme="minorEastAsia" w:hAnsiTheme="minorEastAsia"/>
          <w:b/>
          <w:sz w:val="24"/>
          <w:szCs w:val="24"/>
          <w:lang w:val="zh-CN"/>
        </w:rPr>
        <w:t>．投标截止时间</w:t>
      </w:r>
    </w:p>
    <w:p>
      <w:pPr>
        <w:tabs>
          <w:tab w:val="left" w:pos="1260"/>
        </w:tabs>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rPr>
        <w:t>20</w:t>
      </w:r>
      <w:r>
        <w:rPr>
          <w:rFonts w:hint="eastAsia" w:cs="仿宋_GB2312" w:asciiTheme="minorEastAsia" w:hAnsiTheme="minorEastAsia"/>
          <w:sz w:val="24"/>
          <w:szCs w:val="24"/>
          <w:lang w:val="zh-CN"/>
        </w:rPr>
        <w:t>．1 投标人必须在</w:t>
      </w:r>
      <w:r>
        <w:rPr>
          <w:rFonts w:hint="eastAsia" w:cs="宋体" w:asciiTheme="minorEastAsia" w:hAnsiTheme="minorEastAsia"/>
          <w:kern w:val="0"/>
          <w:sz w:val="24"/>
          <w:szCs w:val="24"/>
        </w:rPr>
        <w:t>“投标邀请”</w:t>
      </w:r>
      <w:r>
        <w:rPr>
          <w:rFonts w:hint="eastAsia" w:asciiTheme="minorEastAsia" w:hAnsiTheme="minorEastAsia"/>
          <w:bCs/>
          <w:sz w:val="24"/>
          <w:szCs w:val="24"/>
        </w:rPr>
        <w:t>和“投标人须知前附表”中规定的投标截止时间前，将所有投标文件送达招标文件指定的开标地点。</w:t>
      </w:r>
    </w:p>
    <w:p>
      <w:pPr>
        <w:tabs>
          <w:tab w:val="left" w:pos="1260"/>
        </w:tabs>
        <w:autoSpaceDE w:val="0"/>
        <w:autoSpaceDN w:val="0"/>
        <w:spacing w:line="360" w:lineRule="auto"/>
        <w:contextualSpacing/>
        <w:rPr>
          <w:rFonts w:asciiTheme="minorEastAsia" w:hAnsiTheme="minorEastAsia"/>
          <w:bCs/>
          <w:sz w:val="24"/>
          <w:szCs w:val="24"/>
        </w:rPr>
      </w:pPr>
      <w:r>
        <w:rPr>
          <w:rFonts w:hint="eastAsia" w:asciiTheme="minorEastAsia" w:hAnsiTheme="minorEastAsia"/>
          <w:bCs/>
          <w:sz w:val="24"/>
          <w:szCs w:val="24"/>
        </w:rPr>
        <w:t>20.2 招标人收到投标文件后，应当如实记载投标文件的送达时间和密封情况，签收保存，并向投标人出具签收回执。任何单位和个人不得在开标前开启投标文件。</w:t>
      </w:r>
    </w:p>
    <w:p>
      <w:pPr>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lang w:val="zh-CN"/>
        </w:rPr>
        <w:t xml:space="preserve">20.3 </w:t>
      </w:r>
      <w:r>
        <w:rPr>
          <w:rFonts w:hint="eastAsia" w:asciiTheme="minorEastAsia" w:hAnsiTheme="minor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21</w:t>
      </w:r>
      <w:r>
        <w:rPr>
          <w:rFonts w:hint="eastAsia" w:cs="仿宋_GB2312" w:asciiTheme="minorEastAsia" w:hAnsiTheme="minorEastAsia"/>
          <w:b/>
          <w:sz w:val="24"/>
          <w:szCs w:val="24"/>
          <w:lang w:val="zh-CN"/>
        </w:rPr>
        <w:t>. 迟交的投标文件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投标截止时间之后送达/上传的投标文件，招标人将拒绝接收。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2</w:t>
      </w:r>
      <w:r>
        <w:rPr>
          <w:rFonts w:hint="eastAsia" w:cs="仿宋_GB2312" w:asciiTheme="minorEastAsia" w:hAnsiTheme="minorEastAsia"/>
          <w:b/>
          <w:sz w:val="24"/>
          <w:szCs w:val="24"/>
          <w:lang w:val="zh-CN"/>
        </w:rPr>
        <w:t>. 投标文件的修改和撤回</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.1 投标人在投标截止时间前，对所递交的纸质投标文件进行补充、修改或者撤回的，须书面通知招标人。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hAnsi="宋体" w:cs="宋体"/>
          <w:sz w:val="24"/>
        </w:rPr>
        <w:t>投标人应当在投标截止时间前完成电子投标文件的提交，可以补充、修改或撤回。投标截止时间前未完成电子投标文件提交、取得“投标文件提交回执单”的，视为撤回投标文件。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 xml:space="preserve">.2 </w:t>
      </w:r>
      <w:r>
        <w:rPr>
          <w:rFonts w:hint="eastAsia" w:asciiTheme="minorEastAsia" w:hAnsiTheme="minorEastAsia"/>
          <w:bCs/>
          <w:sz w:val="24"/>
          <w:szCs w:val="24"/>
        </w:rPr>
        <w:t>投标人</w:t>
      </w:r>
      <w:r>
        <w:rPr>
          <w:rFonts w:hint="eastAsia" w:cs="仿宋_GB2312" w:asciiTheme="minorEastAsia" w:hAnsiTheme="minorEastAsia"/>
          <w:sz w:val="24"/>
          <w:szCs w:val="24"/>
          <w:lang w:val="zh-CN"/>
        </w:rPr>
        <w:t>补充、修改的内容并作为投标文件的组成部分。</w:t>
      </w:r>
      <w:r>
        <w:rPr>
          <w:rFonts w:hint="eastAsia" w:asciiTheme="minorEastAsia" w:hAnsiTheme="minorEastAsia"/>
          <w:bCs/>
          <w:sz w:val="24"/>
          <w:szCs w:val="24"/>
        </w:rPr>
        <w:t>补充或修改</w:t>
      </w:r>
      <w:r>
        <w:rPr>
          <w:rFonts w:hint="eastAsia" w:cs="仿宋_GB2312" w:asciiTheme="minorEastAsia" w:hAnsiTheme="minorEastAsia"/>
          <w:sz w:val="24"/>
          <w:szCs w:val="24"/>
          <w:lang w:val="zh-CN"/>
        </w:rPr>
        <w:t>应当按招标文件要求签署、盖章、</w:t>
      </w:r>
      <w:r>
        <w:rPr>
          <w:rFonts w:hint="eastAsia" w:asciiTheme="minorEastAsia" w:hAnsiTheme="minorEastAsia"/>
          <w:bCs/>
          <w:sz w:val="24"/>
          <w:szCs w:val="24"/>
        </w:rPr>
        <w:t>密封</w:t>
      </w:r>
      <w:r>
        <w:rPr>
          <w:rFonts w:hint="eastAsia" w:cs="仿宋_GB2312" w:asciiTheme="minorEastAsia" w:hAnsiTheme="minorEastAsia"/>
          <w:sz w:val="24"/>
          <w:szCs w:val="24"/>
          <w:lang w:val="zh-CN"/>
        </w:rPr>
        <w:t>、递交，</w:t>
      </w:r>
      <w:r>
        <w:rPr>
          <w:rFonts w:hint="eastAsia" w:asciiTheme="minorEastAsia" w:hAnsiTheme="minorEastAsia"/>
          <w:bCs/>
          <w:sz w:val="24"/>
          <w:szCs w:val="24"/>
        </w:rPr>
        <w:t>并应注明“修改</w:t>
      </w:r>
      <w:r>
        <w:rPr>
          <w:rFonts w:asciiTheme="minorEastAsia" w:hAnsiTheme="minorEastAsia"/>
          <w:bCs/>
          <w:sz w:val="24"/>
          <w:szCs w:val="24"/>
        </w:rPr>
        <w:t>”</w:t>
      </w:r>
      <w:r>
        <w:rPr>
          <w:rFonts w:hint="eastAsia" w:asciiTheme="minorEastAsia" w:hAnsiTheme="minorEastAsia"/>
          <w:bCs/>
          <w:sz w:val="24"/>
          <w:szCs w:val="24"/>
        </w:rPr>
        <w:t>或“补充</w:t>
      </w:r>
      <w:r>
        <w:rPr>
          <w:rFonts w:asciiTheme="minorEastAsia" w:hAnsiTheme="minorEastAsia"/>
          <w:bCs/>
          <w:sz w:val="24"/>
          <w:szCs w:val="24"/>
        </w:rPr>
        <w:t>”</w:t>
      </w:r>
      <w:r>
        <w:rPr>
          <w:rFonts w:hint="eastAsia" w:asciiTheme="minorEastAsia" w:hAnsiTheme="minorEastAsia"/>
          <w:bCs/>
          <w:sz w:val="24"/>
          <w:szCs w:val="24"/>
        </w:rPr>
        <w:t>字样。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.3 投标人在递交投标文件后，可以撤回其投标，但投标人必须在规定的投标截止时间前以书面形式告知招标人。</w:t>
      </w:r>
    </w:p>
    <w:p>
      <w:pPr>
        <w:autoSpaceDE w:val="0"/>
        <w:autoSpaceDN w:val="0"/>
        <w:spacing w:line="360" w:lineRule="auto"/>
        <w:contextualSpacing/>
        <w:rPr>
          <w:rFonts w:cs="宋体" w:asciiTheme="minorEastAsia" w:hAnsiTheme="minorEastAsia"/>
          <w:kern w:val="0"/>
          <w:sz w:val="24"/>
          <w:szCs w:val="24"/>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 xml:space="preserve">.4  </w:t>
      </w:r>
      <w:r>
        <w:rPr>
          <w:rFonts w:hint="eastAsia" w:cs="宋体" w:asciiTheme="minorEastAsia" w:hAnsiTheme="minorEastAsia"/>
          <w:kern w:val="0"/>
          <w:sz w:val="24"/>
          <w:szCs w:val="24"/>
        </w:rPr>
        <w:t>投标人不得在投标有效期内撤销投标文件，否则招标人将不退还其投标保证金。</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23．</w:t>
      </w:r>
      <w:r>
        <w:rPr>
          <w:rFonts w:hint="eastAsia" w:hAnsi="宋体" w:cs="宋体"/>
          <w:b/>
          <w:sz w:val="24"/>
        </w:rPr>
        <w:t>除投标人须知前附表另有规定外，投标人所提交的电子投标文件、纸质投标文件及电子介质存储的备份文件不予退还。</w:t>
      </w: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五、开标和评标</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4</w:t>
      </w:r>
      <w:r>
        <w:rPr>
          <w:rFonts w:hint="eastAsia" w:cs="仿宋_GB2312" w:asciiTheme="minorEastAsia" w:hAnsiTheme="minorEastAsia"/>
          <w:b/>
          <w:sz w:val="24"/>
          <w:szCs w:val="24"/>
          <w:lang w:val="zh-CN"/>
        </w:rPr>
        <w:t>. 开标</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.1 招标人将按招标文件规定的时间和地点组织公开开标。开标由代理机构主持，邀请投标人参加。评标委员会成员不得参加开标活动。</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.2 招标人应当对开标、评标现场活动进行全程录音录像。录音录像应当清晰可辨，音像资料作为采购文件一并存档。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.3 开标时，由投标人或者其推选的代表检查纸质投标文件和</w:t>
      </w:r>
      <w:r>
        <w:rPr>
          <w:rFonts w:hint="eastAsia" w:hAnsi="宋体" w:cs="宋体"/>
          <w:sz w:val="24"/>
        </w:rPr>
        <w:t>备份文件</w:t>
      </w:r>
      <w:r>
        <w:rPr>
          <w:rFonts w:hint="eastAsia" w:cs="仿宋_GB2312" w:asciiTheme="minorEastAsia" w:hAnsiTheme="minorEastAsia"/>
          <w:sz w:val="24"/>
          <w:szCs w:val="24"/>
          <w:lang w:val="zh-CN"/>
        </w:rPr>
        <w:t>（</w:t>
      </w:r>
      <w:r>
        <w:rPr>
          <w:rFonts w:hint="eastAsia" w:hAnsi="宋体" w:cs="宋体"/>
          <w:sz w:val="24"/>
        </w:rPr>
        <w:t>使用电子介质存储</w:t>
      </w:r>
      <w:r>
        <w:rPr>
          <w:rFonts w:hint="eastAsia" w:cs="仿宋_GB2312" w:asciiTheme="minorEastAsia" w:hAnsiTheme="minorEastAsia"/>
          <w:sz w:val="24"/>
          <w:szCs w:val="24"/>
          <w:lang w:val="zh-CN"/>
        </w:rPr>
        <w:t>）</w:t>
      </w:r>
      <w:r>
        <w:rPr>
          <w:rFonts w:hint="eastAsia" w:hAnsi="宋体" w:cs="宋体"/>
          <w:sz w:val="24"/>
        </w:rPr>
        <w:t>的</w:t>
      </w:r>
      <w:r>
        <w:rPr>
          <w:rFonts w:hint="eastAsia" w:cs="仿宋_GB2312" w:asciiTheme="minorEastAsia" w:hAnsiTheme="minorEastAsia"/>
          <w:sz w:val="24"/>
          <w:szCs w:val="24"/>
          <w:lang w:val="zh-CN"/>
        </w:rPr>
        <w:t>密封情况；经确认无误后进行电子投标文件的解密。解密后宣布投标人名称、投标价格、修改和撤回投标的通知（如有的话）和招标文件规定的需要宣布的其他内容。</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24.3.1 电子投标文件的解密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全流程电子化交易项目电子投标文件采用双重加密。解密需分标段进行两次解密。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（1）投标人解密：投标人使用本单位CA数字证书远程或现场进行解密。需开标现场使用一体机进行解密的，请在代理机构引导下进行。</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（2）代理机构解密：代理机构</w:t>
      </w:r>
      <w:r>
        <w:rPr>
          <w:rFonts w:cs="仿宋_GB2312" w:asciiTheme="minorEastAsia" w:hAnsiTheme="minorEastAsia"/>
          <w:sz w:val="24"/>
          <w:szCs w:val="24"/>
          <w:lang w:val="zh-CN"/>
        </w:rPr>
        <w:t>按</w:t>
      </w:r>
      <w:r>
        <w:rPr>
          <w:rFonts w:hint="eastAsia" w:cs="仿宋_GB2312" w:asciiTheme="minorEastAsia" w:hAnsiTheme="minorEastAsia"/>
          <w:sz w:val="24"/>
          <w:szCs w:val="24"/>
          <w:lang w:val="zh-CN"/>
        </w:rPr>
        <w:t>电子</w:t>
      </w:r>
      <w:r>
        <w:rPr>
          <w:rFonts w:cs="仿宋_GB2312" w:asciiTheme="minorEastAsia" w:hAnsiTheme="minorEastAsia"/>
          <w:sz w:val="24"/>
          <w:szCs w:val="24"/>
          <w:lang w:val="zh-CN"/>
        </w:rPr>
        <w:t>投标</w:t>
      </w:r>
      <w:r>
        <w:rPr>
          <w:rFonts w:hint="eastAsia" w:cs="仿宋_GB2312" w:asciiTheme="minorEastAsia" w:hAnsiTheme="minorEastAsia"/>
          <w:sz w:val="24"/>
          <w:szCs w:val="24"/>
          <w:lang w:val="zh-CN"/>
        </w:rPr>
        <w:t>文件到达交易系统</w:t>
      </w:r>
      <w:r>
        <w:rPr>
          <w:rFonts w:cs="仿宋_GB2312" w:asciiTheme="minorEastAsia" w:hAnsiTheme="minorEastAsia"/>
          <w:sz w:val="24"/>
          <w:szCs w:val="24"/>
          <w:lang w:val="zh-CN"/>
        </w:rPr>
        <w:t>的先后顺序</w:t>
      </w:r>
      <w:r>
        <w:rPr>
          <w:rFonts w:hint="eastAsia" w:cs="仿宋_GB2312" w:asciiTheme="minorEastAsia" w:hAnsiTheme="minorEastAsia"/>
          <w:sz w:val="24"/>
          <w:szCs w:val="24"/>
          <w:lang w:val="zh-CN"/>
        </w:rPr>
        <w:t>，使用本单位CA数字证书进行再次解密。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24.3.2 电子投标文件解密异常情况处理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w:t>
      </w:r>
      <w:r>
        <w:rPr>
          <w:rFonts w:cs="仿宋_GB2312" w:asciiTheme="minorEastAsia" w:hAnsiTheme="minorEastAsia"/>
          <w:sz w:val="24"/>
          <w:szCs w:val="24"/>
          <w:lang w:val="zh-CN"/>
        </w:rPr>
        <w:t>1</w:t>
      </w:r>
      <w:r>
        <w:rPr>
          <w:rFonts w:hint="eastAsia" w:cs="仿宋_GB2312" w:asciiTheme="minorEastAsia" w:hAnsiTheme="minorEastAsia"/>
          <w:sz w:val="24"/>
          <w:szCs w:val="24"/>
          <w:lang w:val="zh-CN"/>
        </w:rPr>
        <w:t>）因电子交易系统异常无法解密电子投标文件的，使用纸质投标文件以人工方式进行。</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.4 投标人不足3家的，不得开标。</w:t>
      </w:r>
    </w:p>
    <w:p>
      <w:pPr>
        <w:tabs>
          <w:tab w:val="left" w:pos="1260"/>
        </w:tabs>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w:t>
      </w:r>
      <w:r>
        <w:rPr>
          <w:rFonts w:hint="eastAsia" w:asciiTheme="minorEastAsia" w:hAnsiTheme="minorEastAsia"/>
          <w:bCs/>
          <w:sz w:val="24"/>
          <w:szCs w:val="24"/>
        </w:rPr>
        <w:t>5 开标过程</w:t>
      </w:r>
      <w:r>
        <w:rPr>
          <w:rFonts w:hint="eastAsia" w:cs="仿宋_GB2312" w:asciiTheme="minorEastAsia" w:hAnsiTheme="minorEastAsia"/>
          <w:sz w:val="24"/>
          <w:szCs w:val="24"/>
          <w:lang w:val="zh-CN"/>
        </w:rPr>
        <w:t>由采购代理机构负</w:t>
      </w:r>
      <w:r>
        <w:rPr>
          <w:rFonts w:hint="eastAsia" w:asciiTheme="minorEastAsia" w:hAnsiTheme="minorEastAsia"/>
          <w:bCs/>
          <w:sz w:val="24"/>
          <w:szCs w:val="24"/>
        </w:rPr>
        <w:t>责记录，由参加开标的各投标人代表和相关工作人员签字确认后随采购文件一并存档。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Cs/>
          <w:sz w:val="24"/>
          <w:szCs w:val="24"/>
        </w:rPr>
        <w:t xml:space="preserve">24.6 </w:t>
      </w:r>
      <w:r>
        <w:rPr>
          <w:rFonts w:hint="eastAsia" w:cs="仿宋_GB2312" w:asciiTheme="minorEastAsia" w:hAnsiTheme="minor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.7 投标人未参加开标的，视同认可开标结果。</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5</w:t>
      </w:r>
      <w:r>
        <w:rPr>
          <w:rFonts w:hint="eastAsia" w:cs="仿宋_GB2312" w:asciiTheme="minorEastAsia" w:hAnsiTheme="minorEastAsia"/>
          <w:b/>
          <w:sz w:val="24"/>
          <w:szCs w:val="24"/>
          <w:lang w:val="zh-CN"/>
        </w:rPr>
        <w:t>. 资格审查</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Cs/>
          <w:sz w:val="24"/>
          <w:szCs w:val="24"/>
        </w:rPr>
        <w:t>开标结束后，采购人依法对投标人的资格进行审查。</w:t>
      </w:r>
      <w:r>
        <w:rPr>
          <w:rFonts w:hint="eastAsia" w:cs="仿宋_GB2312" w:asciiTheme="minorEastAsia" w:hAnsiTheme="minorEastAsia"/>
          <w:sz w:val="24"/>
          <w:szCs w:val="24"/>
          <w:lang w:val="zh-CN"/>
        </w:rPr>
        <w:t>合格投标人不足3家的，不得评标。</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6</w:t>
      </w:r>
      <w:r>
        <w:rPr>
          <w:rFonts w:hint="eastAsia" w:cs="仿宋_GB2312" w:asciiTheme="minorEastAsia" w:hAnsiTheme="minorEastAsia"/>
          <w:b/>
          <w:sz w:val="24"/>
          <w:szCs w:val="24"/>
          <w:lang w:val="zh-CN"/>
        </w:rPr>
        <w:t>.评标委员会的组成</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26.1.1 采购项目符合下列情形之一的，评标委员会成员人数应当为7人以上单数：</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（一）采购预算金额在1000万元以上；</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（二）技术复杂；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（三）社会影响较大。</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.2 评审专家对本单位的采购项目只能作为采购人代表参与评标。采购代理机构工作人员不得参加由本机构代理的政府采购项目的评标。</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.3 评审专家与投标人存在下列利害关系之一的,应当回避: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(一)参加采购活动前三年内,与供应商存在劳动关系,或者担任过供应商的董事、监事,或者是供应商的控股股东或实际控制人；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(二)与供应商的法定代表人或者负责人有夫妻、直系血亲、三代以内旁系血亲或者近姻亲关系；</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(三)与供应商有其他可能影响政府采购活动公平、公正进行的关系。</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.5 采购人不得担任评标小组长。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.6 采购人可以在评标前说明项目背景和采购需求，说明内容不得含有歧视性、倾向性意见，不得超出招标文件所述范围。说明应当提交书面材料，并随采购文件一并存档。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26.7 评标委员会成员名单在评标结果公告前应当保密。</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7</w:t>
      </w:r>
      <w:r>
        <w:rPr>
          <w:rFonts w:hint="eastAsia" w:cs="仿宋_GB2312" w:asciiTheme="minorEastAsia" w:hAnsiTheme="minorEastAsia"/>
          <w:b/>
          <w:sz w:val="24"/>
          <w:szCs w:val="24"/>
          <w:lang w:val="zh-CN"/>
        </w:rPr>
        <w:t>. 符合性审查</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.1 评标委员会依据有关法律法规和招标文件的规定，对符合资格的投标人的投标文件进行符合性审查，以确定其是否满足招标文件的实质性要求。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.2 审查、评价投标文件是否符合招标文件的商务、技术等实质性要求。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.3 可要求投标人对投标文件有关事项作出澄清或者说明。</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8</w:t>
      </w:r>
      <w:r>
        <w:rPr>
          <w:rFonts w:hint="eastAsia" w:cs="仿宋_GB2312" w:asciiTheme="minorEastAsia" w:hAnsiTheme="minorEastAsia"/>
          <w:b/>
          <w:sz w:val="24"/>
          <w:szCs w:val="24"/>
          <w:lang w:val="zh-CN"/>
        </w:rPr>
        <w:t>. 投标文件的澄清</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.1 对于投标文件中含义不明确、同类问题表述不一致或者有明显文字和计算错误的内容，评标委员会应当以书面形式要求投标人作出必要的澄清、说明或者补正。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.3 投标人的澄清文件是其投标文件的组成部分。</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9</w:t>
      </w:r>
      <w:r>
        <w:rPr>
          <w:rFonts w:hint="eastAsia" w:cs="仿宋_GB2312" w:asciiTheme="minorEastAsia" w:hAnsiTheme="minorEastAsia"/>
          <w:b/>
          <w:sz w:val="24"/>
          <w:szCs w:val="24"/>
          <w:lang w:val="zh-CN"/>
        </w:rPr>
        <w:t>. 投标文件报价出现前后不一致的修正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.1 投标文件中开标一览表(报价表)内容与投标文件中相应内容不一致的，以开标一览表(报价表)为准；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.2 大写金额和小写金额不一致的，以大写金额为准；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.3 单价金额小数点或者百分比有明显错位的，以开标一览表的总价为准，并修改单价；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.4 总价金额与按单价汇总金额不一致的，以单价金额计算结果为准。同时出现两种以上不一致的，按照前款规定的顺序修正。修正后的报价按照“投标人须知”2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.2规定经投标人确认后产生约束力，投标人不确认的，其投标无效。</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30.投标无效情形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 投标文件属下列情况之一的，按照无效投标处理：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30.1.1 未按照招标文件的规定提交投标保证金的；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30.1.2 投标文件未按招标文件要求签署、盖章的；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30.1.3 不具备招标文件中规定的资格要求的；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30.1.4 报价超过招标文件中规定的预算金额或者最高限价的；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30.1.5 </w:t>
      </w:r>
      <w:r>
        <w:rPr>
          <w:rFonts w:cs="仿宋_GB2312" w:asciiTheme="minorEastAsia" w:hAnsiTheme="minorEastAsia"/>
          <w:sz w:val="24"/>
          <w:szCs w:val="24"/>
          <w:lang w:val="zh-CN"/>
        </w:rPr>
        <w:t>投标文件含有采购人不能接受的附加条件的</w:t>
      </w:r>
      <w:r>
        <w:rPr>
          <w:rFonts w:hint="eastAsia" w:cs="仿宋_GB2312" w:asciiTheme="minorEastAsia" w:hAnsiTheme="minorEastAsia"/>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 有下列情形之一的，视为投标人串通投标，其投标无效：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30.2.1 不同投标人的投标文件由同一单位或者个人编制；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30.2.2 不同投标人委托同一单位或者个人办理投标事宜；</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30.2.3 不同投标人的投标文件载明的项目管理成员或者联系人员为同一人；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30.2.4 不同投标人的投标文件异常一致或者投标报价呈规律性差异；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30.2.5 不同投标人的投标文件相互混装；</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30.2.6 不同投标人的投标保证金从同一单位或者个人的账户转出。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30.3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30.4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30.5 </w:t>
      </w:r>
      <w:r>
        <w:rPr>
          <w:rFonts w:cs="仿宋_GB2312" w:asciiTheme="minorEastAsia" w:hAnsiTheme="minorEastAsia"/>
          <w:sz w:val="24"/>
          <w:szCs w:val="24"/>
          <w:lang w:val="zh-CN"/>
        </w:rPr>
        <w:t>法律、法规和招标文件规定的其他无效情形。</w:t>
      </w:r>
    </w:p>
    <w:p>
      <w:pPr>
        <w:tabs>
          <w:tab w:val="left" w:pos="1260"/>
        </w:tabs>
        <w:autoSpaceDE w:val="0"/>
        <w:autoSpaceDN w:val="0"/>
        <w:spacing w:line="360" w:lineRule="auto"/>
        <w:contextualSpacing/>
        <w:rPr>
          <w:rFonts w:asciiTheme="minorEastAsia" w:hAnsiTheme="minorEastAsia"/>
          <w:b/>
          <w:bCs/>
          <w:sz w:val="24"/>
          <w:szCs w:val="24"/>
          <w:lang w:val="zh-CN"/>
        </w:rPr>
      </w:pPr>
      <w:r>
        <w:rPr>
          <w:rFonts w:hint="eastAsia" w:cs="仿宋_GB2312" w:asciiTheme="minorEastAsia" w:hAnsiTheme="minorEastAsia"/>
          <w:sz w:val="24"/>
          <w:szCs w:val="24"/>
          <w:lang w:val="zh-CN"/>
        </w:rPr>
        <w:t>31.</w:t>
      </w:r>
      <w:r>
        <w:rPr>
          <w:rFonts w:hint="eastAsia" w:asciiTheme="minorEastAsia" w:hAnsiTheme="minorEastAsia"/>
          <w:b/>
          <w:bCs/>
          <w:sz w:val="24"/>
          <w:szCs w:val="24"/>
          <w:lang w:val="zh-CN"/>
        </w:rPr>
        <w:t xml:space="preserve"> 相同品牌投标人的认定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32</w:t>
      </w:r>
      <w:r>
        <w:rPr>
          <w:rFonts w:hint="eastAsia" w:cs="仿宋_GB2312" w:asciiTheme="minorEastAsia" w:hAnsiTheme="minorEastAsia"/>
          <w:b/>
          <w:sz w:val="24"/>
          <w:szCs w:val="24"/>
          <w:lang w:val="zh-CN"/>
        </w:rPr>
        <w:t>. 投标文件的比较与评价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评标委员会按照招标文件中规定的评标方法和标准，对符合性审查合格的投标文件进行商务和技术评估，综合比较与评价。</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33.评标方法、评标标准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 评标方法分为最低评标价法和综合评分法。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.1.1 最低评标价法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33</w:t>
      </w:r>
      <w:r>
        <w:rPr>
          <w:rFonts w:hint="eastAsia" w:cs="仿宋_GB2312" w:asciiTheme="minorEastAsia" w:hAnsiTheme="minorEastAsia"/>
          <w:sz w:val="24"/>
          <w:szCs w:val="24"/>
          <w:lang w:val="zh-CN"/>
        </w:rPr>
        <w:t>.1.1.1 最低评标价法，是指投标文件满足招标文件全部实质性要求，且投标报价最低的投标人为中标候选人的评标方法。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.1.1.2 采用最低评标价法评标时，除了算术修正和落实政府采购政策需进行的价格扣除外，不能对投标人的投标价格进行任何调整。</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.1.2 综合评分法，是指投标文件满足招标文件全部实质性要求，且按照评审因素的量化指标评审得分最高的投标人为中标候选人的评标方法。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 价格分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.2.1 价格分采用低价优先法计算，即满足招标文件要求且投标价格最低的投标报价为评标基准价，其价格分为满分。其他投标人的价格分统一按照下列公式计算：</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投标报价得分=(评标基准价/投标报价)×100</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评标总得分=F1×A1+F2×A2+……+Fn×An</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F1、F2……Fn分别为各项评审因素的得分;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A1、A2、……An 分别为各项评审因素所占的权重(A1+A2+……+An=1)。</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.2.2 评标过程中，不得去掉报价中的最高报价和最低报价。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.2.3 因落实政府采购政策进行价格调整的，以调整后的价格计算评标基准价和投标报价。</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.3</w:t>
      </w:r>
      <w:r>
        <w:rPr>
          <w:rFonts w:hint="eastAsia" w:cs="仿宋_GB2312" w:asciiTheme="minorEastAsia" w:hAnsiTheme="minorEastAsia"/>
          <w:b/>
          <w:sz w:val="24"/>
          <w:szCs w:val="24"/>
          <w:lang w:val="zh-CN"/>
        </w:rPr>
        <w:t xml:space="preserve"> 本次评标具体评标方法、评标标准见（第六章 资格审查与</w:t>
      </w:r>
      <w:r>
        <w:rPr>
          <w:rFonts w:hint="eastAsia" w:cs="宋体" w:asciiTheme="minorEastAsia" w:hAnsiTheme="minorEastAsia"/>
          <w:b/>
          <w:kern w:val="0"/>
          <w:sz w:val="24"/>
          <w:szCs w:val="24"/>
        </w:rPr>
        <w:t>评标</w:t>
      </w:r>
      <w:r>
        <w:rPr>
          <w:rFonts w:hint="eastAsia" w:cs="仿宋_GB2312" w:asciiTheme="minorEastAsia" w:hAnsiTheme="minorEastAsia"/>
          <w:b/>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
          <w:bCs/>
          <w:sz w:val="24"/>
          <w:szCs w:val="24"/>
          <w:lang w:val="zh-CN"/>
        </w:rPr>
        <w:t>3</w:t>
      </w:r>
      <w:r>
        <w:rPr>
          <w:rFonts w:hint="eastAsia" w:asciiTheme="minorEastAsia" w:hAnsiTheme="minorEastAsia"/>
          <w:b/>
          <w:bCs/>
          <w:sz w:val="24"/>
          <w:szCs w:val="24"/>
        </w:rPr>
        <w:t>4</w:t>
      </w:r>
      <w:r>
        <w:rPr>
          <w:rFonts w:hint="eastAsia" w:asciiTheme="minorEastAsia" w:hAnsiTheme="minorEastAsia"/>
          <w:b/>
          <w:bCs/>
          <w:sz w:val="24"/>
          <w:szCs w:val="24"/>
          <w:lang w:val="zh-CN"/>
        </w:rPr>
        <w:t>. 推荐中标候选人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5</w:t>
      </w:r>
      <w:r>
        <w:rPr>
          <w:rFonts w:hint="eastAsia" w:cs="仿宋_GB2312" w:asciiTheme="minorEastAsia" w:hAnsiTheme="minorEastAsia"/>
          <w:b/>
          <w:sz w:val="24"/>
          <w:szCs w:val="24"/>
          <w:lang w:val="zh-CN"/>
        </w:rPr>
        <w:t>.评审意见无效情形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评标委员会及其成员有下列行为之一的，其评审意见无效：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.1 确定参与评标至评标结束前私自接触投标人；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.2 接受投标人提出的与投标文件不一致的澄清或者说明，《投标人须知》2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条规定的情形除外；</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.3 违反评标纪律发表倾向性意见或者征询采购人的倾向性意见；</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.4 对需要专业判断的主观评审因素协商评分；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35.5 在评标过程中擅离职守，影响评标程序正常进行的；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.6 记录、复制或者带走任何评标资料；</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.7 其他不遵守评标纪律的行为。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6</w:t>
      </w:r>
      <w:r>
        <w:rPr>
          <w:rFonts w:hint="eastAsia" w:cs="仿宋_GB2312" w:asciiTheme="minorEastAsia" w:hAnsiTheme="minorEastAsia"/>
          <w:b/>
          <w:sz w:val="24"/>
          <w:szCs w:val="24"/>
          <w:lang w:val="zh-CN"/>
        </w:rPr>
        <w:t>. 保密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.1 评审专家应当遵守评审工作纪律，不得泄露评审文件、评审情况和评审中获悉的商业秘密。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.2 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cs="仿宋_GB2312" w:asciiTheme="minorEastAsia" w:hAnsiTheme="minorEastAsia"/>
          <w:sz w:val="24"/>
          <w:szCs w:val="24"/>
          <w:lang w:val="zh-CN"/>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六、定标和授予合同</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7</w:t>
      </w:r>
      <w:r>
        <w:rPr>
          <w:rFonts w:hint="eastAsia" w:cs="仿宋_GB2312" w:asciiTheme="minorEastAsia" w:hAnsiTheme="minorEastAsia"/>
          <w:b/>
          <w:sz w:val="24"/>
          <w:szCs w:val="24"/>
          <w:lang w:val="zh-CN"/>
        </w:rPr>
        <w:t>. 确定中标人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.1 采购人应当自收到评标报告之日起</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个工作日内，在评标报告确定的中标候选人名单中按顺序确定中标人。中标候选人并列的，由采购人采取随机抽取的方式确定。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8</w:t>
      </w:r>
      <w:r>
        <w:rPr>
          <w:rFonts w:hint="eastAsia" w:cs="仿宋_GB2312" w:asciiTheme="minorEastAsia" w:hAnsiTheme="minorEastAsia"/>
          <w:b/>
          <w:sz w:val="24"/>
          <w:szCs w:val="24"/>
          <w:lang w:val="zh-CN"/>
        </w:rPr>
        <w:t>. 中标公告、发出中标通知书</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.1 采购人确认中标人后，招标人在公告中标结果的同时，向中标人发出中标通知书。</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 中标通知书发出后，采购人不得违法改变中标结果，中标人无正当理由不得放弃中标。</w:t>
      </w:r>
    </w:p>
    <w:p>
      <w:pPr>
        <w:tabs>
          <w:tab w:val="left" w:pos="1260"/>
        </w:tabs>
        <w:autoSpaceDE w:val="0"/>
        <w:autoSpaceDN w:val="0"/>
        <w:spacing w:line="360" w:lineRule="auto"/>
        <w:contextualSpacing/>
        <w:rPr>
          <w:rFonts w:cs="宋体" w:asciiTheme="minorEastAsia" w:hAnsiTheme="minorEastAsia"/>
          <w:bCs/>
          <w:sz w:val="24"/>
          <w:szCs w:val="24"/>
          <w:lang w:val="zh-CN"/>
        </w:rPr>
      </w:pPr>
      <w:r>
        <w:rPr>
          <w:rFonts w:hint="eastAsia" w:cs="仿宋_GB2312" w:asciiTheme="minorEastAsia" w:hAnsiTheme="minorEastAsia"/>
          <w:sz w:val="24"/>
          <w:szCs w:val="24"/>
        </w:rPr>
        <w:t xml:space="preserve">38.3 </w:t>
      </w:r>
      <w:r>
        <w:rPr>
          <w:rFonts w:hint="eastAsia" w:cs="宋体" w:asciiTheme="minorEastAsia" w:hAnsiTheme="minor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39.</w:t>
      </w:r>
      <w:r>
        <w:rPr>
          <w:rFonts w:hint="eastAsia" w:cs="仿宋_GB2312" w:asciiTheme="minorEastAsia" w:hAnsiTheme="minorEastAsia"/>
          <w:b/>
          <w:sz w:val="24"/>
          <w:szCs w:val="24"/>
          <w:lang w:val="zh-CN"/>
        </w:rPr>
        <w:t>质疑提出与答复</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 供应商认为采购文件、采购过程和中标结果使自己的权益受到损害的，可以依法向采购人</w:t>
      </w:r>
      <w:r>
        <w:rPr>
          <w:rFonts w:hint="eastAsia" w:cs="宋体" w:asciiTheme="minorEastAsia" w:hAnsiTheme="minorEastAsia"/>
          <w:bCs/>
          <w:color w:val="000000" w:themeColor="text1"/>
          <w:sz w:val="24"/>
          <w:szCs w:val="24"/>
          <w:lang w:val="zh-CN"/>
        </w:rPr>
        <w:t>、采购代理机构提出质</w:t>
      </w:r>
      <w:r>
        <w:rPr>
          <w:rFonts w:hint="eastAsia" w:cs="仿宋_GB2312" w:asciiTheme="minorEastAsia" w:hAnsiTheme="minorEastAsia"/>
          <w:sz w:val="24"/>
          <w:szCs w:val="24"/>
        </w:rPr>
        <w:t>疑。</w:t>
      </w:r>
      <w:r>
        <w:rPr>
          <w:rFonts w:cs="仿宋_GB2312" w:asciiTheme="minorEastAsia" w:hAnsiTheme="minorEastAsia"/>
          <w:sz w:val="24"/>
          <w:szCs w:val="24"/>
        </w:rPr>
        <w:t>提出质疑的供应商应当是参与</w:t>
      </w:r>
      <w:r>
        <w:rPr>
          <w:rFonts w:hint="eastAsia" w:cs="仿宋_GB2312" w:asciiTheme="minorEastAsia" w:hAnsiTheme="minorEastAsia"/>
          <w:sz w:val="24"/>
          <w:szCs w:val="24"/>
        </w:rPr>
        <w:t>本</w:t>
      </w:r>
      <w:r>
        <w:rPr>
          <w:rFonts w:cs="仿宋_GB2312" w:asciiTheme="minorEastAsia" w:hAnsiTheme="minorEastAsia"/>
          <w:sz w:val="24"/>
          <w:szCs w:val="24"/>
        </w:rPr>
        <w:t>项目采购活动的供应商。</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39.1.1对采购文件提出质疑的，</w:t>
      </w:r>
      <w:r>
        <w:rPr>
          <w:rFonts w:cs="仿宋_GB2312" w:asciiTheme="minorEastAsia" w:hAnsiTheme="minorEastAsia"/>
          <w:sz w:val="24"/>
          <w:szCs w:val="24"/>
        </w:rPr>
        <w:t>潜在</w:t>
      </w:r>
      <w:r>
        <w:rPr>
          <w:rFonts w:hint="eastAsia" w:cs="仿宋_GB2312" w:asciiTheme="minorEastAsia" w:hAnsiTheme="minorEastAsia"/>
          <w:sz w:val="24"/>
          <w:szCs w:val="24"/>
        </w:rPr>
        <w:t>投标人应</w:t>
      </w:r>
      <w:r>
        <w:rPr>
          <w:rFonts w:cs="仿宋_GB2312" w:asciiTheme="minorEastAsia" w:hAnsiTheme="minorEastAsia"/>
          <w:sz w:val="24"/>
          <w:szCs w:val="24"/>
        </w:rPr>
        <w:t>已依法获取采购文件</w:t>
      </w:r>
      <w:r>
        <w:rPr>
          <w:rFonts w:hint="eastAsia" w:cs="仿宋_GB2312" w:asciiTheme="minorEastAsia" w:hAnsiTheme="minorEastAsia"/>
          <w:sz w:val="24"/>
          <w:szCs w:val="24"/>
        </w:rPr>
        <w:t>，且应当在</w:t>
      </w:r>
      <w:r>
        <w:rPr>
          <w:rFonts w:cs="仿宋_GB2312" w:asciiTheme="minorEastAsia" w:hAnsiTheme="minorEastAsia"/>
          <w:sz w:val="24"/>
          <w:szCs w:val="24"/>
        </w:rPr>
        <w:t>获取采购文件或者采购文件公告期限届满之日起7个工作日内</w:t>
      </w:r>
      <w:r>
        <w:rPr>
          <w:rFonts w:hint="eastAsia" w:cs="仿宋_GB2312" w:asciiTheme="minorEastAsia" w:hAnsiTheme="minorEastAsia"/>
          <w:sz w:val="24"/>
          <w:szCs w:val="24"/>
        </w:rPr>
        <w:t>通过《全国公共资源交易平台（河南省·许昌市）》一次性提出，如未提出视为全面接受；</w:t>
      </w:r>
      <w:r>
        <w:rPr>
          <w:rFonts w:hint="eastAsia" w:cs="仿宋_GB2312" w:asciiTheme="minorEastAsia" w:hAnsiTheme="minorEastAsia"/>
          <w:sz w:val="24"/>
          <w:szCs w:val="24"/>
        </w:rPr>
        <w:br w:type="textWrapping"/>
      </w:r>
      <w:r>
        <w:rPr>
          <w:rFonts w:hint="eastAsia" w:cs="仿宋_GB2312" w:asciiTheme="minorEastAsia" w:hAnsiTheme="minorEastAsia"/>
          <w:sz w:val="24"/>
          <w:szCs w:val="24"/>
        </w:rPr>
        <w:t>39.1.2 对采购过程提出质疑的，为各采购程序环节结束之日起七个工作日内，以书面形式向采购人和采购代理机构一次性提出；</w:t>
      </w:r>
      <w:r>
        <w:rPr>
          <w:rFonts w:hint="eastAsia" w:cs="仿宋_GB2312" w:asciiTheme="minorEastAsia" w:hAnsiTheme="minorEastAsia"/>
          <w:sz w:val="24"/>
          <w:szCs w:val="24"/>
        </w:rPr>
        <w:br w:type="textWrapping"/>
      </w:r>
      <w:r>
        <w:rPr>
          <w:rFonts w:hint="eastAsia" w:cs="仿宋_GB2312" w:asciiTheme="minorEastAsia" w:hAnsiTheme="minorEastAsia"/>
          <w:sz w:val="24"/>
          <w:szCs w:val="24"/>
        </w:rPr>
        <w:t>39.1.3 对中标结果提出质疑的，为中标结果公告期限届满之日起七个工作日内，以书面形式向采购人和采购代理机构一次性提出。</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 </w:t>
      </w:r>
      <w:r>
        <w:rPr>
          <w:rFonts w:cs="仿宋_GB2312" w:asciiTheme="minorEastAsia" w:hAnsiTheme="minorEastAsia"/>
          <w:sz w:val="24"/>
          <w:szCs w:val="24"/>
        </w:rPr>
        <w:t>采购人、采购代理机构认为供应商质疑不成立，或者成立但未对中标结果构成影响的，继续开展采购活动；认为供应商质疑成立且影响或者可能影响中标结果的，按照下列情况处理：</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39.2.1 </w:t>
      </w:r>
      <w:r>
        <w:rPr>
          <w:rFonts w:cs="仿宋_GB2312" w:asciiTheme="minorEastAsia" w:hAnsiTheme="minorEastAsia"/>
          <w:sz w:val="24"/>
          <w:szCs w:val="24"/>
        </w:rPr>
        <w:t>对采购文件提出的质疑，依法通过澄清或者修改可以继续开展采购活动的，澄清或者修改采购文件后继续开展采购活动；否则应当修改采购文件后重新开展采购活动。</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39.2.2 </w:t>
      </w:r>
      <w:r>
        <w:rPr>
          <w:rFonts w:cs="仿宋_GB2312" w:asciiTheme="minorEastAsia" w:hAnsiTheme="minorEastAsia"/>
          <w:sz w:val="24"/>
          <w:szCs w:val="24"/>
        </w:rPr>
        <w:t>对采购过程、中标结果提出的质疑，合格供应商符合法定数量时，可以从合格的中标</w:t>
      </w:r>
      <w:r>
        <w:rPr>
          <w:rFonts w:hint="eastAsia" w:cs="仿宋_GB2312" w:asciiTheme="minorEastAsia" w:hAnsiTheme="minorEastAsia"/>
          <w:sz w:val="24"/>
          <w:szCs w:val="24"/>
        </w:rPr>
        <w:t>候选人</w:t>
      </w:r>
      <w:r>
        <w:rPr>
          <w:rFonts w:cs="仿宋_GB2312" w:asciiTheme="minorEastAsia" w:hAnsiTheme="minorEastAsia"/>
          <w:sz w:val="24"/>
          <w:szCs w:val="24"/>
        </w:rPr>
        <w:t>中另行确定中标供应商的，应当依法另行确定中标供应商；否则应当重新开展采购活动。</w:t>
      </w:r>
    </w:p>
    <w:p>
      <w:pPr>
        <w:tabs>
          <w:tab w:val="left" w:pos="1260"/>
        </w:tabs>
        <w:autoSpaceDE w:val="0"/>
        <w:autoSpaceDN w:val="0"/>
        <w:spacing w:line="360" w:lineRule="auto"/>
        <w:contextualSpacing/>
        <w:rPr>
          <w:rFonts w:cs="仿宋_GB2312" w:asciiTheme="minorEastAsia" w:hAnsiTheme="minorEastAsia"/>
          <w:b/>
          <w:sz w:val="24"/>
          <w:szCs w:val="24"/>
        </w:rPr>
      </w:pPr>
      <w:r>
        <w:rPr>
          <w:rFonts w:hint="eastAsia" w:cs="仿宋_GB2312" w:asciiTheme="minorEastAsia" w:hAnsiTheme="minorEastAsia"/>
          <w:b/>
          <w:sz w:val="24"/>
          <w:szCs w:val="24"/>
        </w:rPr>
        <w:t>40.</w:t>
      </w:r>
      <w:r>
        <w:rPr>
          <w:rFonts w:hint="eastAsia" w:cs="仿宋_GB2312" w:asciiTheme="minorEastAsia" w:hAnsiTheme="minorEastAsia"/>
          <w:b/>
          <w:sz w:val="24"/>
          <w:szCs w:val="24"/>
          <w:lang w:val="zh-CN"/>
        </w:rPr>
        <w:t>签订合同</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pPr>
        <w:tabs>
          <w:tab w:val="left" w:pos="1260"/>
        </w:tabs>
        <w:autoSpaceDE w:val="0"/>
        <w:autoSpaceDN w:val="0"/>
        <w:spacing w:line="360" w:lineRule="auto"/>
        <w:contextualSpacing/>
        <w:rPr>
          <w:rFonts w:cs="仿宋_GB2312" w:asciiTheme="minorEastAsia" w:hAnsiTheme="minorEastAsia"/>
          <w:b/>
          <w:sz w:val="24"/>
          <w:szCs w:val="24"/>
        </w:rPr>
      </w:pPr>
      <w:r>
        <w:rPr>
          <w:rFonts w:hint="eastAsia" w:cs="仿宋_GB2312" w:asciiTheme="minorEastAsia" w:hAnsiTheme="minorEastAsia"/>
          <w:b/>
          <w:sz w:val="24"/>
          <w:szCs w:val="24"/>
        </w:rPr>
        <w:t>41.履约保证金</w:t>
      </w:r>
    </w:p>
    <w:p>
      <w:pPr>
        <w:tabs>
          <w:tab w:val="left" w:pos="1260"/>
        </w:tabs>
        <w:autoSpaceDE w:val="0"/>
        <w:autoSpaceDN w:val="0"/>
        <w:spacing w:line="360" w:lineRule="auto"/>
        <w:contextualSpacing/>
        <w:jc w:val="left"/>
        <w:rPr>
          <w:rFonts w:cs="宋体" w:asciiTheme="majorEastAsia" w:hAnsiTheme="majorEastAsia" w:eastAsiaTheme="majorEastAsia"/>
          <w:b/>
          <w:kern w:val="0"/>
          <w:sz w:val="36"/>
          <w:szCs w:val="36"/>
        </w:rPr>
      </w:pPr>
      <w:r>
        <w:rPr>
          <w:rFonts w:hint="eastAsia" w:cs="宋体" w:asciiTheme="minorEastAsia" w:hAnsiTheme="minorEastAsia"/>
          <w:kern w:val="0"/>
          <w:sz w:val="24"/>
          <w:szCs w:val="24"/>
        </w:rPr>
        <w:t>“投标人须知前附表”中规定</w:t>
      </w:r>
      <w:r>
        <w:rPr>
          <w:rFonts w:hint="eastAsia" w:cs="宋体" w:asciiTheme="minorEastAsia" w:hAnsiTheme="minor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r>
        <w:rPr>
          <w:rFonts w:hint="eastAsia" w:ascii="宋体" w:hAnsi="宋体" w:eastAsia="宋体" w:cs="宋体"/>
          <w:color w:val="333333"/>
          <w:sz w:val="24"/>
          <w:szCs w:val="24"/>
        </w:rPr>
        <w:br w:type="textWrapping"/>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第五章 政府采购政策功能</w:t>
      </w:r>
    </w:p>
    <w:p>
      <w:pPr>
        <w:jc w:val="center"/>
        <w:rPr>
          <w:rFonts w:cs="宋体" w:asciiTheme="majorEastAsia" w:hAnsiTheme="majorEastAsia" w:eastAsiaTheme="majorEastAsia"/>
          <w:b/>
          <w:kern w:val="0"/>
          <w:sz w:val="36"/>
          <w:szCs w:val="36"/>
        </w:rPr>
      </w:pP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一、节能能源、保护环境</w:t>
      </w:r>
    </w:p>
    <w:p>
      <w:pPr>
        <w:pStyle w:val="13"/>
        <w:spacing w:line="360" w:lineRule="auto"/>
        <w:ind w:firstLine="480" w:firstLineChars="200"/>
        <w:contextualSpacing/>
        <w:rPr>
          <w:rFonts w:cs="仿宋_GB2312" w:asciiTheme="minorEastAsia" w:hAnsiTheme="minorEastAsia" w:eastAsiaTheme="minorEastAsia"/>
          <w:szCs w:val="24"/>
        </w:rPr>
      </w:pPr>
      <w:r>
        <w:rPr>
          <w:rFonts w:hint="eastAsia" w:cs="仿宋_GB2312" w:asciiTheme="minorEastAsia" w:hAnsiTheme="minorEastAsia" w:eastAsiaTheme="minor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Pr>
          <w:rFonts w:hint="eastAsia" w:cs="仿宋_GB2312" w:asciiTheme="minorEastAsia" w:hAnsiTheme="minorEastAsia" w:eastAsiaTheme="minor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本次采购货物中属于强制采购的节能产品，投标人所投产品必须是《节能产品政府采购清单》内产品，投标文件中应提供最新一期《节能产品政府采购清单》中产品所在页</w:t>
      </w:r>
      <w:r>
        <w:rPr>
          <w:rFonts w:hint="eastAsia" w:cs="仿宋_GB2312" w:asciiTheme="minorEastAsia" w:hAnsiTheme="minorEastAsia" w:eastAsiaTheme="minorEastAsia"/>
          <w:szCs w:val="24"/>
        </w:rPr>
        <w:t>并加盖投标人公章的原件扫描件（或图片）</w:t>
      </w:r>
      <w:r>
        <w:rPr>
          <w:rFonts w:hint="eastAsia" w:cs="仿宋_GB2312" w:asciiTheme="minorEastAsia" w:hAnsiTheme="minorEastAsia" w:eastAsiaTheme="minorEastAsia"/>
          <w:szCs w:val="24"/>
          <w:lang w:val="zh-CN"/>
        </w:rPr>
        <w:t>。投标人所投其他产品若属于“节能产品政府采购清单”优先采购产品，在同等条件下，优先采购清单中的产品。</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采购人拟采购的产品属于政府强制采购节能产品范围，但本期节能清单中无对应细化分类或节能清单中的产品无法满足工作需要的，可在节能清单之外采购。</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3、对于同时列入环保清单和节能产品政府采购清单的产品，应当优先于只列入其中一个清单的产品。</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4、上述“节能产品政府采购清单”、“环境标志产品政府采购清单”，在采购公告发布前已经过期的以及尚在公示期的均不得作为评标时的依据。</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二、促进中小企业发展</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4、中小企业投标应提供《中小企业声明函》，如为联合投标的，联合体各方需分别填写《中小企业声明函》。</w:t>
      </w:r>
    </w:p>
    <w:p>
      <w:pPr>
        <w:topLinePunct/>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三、支持监狱企业发展</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按照财政部、司法部发布的《关于政府采购支持监狱企业发展有关问题的通知》（</w:t>
      </w:r>
      <w:bookmarkStart w:id="0" w:name="OLE_LINK6"/>
      <w:r>
        <w:rPr>
          <w:rFonts w:hint="eastAsia" w:cs="仿宋_GB2312" w:asciiTheme="minorEastAsia" w:hAnsiTheme="minorEastAsia"/>
          <w:sz w:val="24"/>
          <w:szCs w:val="24"/>
          <w:lang w:val="zh-CN"/>
        </w:rPr>
        <w:t>财库[2014]68号</w:t>
      </w:r>
      <w:bookmarkEnd w:id="0"/>
      <w:r>
        <w:rPr>
          <w:rFonts w:hint="eastAsia" w:cs="仿宋_GB2312" w:asciiTheme="minorEastAsia" w:hAnsiTheme="minor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四、促进残疾人就业</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szCs w:val="24"/>
        </w:rPr>
        <w:t>残疾人福利性单位属于小型、微型企业的，不重复享受政策。</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3、中标人为残疾人福利性单位的，招标人应当随中标结果同时公告其《残疾人福利性单位声明函》，接受社会监督。</w:t>
      </w: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第六章 资格审查与评标</w:t>
      </w:r>
    </w:p>
    <w:p>
      <w:pPr>
        <w:pStyle w:val="13"/>
        <w:spacing w:line="360" w:lineRule="auto"/>
        <w:contextualSpacing/>
        <w:rPr>
          <w:rFonts w:cs="仿宋_GB2312" w:asciiTheme="minorEastAsia" w:hAnsiTheme="minorEastAsia"/>
          <w:lang w:val="zh-CN"/>
        </w:rPr>
      </w:pPr>
    </w:p>
    <w:p>
      <w:pPr>
        <w:pStyle w:val="13"/>
        <w:spacing w:line="360" w:lineRule="auto"/>
        <w:contextualSpacing/>
        <w:jc w:val="center"/>
        <w:rPr>
          <w:rFonts w:cs="仿宋_GB2312" w:asciiTheme="minorEastAsia" w:hAnsiTheme="minorEastAsia" w:eastAsiaTheme="minorEastAsia"/>
          <w:b/>
          <w:sz w:val="32"/>
          <w:szCs w:val="32"/>
          <w:lang w:val="zh-CN"/>
        </w:rPr>
      </w:pPr>
      <w:r>
        <w:rPr>
          <w:rFonts w:cs="仿宋_GB2312" w:asciiTheme="minorEastAsia" w:hAnsiTheme="minorEastAsia" w:eastAsiaTheme="minorEastAsia"/>
          <w:b/>
          <w:sz w:val="32"/>
          <w:szCs w:val="32"/>
          <w:lang w:val="zh-CN"/>
        </w:rPr>
        <w:t>一、资格审查</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（一）</w:t>
      </w:r>
      <w:r>
        <w:rPr>
          <w:rFonts w:cs="仿宋_GB2312" w:asciiTheme="minorEastAsia" w:hAnsiTheme="minorEastAsia" w:eastAsiaTheme="minorEastAsia"/>
          <w:szCs w:val="24"/>
          <w:lang w:val="zh-CN"/>
        </w:rPr>
        <w:t>开标结束后，</w:t>
      </w:r>
      <w:r>
        <w:rPr>
          <w:rFonts w:hint="eastAsia" w:cs="仿宋_GB2312" w:asciiTheme="minorEastAsia" w:hAnsiTheme="minorEastAsia" w:eastAsiaTheme="minorEastAsia"/>
          <w:szCs w:val="24"/>
          <w:lang w:val="zh-CN"/>
        </w:rPr>
        <w:t>采购人（采购代理机构）依法对投标人资格进行审查</w:t>
      </w:r>
      <w:r>
        <w:rPr>
          <w:rFonts w:cs="仿宋_GB2312" w:asciiTheme="minorEastAsia" w:hAnsiTheme="minorEastAsia" w:eastAsiaTheme="minorEastAsia"/>
          <w:szCs w:val="24"/>
          <w:lang w:val="zh-CN"/>
        </w:rPr>
        <w:t>。</w:t>
      </w:r>
    </w:p>
    <w:p>
      <w:pPr>
        <w:spacing w:line="360" w:lineRule="auto"/>
        <w:ind w:right="420" w:rightChars="200"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（二）资格证明材料（本栏所列内容为本项目的资格审查条件，如有一项不符合要求，则不能进入下一步评审）。</w:t>
      </w:r>
    </w:p>
    <w:p>
      <w:pPr>
        <w:spacing w:line="360" w:lineRule="auto"/>
        <w:ind w:right="420" w:rightChars="200"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（三）资格审查中所涉及到的证书及材料，均须在电子投标文件中提供原件扫描件（或图片）。</w:t>
      </w:r>
    </w:p>
    <w:tbl>
      <w:tblPr>
        <w:tblStyle w:val="24"/>
        <w:tblW w:w="90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center"/>
              <w:rPr>
                <w:rFonts w:asciiTheme="minorEastAsia" w:hAnsiTheme="minorEastAsia"/>
                <w:b/>
                <w:sz w:val="24"/>
                <w:szCs w:val="24"/>
              </w:rPr>
            </w:pPr>
            <w:r>
              <w:rPr>
                <w:rFonts w:hint="eastAsia" w:asciiTheme="minorEastAsia" w:hAnsiTheme="minorEastAsia"/>
                <w:b/>
                <w:sz w:val="24"/>
                <w:szCs w:val="24"/>
              </w:rPr>
              <w:t>资格审查</w:t>
            </w:r>
            <w:r>
              <w:rPr>
                <w:rFonts w:asciiTheme="minorEastAsia" w:hAnsiTheme="minorEastAsia"/>
                <w:b/>
                <w:sz w:val="24"/>
                <w:szCs w:val="24"/>
              </w:rPr>
              <w:t>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left"/>
              <w:rPr>
                <w:rFonts w:asciiTheme="minorEastAsia" w:hAnsiTheme="minorEastAsia"/>
                <w:b/>
                <w:sz w:val="24"/>
                <w:szCs w:val="24"/>
              </w:rPr>
            </w:pPr>
            <w:r>
              <w:rPr>
                <w:rFonts w:hint="eastAsia" w:asciiTheme="minorEastAsia" w:hAnsiTheme="minorEastAsia"/>
                <w:b/>
                <w:sz w:val="24"/>
                <w:szCs w:val="24"/>
              </w:rPr>
              <w:t>1、投标函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2、法人或者其他组织的营业执照等证明文件，自然人的身份证明</w:t>
            </w:r>
          </w:p>
          <w:p>
            <w:pPr>
              <w:spacing w:line="360" w:lineRule="auto"/>
              <w:rPr>
                <w:rFonts w:asciiTheme="minorEastAsia" w:hAnsiTheme="minorEastAsia"/>
                <w:bCs/>
                <w:sz w:val="24"/>
                <w:szCs w:val="24"/>
              </w:rPr>
            </w:pPr>
            <w:r>
              <w:rPr>
                <w:rFonts w:hint="eastAsia" w:asciiTheme="minorEastAsia" w:hAnsiTheme="minorEastAsia"/>
                <w:bCs/>
                <w:sz w:val="24"/>
                <w:szCs w:val="24"/>
              </w:rPr>
              <w:t>（1）企业法人营业执照或营业执照。（企业投标提供）</w:t>
            </w:r>
          </w:p>
          <w:p>
            <w:pPr>
              <w:spacing w:line="360" w:lineRule="auto"/>
              <w:rPr>
                <w:rFonts w:asciiTheme="minorEastAsia" w:hAnsiTheme="minorEastAsia"/>
                <w:bCs/>
                <w:sz w:val="24"/>
                <w:szCs w:val="24"/>
              </w:rPr>
            </w:pPr>
            <w:r>
              <w:rPr>
                <w:rFonts w:hint="eastAsia" w:asciiTheme="minorEastAsia" w:hAnsiTheme="minorEastAsia"/>
                <w:bCs/>
                <w:sz w:val="24"/>
                <w:szCs w:val="24"/>
              </w:rPr>
              <w:t>（2）事业单位法人证书。（事业单位投标提供）</w:t>
            </w:r>
          </w:p>
          <w:p>
            <w:pPr>
              <w:spacing w:line="360" w:lineRule="auto"/>
              <w:rPr>
                <w:rFonts w:asciiTheme="minorEastAsia" w:hAnsiTheme="minorEastAsia"/>
                <w:bCs/>
                <w:sz w:val="24"/>
                <w:szCs w:val="24"/>
              </w:rPr>
            </w:pPr>
            <w:r>
              <w:rPr>
                <w:rFonts w:hint="eastAsia" w:asciiTheme="minorEastAsia" w:hAnsiTheme="minorEastAsia"/>
                <w:bCs/>
                <w:sz w:val="24"/>
                <w:szCs w:val="24"/>
              </w:rPr>
              <w:t>（3）执业许可证。（非专业服务机构投标提供）</w:t>
            </w:r>
          </w:p>
          <w:p>
            <w:pPr>
              <w:spacing w:line="360" w:lineRule="auto"/>
              <w:rPr>
                <w:rFonts w:asciiTheme="minorEastAsia" w:hAnsiTheme="minorEastAsia"/>
                <w:bCs/>
                <w:sz w:val="24"/>
                <w:szCs w:val="24"/>
              </w:rPr>
            </w:pPr>
            <w:r>
              <w:rPr>
                <w:rFonts w:hint="eastAsia" w:asciiTheme="minorEastAsia" w:hAnsiTheme="minorEastAsia"/>
                <w:bCs/>
                <w:sz w:val="24"/>
                <w:szCs w:val="24"/>
              </w:rPr>
              <w:t>（4）个体工商户营业执照。（个体工商户投标提供）</w:t>
            </w:r>
          </w:p>
          <w:p>
            <w:pPr>
              <w:spacing w:line="360" w:lineRule="auto"/>
              <w:rPr>
                <w:rFonts w:asciiTheme="minorEastAsia" w:hAnsiTheme="minorEastAsia"/>
                <w:b/>
                <w:sz w:val="24"/>
                <w:szCs w:val="24"/>
              </w:rPr>
            </w:pPr>
            <w:r>
              <w:rPr>
                <w:rFonts w:hint="eastAsia" w:asciiTheme="minorEastAsia" w:hAnsiTheme="minorEastAsia"/>
                <w:bCs/>
                <w:sz w:val="24"/>
                <w:szCs w:val="24"/>
              </w:rPr>
              <w:t>（5）自然人身份证明。（自然人投标提供）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3、财务状况报告相关材料</w:t>
            </w:r>
          </w:p>
          <w:p>
            <w:pPr>
              <w:spacing w:line="360" w:lineRule="auto"/>
              <w:rPr>
                <w:rFonts w:asciiTheme="minorEastAsia" w:hAnsiTheme="minorEastAsia"/>
                <w:bCs/>
                <w:sz w:val="24"/>
                <w:szCs w:val="24"/>
              </w:rPr>
            </w:pPr>
            <w:r>
              <w:rPr>
                <w:rFonts w:hint="eastAsia" w:asciiTheme="minorEastAsia" w:hAnsiTheme="minorEastAsia"/>
                <w:bCs/>
                <w:sz w:val="24"/>
                <w:szCs w:val="24"/>
              </w:rPr>
              <w:t>（1）2017年度经审计的财务报告，包括资产负债表、利润表、现金流量表、所有者权益变动表及其附注；</w:t>
            </w:r>
            <w:r>
              <w:rPr>
                <w:rFonts w:hint="eastAsia" w:asciiTheme="minorEastAsia" w:hAnsiTheme="minorEastAsia"/>
                <w:bCs/>
                <w:color w:val="FF0000"/>
                <w:sz w:val="24"/>
                <w:szCs w:val="24"/>
              </w:rPr>
              <w:t>或</w:t>
            </w:r>
            <w:r>
              <w:rPr>
                <w:rFonts w:hint="eastAsia" w:asciiTheme="minorEastAsia" w:hAnsiTheme="minorEastAsia"/>
                <w:bCs/>
                <w:sz w:val="24"/>
                <w:szCs w:val="24"/>
              </w:rPr>
              <w:t>基本开户银行出具的资信证明；</w:t>
            </w:r>
            <w:r>
              <w:rPr>
                <w:rFonts w:hint="eastAsia" w:asciiTheme="minorEastAsia" w:hAnsiTheme="minorEastAsia"/>
                <w:bCs/>
                <w:color w:val="FF0000"/>
                <w:sz w:val="24"/>
                <w:szCs w:val="24"/>
              </w:rPr>
              <w:t>或</w:t>
            </w:r>
            <w:r>
              <w:rPr>
                <w:rFonts w:hint="eastAsia" w:asciiTheme="minorEastAsia" w:hAnsiTheme="minorEastAsia"/>
                <w:bCs/>
                <w:sz w:val="24"/>
                <w:szCs w:val="24"/>
              </w:rPr>
              <w:t>财政部门认可的政府采购专业担保机构的证明文件和担保机构出具的投标担保函。（法人投标提供。法人包括企业法人、机关法人、事业单位法人和社会团体法人。）</w:t>
            </w:r>
          </w:p>
          <w:p>
            <w:pPr>
              <w:spacing w:line="360" w:lineRule="auto"/>
              <w:rPr>
                <w:rFonts w:asciiTheme="minorEastAsia" w:hAnsiTheme="minorEastAsia"/>
                <w:b/>
                <w:sz w:val="24"/>
                <w:szCs w:val="24"/>
              </w:rPr>
            </w:pPr>
            <w:r>
              <w:rPr>
                <w:rFonts w:hint="eastAsia" w:asciiTheme="minorEastAsia" w:hAnsiTheme="minorEastAsia"/>
                <w:bCs/>
                <w:sz w:val="24"/>
                <w:szCs w:val="24"/>
              </w:rPr>
              <w:t>（2）银行出具的资信证明；</w:t>
            </w:r>
            <w:r>
              <w:rPr>
                <w:rFonts w:hint="eastAsia" w:asciiTheme="minorEastAsia" w:hAnsiTheme="minorEastAsia"/>
                <w:bCs/>
                <w:color w:val="FF0000"/>
                <w:sz w:val="24"/>
                <w:szCs w:val="24"/>
              </w:rPr>
              <w:t>或</w:t>
            </w:r>
            <w:r>
              <w:rPr>
                <w:rFonts w:hint="eastAsia" w:asciiTheme="minorEastAsia" w:hAnsiTheme="minorEastAsia"/>
                <w:bCs/>
                <w:sz w:val="24"/>
                <w:szCs w:val="24"/>
              </w:rPr>
              <w:t>财政部门认可的政府采购专业担保机构的证明文件和担保机构出具的投标担保函。（其他组织和自然人投标提供）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4、依法缴纳税收相关材料</w:t>
            </w:r>
          </w:p>
          <w:p>
            <w:pPr>
              <w:spacing w:line="360" w:lineRule="auto"/>
              <w:rPr>
                <w:rFonts w:asciiTheme="minorEastAsia" w:hAnsiTheme="minorEastAsia"/>
                <w:b/>
                <w:sz w:val="24"/>
                <w:szCs w:val="24"/>
              </w:rPr>
            </w:pPr>
            <w:r>
              <w:rPr>
                <w:rFonts w:hint="eastAsia" w:asciiTheme="minorEastAsia" w:hAnsiTheme="minorEastAsia"/>
                <w:bCs/>
                <w:sz w:val="24"/>
                <w:szCs w:val="24"/>
              </w:rPr>
              <w:t>税务登记证和投标截止时间前三个月内任意一个月缴纳税收凭据。（依法免税的投标人，应提供相应文件证明依法免税）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5、依法缴纳社会保障资金的证明材料</w:t>
            </w:r>
          </w:p>
          <w:p>
            <w:pPr>
              <w:spacing w:line="360" w:lineRule="auto"/>
              <w:rPr>
                <w:rFonts w:asciiTheme="minorEastAsia" w:hAnsiTheme="minorEastAsia"/>
                <w:bCs/>
                <w:sz w:val="24"/>
                <w:szCs w:val="24"/>
              </w:rPr>
            </w:pPr>
            <w:r>
              <w:rPr>
                <w:rFonts w:hint="eastAsia" w:asciiTheme="minorEastAsia" w:hAnsiTheme="minorEastAsia"/>
                <w:bCs/>
                <w:sz w:val="24"/>
                <w:szCs w:val="24"/>
              </w:rPr>
              <w:t>投标截止时间前三个月内任意一个月缴纳社会保险凭据。（依法不需要缴纳社会保障资金的投标人，应提供相应文件证明依法不需要缴纳社会保障资金）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6、履行合同所必须的设备和专业技术能力的证明材料</w:t>
            </w:r>
          </w:p>
          <w:p>
            <w:pPr>
              <w:spacing w:line="360" w:lineRule="auto"/>
              <w:rPr>
                <w:rFonts w:asciiTheme="minorEastAsia" w:hAnsiTheme="minorEastAsia"/>
                <w:b/>
                <w:sz w:val="24"/>
                <w:szCs w:val="24"/>
              </w:rPr>
            </w:pPr>
            <w:r>
              <w:rPr>
                <w:rFonts w:hint="eastAsia" w:asciiTheme="minorEastAsia" w:hAnsiTheme="minorEastAsia"/>
                <w:bCs/>
                <w:sz w:val="24"/>
                <w:szCs w:val="24"/>
              </w:rPr>
              <w:t>相关设备的购置发票、专业技术人员职称证书、用工合同等</w:t>
            </w:r>
            <w:r>
              <w:rPr>
                <w:rFonts w:hint="eastAsia" w:asciiTheme="minorEastAsia" w:hAnsiTheme="minorEastAsia"/>
                <w:bCs/>
                <w:color w:val="FF0000"/>
                <w:sz w:val="24"/>
                <w:szCs w:val="24"/>
              </w:rPr>
              <w:t>或者</w:t>
            </w:r>
            <w:r>
              <w:rPr>
                <w:rFonts w:hint="eastAsia" w:asciiTheme="minorEastAsia" w:hAnsiTheme="minorEastAsia"/>
                <w:bCs/>
                <w:sz w:val="24"/>
                <w:szCs w:val="24"/>
              </w:rPr>
              <w:t>投标人相关承诺函或声明。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7、参加政府采购活动前3年内在经营活动中没有重大违法记录的声明</w:t>
            </w:r>
          </w:p>
          <w:p>
            <w:pPr>
              <w:spacing w:line="360" w:lineRule="auto"/>
              <w:rPr>
                <w:rFonts w:asciiTheme="minorEastAsia" w:hAnsiTheme="minorEastAsia"/>
                <w:bCs/>
                <w:sz w:val="24"/>
                <w:szCs w:val="24"/>
              </w:rPr>
            </w:pPr>
            <w:r>
              <w:rPr>
                <w:rFonts w:hint="eastAsia" w:asciiTheme="minorEastAsia" w:hAnsiTheme="minor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8、</w:t>
            </w:r>
            <w:r>
              <w:rPr>
                <w:rFonts w:cs="仿宋_GB2312" w:asciiTheme="minorEastAsia" w:hAnsiTheme="minorEastAsia"/>
                <w:b/>
                <w:color w:val="000000"/>
                <w:sz w:val="24"/>
                <w:szCs w:val="24"/>
                <w:shd w:val="clear" w:color="auto" w:fill="FFFFFF"/>
              </w:rPr>
              <w:t>未被列入“信用中国”网站(www.creditchina.gov.cn)失信被执行人、重大税收违法案件当事人名单、政府采购严重违法失信名单的投标人；</w:t>
            </w:r>
            <w:r>
              <w:rPr>
                <w:rFonts w:hint="eastAsia" w:cs="仿宋_GB2312" w:asciiTheme="minorEastAsia" w:hAnsiTheme="minorEastAsia"/>
                <w:b/>
                <w:color w:val="000000"/>
                <w:shd w:val="clear" w:color="auto" w:fill="FFFFFF"/>
              </w:rPr>
              <w:t>“</w:t>
            </w:r>
            <w:r>
              <w:rPr>
                <w:rFonts w:cs="仿宋_GB2312" w:asciiTheme="minorEastAsia" w:hAnsiTheme="minorEastAsia"/>
                <w:b/>
                <w:color w:val="000000"/>
                <w:sz w:val="24"/>
                <w:szCs w:val="24"/>
                <w:shd w:val="clear" w:color="auto" w:fill="FFFFFF"/>
              </w:rPr>
              <w:t>中国政府采购网</w:t>
            </w:r>
            <w:r>
              <w:rPr>
                <w:rFonts w:hint="eastAsia" w:cs="仿宋_GB2312" w:asciiTheme="minorEastAsia" w:hAnsiTheme="minorEastAsia"/>
                <w:b/>
                <w:color w:val="000000"/>
                <w:shd w:val="clear" w:color="auto" w:fill="FFFFFF"/>
              </w:rPr>
              <w:t>”</w:t>
            </w:r>
            <w:r>
              <w:rPr>
                <w:rFonts w:cs="仿宋_GB2312" w:asciiTheme="minorEastAsia" w:hAnsiTheme="minorEastAsia"/>
                <w:b/>
                <w:color w:val="000000"/>
                <w:sz w:val="24"/>
                <w:szCs w:val="24"/>
                <w:shd w:val="clear" w:color="auto" w:fill="FFFFFF"/>
              </w:rPr>
              <w:t>(www.ccgp.gov.cn)政府采购严重违法失信行为记录名单的投标人</w:t>
            </w:r>
            <w:r>
              <w:rPr>
                <w:rFonts w:hint="eastAsia" w:asciiTheme="minorEastAsia" w:hAnsiTheme="minorEastAsia"/>
                <w:b/>
                <w:bCs/>
                <w:sz w:val="24"/>
                <w:szCs w:val="24"/>
              </w:rPr>
              <w:t>。</w:t>
            </w:r>
          </w:p>
          <w:p>
            <w:pPr>
              <w:spacing w:line="360" w:lineRule="auto"/>
              <w:rPr>
                <w:rFonts w:asciiTheme="minorEastAsia" w:hAnsiTheme="minorEastAsia"/>
                <w:bCs/>
                <w:sz w:val="24"/>
                <w:szCs w:val="24"/>
              </w:rPr>
            </w:pPr>
            <w:r>
              <w:rPr>
                <w:rFonts w:hint="eastAsia" w:asciiTheme="minorEastAsia" w:hAnsiTheme="minorEastAsia"/>
                <w:bCs/>
                <w:sz w:val="24"/>
                <w:szCs w:val="24"/>
              </w:rPr>
              <w:t>注：政府采购活动中查询及使用投标人信用记录的具体要求为：投标人未被列入失信被执行人、重大税收违法案件当事人名单、</w:t>
            </w:r>
            <w:r>
              <w:rPr>
                <w:rFonts w:asciiTheme="minorEastAsia" w:hAnsiTheme="minorEastAsia"/>
                <w:bCs/>
                <w:sz w:val="24"/>
                <w:szCs w:val="24"/>
              </w:rPr>
              <w:t>政府采购严重违法失信名单</w:t>
            </w:r>
            <w:r>
              <w:rPr>
                <w:rFonts w:hint="eastAsia" w:asciiTheme="minorEastAsia" w:hAnsiTheme="minorEastAsia"/>
                <w:bCs/>
                <w:sz w:val="24"/>
                <w:szCs w:val="24"/>
              </w:rPr>
              <w:t>、政府采购严重违法失信行为记录名单（联合体形式投标的，联合体成员存在不良信用记录，视同联合体存在不良信用记录）。</w:t>
            </w:r>
          </w:p>
          <w:p>
            <w:pPr>
              <w:spacing w:line="360" w:lineRule="auto"/>
              <w:rPr>
                <w:rFonts w:asciiTheme="minorEastAsia" w:hAnsiTheme="minorEastAsia"/>
                <w:bCs/>
                <w:sz w:val="24"/>
                <w:szCs w:val="24"/>
              </w:rPr>
            </w:pPr>
            <w:r>
              <w:rPr>
                <w:rFonts w:hint="eastAsia" w:asciiTheme="minorEastAsia" w:hAnsiTheme="minorEastAsia"/>
                <w:bCs/>
                <w:sz w:val="24"/>
                <w:szCs w:val="24"/>
              </w:rPr>
              <w:t>（1）查询渠道：“信用中国”网站（www.creditchina.gov.cn）和“中国政府采购网”（www.ccgp.gov.cn）；</w:t>
            </w:r>
          </w:p>
          <w:p>
            <w:pPr>
              <w:spacing w:line="360" w:lineRule="auto"/>
              <w:rPr>
                <w:rFonts w:asciiTheme="minorEastAsia" w:hAnsiTheme="minorEastAsia"/>
                <w:bCs/>
                <w:sz w:val="24"/>
                <w:szCs w:val="24"/>
              </w:rPr>
            </w:pPr>
            <w:r>
              <w:rPr>
                <w:rFonts w:hint="eastAsia" w:asciiTheme="minorEastAsia" w:hAnsiTheme="minorEastAsia"/>
                <w:bCs/>
                <w:sz w:val="24"/>
                <w:szCs w:val="24"/>
              </w:rPr>
              <w:t>（2）截止时间：同投标截止时间；</w:t>
            </w:r>
          </w:p>
          <w:p>
            <w:pPr>
              <w:spacing w:line="360" w:lineRule="auto"/>
              <w:rPr>
                <w:rFonts w:asciiTheme="minorEastAsia" w:hAnsiTheme="minorEastAsia"/>
                <w:bCs/>
                <w:sz w:val="24"/>
                <w:szCs w:val="24"/>
              </w:rPr>
            </w:pPr>
            <w:r>
              <w:rPr>
                <w:rFonts w:hint="eastAsia" w:asciiTheme="minorEastAsia" w:hAnsiTheme="minorEastAsia"/>
                <w:bCs/>
                <w:sz w:val="24"/>
                <w:szCs w:val="24"/>
              </w:rPr>
              <w:t>（3）信用信息查询记录和证据留存具体方式：经采购人确认的查询结果网页截图作为查询记录和证据，与其他采购文件一并保存；</w:t>
            </w:r>
          </w:p>
          <w:p>
            <w:pPr>
              <w:spacing w:line="360" w:lineRule="auto"/>
              <w:rPr>
                <w:rFonts w:asciiTheme="minorEastAsia" w:hAnsiTheme="minorEastAsia"/>
                <w:bCs/>
                <w:sz w:val="24"/>
                <w:szCs w:val="24"/>
              </w:rPr>
            </w:pPr>
            <w:r>
              <w:rPr>
                <w:rFonts w:hint="eastAsia" w:asciiTheme="minorEastAsia" w:hAnsiTheme="minorEastAsia"/>
                <w:bCs/>
                <w:sz w:val="24"/>
                <w:szCs w:val="24"/>
              </w:rPr>
              <w:t>（4）信用信息的使用原则：经采购人认定的被列入失信被执行人、重大税收违法案件当事人名单、政府采购严重违法失信行为记录名单的投标人，将拒绝其参与政府采购活动。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cs="仿宋_GB2312" w:asciiTheme="minorEastAsia" w:hAnsiTheme="minorEastAsia"/>
                <w:b/>
                <w:sz w:val="24"/>
                <w:szCs w:val="24"/>
                <w:lang w:val="zh-CN"/>
              </w:rPr>
            </w:pPr>
            <w:r>
              <w:rPr>
                <w:rFonts w:hint="eastAsia" w:asciiTheme="minorEastAsia" w:hAnsiTheme="minorEastAsia"/>
                <w:b/>
                <w:bCs/>
                <w:sz w:val="24"/>
                <w:szCs w:val="24"/>
              </w:rPr>
              <w:t>9、</w:t>
            </w:r>
            <w:r>
              <w:rPr>
                <w:rFonts w:hint="eastAsia" w:cs="仿宋_GB2312" w:asciiTheme="minorEastAsia" w:hAnsiTheme="minorEastAsia"/>
                <w:b/>
                <w:sz w:val="24"/>
                <w:szCs w:val="24"/>
                <w:lang w:val="zh-CN"/>
              </w:rPr>
              <w:t>报价</w:t>
            </w:r>
          </w:p>
          <w:p>
            <w:pPr>
              <w:spacing w:line="360" w:lineRule="auto"/>
              <w:rPr>
                <w:rFonts w:asciiTheme="minorEastAsia" w:hAnsiTheme="minorEastAsia"/>
                <w:b/>
                <w:bCs/>
                <w:sz w:val="24"/>
                <w:szCs w:val="24"/>
              </w:rPr>
            </w:pPr>
            <w:r>
              <w:rPr>
                <w:rFonts w:hint="eastAsia" w:cs="仿宋_GB2312" w:asciiTheme="minorEastAsia" w:hAnsiTheme="minorEastAsia"/>
                <w:sz w:val="24"/>
                <w:szCs w:val="24"/>
                <w:lang w:val="zh-CN"/>
              </w:rPr>
              <w:t>是否超出招标文件中规定的预算金额，超出预算金额的投标无效。如投标人须知前附表规定最高限价，则</w:t>
            </w:r>
            <w:r>
              <w:rPr>
                <w:rFonts w:hint="eastAsia" w:cs="宋体" w:asciiTheme="minorEastAsia" w:hAnsiTheme="minorEastAsia"/>
                <w:bCs/>
                <w:sz w:val="24"/>
                <w:szCs w:val="24"/>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10、联合体协议</w:t>
            </w:r>
          </w:p>
          <w:p>
            <w:pPr>
              <w:spacing w:line="360" w:lineRule="auto"/>
              <w:rPr>
                <w:rFonts w:asciiTheme="minorEastAsia" w:hAnsiTheme="minorEastAsia"/>
                <w:b/>
                <w:bCs/>
                <w:sz w:val="24"/>
                <w:szCs w:val="24"/>
              </w:rPr>
            </w:pPr>
            <w:r>
              <w:rPr>
                <w:rFonts w:hint="eastAsia" w:asciiTheme="minorEastAsia" w:hAnsiTheme="minorEastAsia"/>
                <w:bCs/>
                <w:sz w:val="24"/>
                <w:szCs w:val="24"/>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Theme="minorEastAsia" w:hAnsiTheme="minorEastAsia"/>
                <w:b/>
                <w:sz w:val="24"/>
                <w:szCs w:val="24"/>
              </w:rPr>
            </w:pPr>
            <w:r>
              <w:rPr>
                <w:rFonts w:hint="eastAsia" w:asciiTheme="minorEastAsia" w:hAnsiTheme="minorEastAsia"/>
                <w:b/>
                <w:sz w:val="24"/>
                <w:szCs w:val="24"/>
              </w:rPr>
              <w:t>11、投标保证金</w:t>
            </w:r>
          </w:p>
          <w:p>
            <w:pPr>
              <w:spacing w:line="360" w:lineRule="auto"/>
              <w:rPr>
                <w:rFonts w:asciiTheme="minorEastAsia" w:hAnsiTheme="minorEastAsia"/>
                <w:sz w:val="24"/>
                <w:szCs w:val="24"/>
              </w:rPr>
            </w:pPr>
            <w:r>
              <w:rPr>
                <w:rFonts w:hint="eastAsia" w:asciiTheme="minorEastAsia" w:hAnsiTheme="minorEastAsia"/>
                <w:sz w:val="24"/>
                <w:szCs w:val="24"/>
              </w:rPr>
              <w:t>是否按投标人须知前附表规定成功交纳。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contextualSpacing/>
              <w:rPr>
                <w:rFonts w:asciiTheme="minorEastAsia" w:hAnsiTheme="minorEastAsia"/>
                <w:b/>
                <w:sz w:val="24"/>
                <w:szCs w:val="24"/>
              </w:rPr>
            </w:pPr>
            <w:r>
              <w:rPr>
                <w:rFonts w:hint="eastAsia" w:asciiTheme="minorEastAsia" w:hAnsiTheme="minorEastAsia"/>
                <w:b/>
                <w:sz w:val="24"/>
                <w:szCs w:val="24"/>
              </w:rPr>
              <w:t>12、法定代表人身份证明或提供法定代表人授权委托书及被授权人身份证明。</w:t>
            </w:r>
          </w:p>
        </w:tc>
      </w:tr>
    </w:tbl>
    <w:p>
      <w:pPr>
        <w:pStyle w:val="13"/>
        <w:spacing w:line="360" w:lineRule="auto"/>
        <w:ind w:firstLine="482" w:firstLineChars="200"/>
        <w:contextualSpacing/>
        <w:rPr>
          <w:rFonts w:cs="仿宋_GB2312" w:asciiTheme="minorEastAsia" w:hAnsiTheme="minorEastAsia" w:eastAsiaTheme="minorEastAsia"/>
          <w:b/>
          <w:szCs w:val="24"/>
          <w:lang w:val="zh-CN"/>
        </w:rPr>
      </w:pPr>
    </w:p>
    <w:p>
      <w:pPr>
        <w:pStyle w:val="13"/>
        <w:spacing w:line="360" w:lineRule="auto"/>
        <w:contextualSpacing/>
        <w:jc w:val="center"/>
        <w:rPr>
          <w:rFonts w:cs="仿宋_GB2312" w:asciiTheme="minorEastAsia" w:hAnsiTheme="minorEastAsia" w:eastAsiaTheme="minorEastAsia"/>
          <w:b/>
          <w:sz w:val="32"/>
          <w:szCs w:val="32"/>
          <w:lang w:val="zh-CN"/>
        </w:rPr>
      </w:pPr>
      <w:r>
        <w:rPr>
          <w:rFonts w:hint="eastAsia" w:cs="仿宋_GB2312" w:asciiTheme="minorEastAsia" w:hAnsiTheme="minorEastAsia" w:eastAsiaTheme="minorEastAsia"/>
          <w:b/>
          <w:sz w:val="32"/>
          <w:szCs w:val="32"/>
          <w:lang w:val="zh-CN"/>
        </w:rPr>
        <w:t>二、评标</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（一）评标方法</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本项目采用综合评分法。总分为100分。</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（二）</w:t>
      </w:r>
      <w:r>
        <w:rPr>
          <w:rFonts w:cs="仿宋_GB2312" w:asciiTheme="minorEastAsia" w:hAnsiTheme="minorEastAsia" w:eastAsiaTheme="minorEastAsia"/>
          <w:b/>
          <w:szCs w:val="24"/>
          <w:lang w:val="zh-CN"/>
        </w:rPr>
        <w:t>评标委员会负责具体评标事务，并独立履行下列职责</w:t>
      </w:r>
    </w:p>
    <w:p>
      <w:pPr>
        <w:pStyle w:val="13"/>
        <w:spacing w:line="360" w:lineRule="auto"/>
        <w:ind w:firstLine="482" w:firstLineChars="200"/>
        <w:contextualSpacing/>
        <w:jc w:val="left"/>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1、</w:t>
      </w:r>
      <w:r>
        <w:rPr>
          <w:rFonts w:cs="仿宋_GB2312" w:asciiTheme="minorEastAsia" w:hAnsiTheme="minorEastAsia" w:eastAsiaTheme="minorEastAsia"/>
          <w:b/>
          <w:szCs w:val="24"/>
          <w:lang w:val="zh-CN"/>
        </w:rPr>
        <w:t>审查、评价投标文件是否符合招标文件的商务、技术等实质性要求；</w:t>
      </w:r>
    </w:p>
    <w:p>
      <w:pPr>
        <w:pStyle w:val="13"/>
        <w:spacing w:line="360" w:lineRule="auto"/>
        <w:ind w:firstLine="480" w:firstLineChars="200"/>
        <w:contextualSpacing/>
        <w:jc w:val="left"/>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评标委员会对符合资格的投标人的投标文件进行符合性审查，以确定其是否满足招标文件的商务、技术等实质性要求。</w:t>
      </w:r>
    </w:p>
    <w:p>
      <w:pPr>
        <w:pStyle w:val="13"/>
        <w:spacing w:line="360" w:lineRule="auto"/>
        <w:ind w:firstLine="480" w:firstLineChars="200"/>
        <w:contextualSpacing/>
        <w:jc w:val="left"/>
        <w:rPr>
          <w:rFonts w:cs="仿宋_GB2312" w:asciiTheme="minorEastAsia" w:hAnsiTheme="minorEastAsia"/>
          <w:szCs w:val="24"/>
          <w:lang w:val="zh-CN"/>
        </w:rPr>
      </w:pPr>
      <w:r>
        <w:rPr>
          <w:rFonts w:hint="eastAsia" w:cs="仿宋_GB2312" w:asciiTheme="minorEastAsia" w:hAnsiTheme="minorEastAsia"/>
          <w:szCs w:val="24"/>
          <w:lang w:val="zh-CN"/>
        </w:rPr>
        <w:t>注：符合性审查中所涉及到的证书及材料，均应在电子投标文件中提供原件扫描件（或图片）。</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2、</w:t>
      </w:r>
      <w:r>
        <w:rPr>
          <w:rFonts w:cs="仿宋_GB2312" w:asciiTheme="minorEastAsia" w:hAnsiTheme="minorEastAsia" w:eastAsiaTheme="minorEastAsia"/>
          <w:b/>
          <w:szCs w:val="24"/>
          <w:lang w:val="zh-CN"/>
        </w:rPr>
        <w:t>要求投标人对投标文件有关事项作出澄清或者说明；</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对于投标文件中含义不明确、同类问题表述不一致或者有明显文字和计算错误的内容，评标委员会应当以书面形式要求投标人作出必要的澄清、说明或者补正。</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3"/>
        <w:spacing w:line="360" w:lineRule="auto"/>
        <w:ind w:firstLine="465"/>
        <w:contextualSpacing/>
        <w:jc w:val="left"/>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3、</w:t>
      </w:r>
      <w:r>
        <w:rPr>
          <w:rFonts w:cs="仿宋_GB2312" w:asciiTheme="minorEastAsia" w:hAnsiTheme="minorEastAsia" w:eastAsiaTheme="minorEastAsia"/>
          <w:b/>
          <w:szCs w:val="24"/>
          <w:lang w:val="zh-CN"/>
        </w:rPr>
        <w:t>对投标文件进行比较和评价；</w:t>
      </w:r>
    </w:p>
    <w:p>
      <w:pPr>
        <w:pStyle w:val="13"/>
        <w:spacing w:line="360" w:lineRule="auto"/>
        <w:ind w:firstLine="480" w:firstLineChars="200"/>
        <w:contextualSpacing/>
        <w:rPr>
          <w:rFonts w:cs="仿宋_GB2312" w:asciiTheme="minorEastAsia" w:hAnsiTheme="minorEastAsia"/>
          <w:szCs w:val="24"/>
          <w:lang w:val="zh-CN"/>
        </w:rPr>
      </w:pPr>
      <w:r>
        <w:rPr>
          <w:rFonts w:hint="eastAsia" w:cs="仿宋_GB2312" w:asciiTheme="minorEastAsia" w:hAnsiTheme="minorEastAsia" w:eastAsiaTheme="minorEastAsia"/>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hint="eastAsia" w:cs="仿宋_GB2312" w:asciiTheme="minorEastAsia" w:hAnsiTheme="minorEastAsia"/>
          <w:szCs w:val="24"/>
          <w:lang w:val="zh-CN"/>
        </w:rPr>
        <w:t>评标过程中，不得去掉报价中的最高报价和最低报价。</w:t>
      </w:r>
    </w:p>
    <w:p>
      <w:pPr>
        <w:pStyle w:val="13"/>
        <w:spacing w:line="360" w:lineRule="auto"/>
        <w:ind w:firstLine="480" w:firstLineChars="200"/>
        <w:contextualSpacing/>
        <w:rPr>
          <w:rFonts w:cs="仿宋_GB2312" w:asciiTheme="minorEastAsia" w:hAnsiTheme="minorEastAsia"/>
          <w:szCs w:val="24"/>
          <w:lang w:val="zh-CN"/>
        </w:rPr>
      </w:pPr>
      <w:r>
        <w:rPr>
          <w:rFonts w:hint="eastAsia" w:cs="仿宋_GB2312" w:asciiTheme="minorEastAsia" w:hAnsiTheme="minorEastAsia"/>
          <w:szCs w:val="24"/>
          <w:lang w:val="zh-CN"/>
        </w:rPr>
        <w:t>注：评标标准中所涉及到的证书及材料，均应在电子投标文件中提供原件扫描件（或图片）。</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（1）价格分计算</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3"/>
        <w:spacing w:line="360" w:lineRule="auto"/>
        <w:ind w:firstLine="480" w:firstLineChars="200"/>
        <w:contextualSpacing/>
        <w:rPr>
          <w:rFonts w:asciiTheme="minorEastAsia" w:hAnsiTheme="minorEastAsia" w:eastAsiaTheme="minorEastAsia"/>
          <w:color w:val="000000"/>
          <w:szCs w:val="24"/>
        </w:rPr>
      </w:pPr>
      <w:r>
        <w:rPr>
          <w:rFonts w:hint="eastAsia" w:cs="仿宋_GB2312" w:asciiTheme="minorEastAsia" w:hAnsiTheme="minorEastAsia" w:eastAsiaTheme="minor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000000"/>
          <w:szCs w:val="24"/>
        </w:rPr>
        <w:t>残疾人福利性单位属于小型、微型企业的，不重复享受政策。</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asciiTheme="minorEastAsia" w:hAnsiTheme="minorEastAsia" w:eastAsiaTheme="minorEastAsia"/>
          <w:b/>
          <w:color w:val="000000"/>
          <w:szCs w:val="24"/>
        </w:rPr>
        <w:t>（2）强制采购节能产品和优先采购节能产品、优先采购环保产品</w:t>
      </w:r>
    </w:p>
    <w:p>
      <w:pPr>
        <w:pStyle w:val="13"/>
        <w:spacing w:line="360" w:lineRule="auto"/>
        <w:ind w:firstLine="465"/>
        <w:contextualSpacing/>
        <w:jc w:val="left"/>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1）对《节能产品政府采购清单》所列的政府强制采购节能产品</w:t>
      </w:r>
      <w:r>
        <w:rPr>
          <w:rFonts w:hint="eastAsia" w:cs="仿宋_GB2312" w:asciiTheme="minorEastAsia" w:hAnsiTheme="minorEastAsia" w:eastAsiaTheme="minorEastAsia"/>
          <w:szCs w:val="24"/>
        </w:rPr>
        <w:t>，</w:t>
      </w:r>
      <w:r>
        <w:rPr>
          <w:rFonts w:hint="eastAsia" w:cs="仿宋_GB2312" w:asciiTheme="minorEastAsia" w:hAnsiTheme="minorEastAsia" w:eastAsiaTheme="minorEastAsia"/>
          <w:szCs w:val="24"/>
          <w:lang w:val="zh-CN"/>
        </w:rPr>
        <w:t>投标人投标文件中应提供最新一期《节能产品政府采购清单》中所投产品所在页并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pPr>
        <w:pStyle w:val="13"/>
        <w:spacing w:line="360" w:lineRule="auto"/>
        <w:ind w:firstLine="465"/>
        <w:contextualSpacing/>
        <w:jc w:val="left"/>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投标人所投其他产品若属于“节能产品政府采购清单”优先采购产品，</w:t>
      </w:r>
      <w:r>
        <w:rPr>
          <w:rFonts w:hint="eastAsia" w:cs="仿宋_GB2312" w:asciiTheme="minorEastAsia" w:hAnsiTheme="minorEastAsia"/>
          <w:szCs w:val="24"/>
          <w:lang w:val="zh-CN"/>
        </w:rPr>
        <w:t>投标文件中须提供最新一期《节能产品政府采购清单》中产品所在页并加盖投标人公章的原件扫描件（或图片），评标委员会根据本项目评标标准予以判定并赋分。</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2）</w:t>
      </w:r>
      <w:r>
        <w:rPr>
          <w:rFonts w:hint="eastAsia" w:cs="仿宋_GB2312" w:asciiTheme="minorEastAsia" w:hAnsiTheme="minorEastAsia"/>
          <w:szCs w:val="24"/>
          <w:lang w:val="zh-CN"/>
        </w:rPr>
        <w:t>投标人所投产品若属于“环境标志产品政府采购清单”内产品，投标文件中须提供最新一期《环境标志产品政府采购清单》中产品所在页并加盖投标人公章的原件扫描件（或图片），</w:t>
      </w:r>
      <w:r>
        <w:rPr>
          <w:rFonts w:hint="eastAsia" w:cs="仿宋_GB2312" w:asciiTheme="minorEastAsia" w:hAnsiTheme="minorEastAsia" w:eastAsiaTheme="minorEastAsia"/>
          <w:szCs w:val="24"/>
          <w:lang w:val="zh-CN"/>
        </w:rPr>
        <w:t>评标委员会根据本项目评标标准予以判定并赋分。</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（3）</w:t>
      </w:r>
      <w:r>
        <w:rPr>
          <w:rFonts w:cs="仿宋_GB2312" w:asciiTheme="minorEastAsia" w:hAnsiTheme="minorEastAsia" w:eastAsiaTheme="minorEastAsia"/>
          <w:b/>
          <w:szCs w:val="24"/>
          <w:lang w:val="zh-CN"/>
        </w:rPr>
        <w:t>关于相同品牌产品</w:t>
      </w:r>
    </w:p>
    <w:p>
      <w:pPr>
        <w:pStyle w:val="13"/>
        <w:spacing w:line="360" w:lineRule="auto"/>
        <w:ind w:firstLine="465"/>
        <w:contextualSpacing/>
        <w:jc w:val="left"/>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cs="仿宋_GB2312" w:asciiTheme="minorEastAsia" w:hAnsiTheme="minorEastAsia" w:eastAsiaTheme="minorEastAsia"/>
          <w:szCs w:val="24"/>
          <w:lang w:val="zh-CN"/>
        </w:rPr>
        <w:t>采取随机抽取</w:t>
      </w:r>
      <w:r>
        <w:rPr>
          <w:rFonts w:cs="仿宋_GB2312" w:asciiTheme="minorEastAsia" w:hAnsiTheme="minorEastAsia" w:eastAsiaTheme="minorEastAsia"/>
          <w:szCs w:val="24"/>
          <w:lang w:val="zh-CN"/>
        </w:rPr>
        <w:t>方式确定一个参加评标的投标人，其他投标无效。</w:t>
      </w:r>
    </w:p>
    <w:p>
      <w:pPr>
        <w:pStyle w:val="13"/>
        <w:spacing w:line="360" w:lineRule="auto"/>
        <w:ind w:firstLine="465"/>
        <w:contextualSpacing/>
        <w:jc w:val="left"/>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采用综合评分法的，提供相同品牌产品</w:t>
      </w:r>
      <w:r>
        <w:rPr>
          <w:rFonts w:hint="eastAsia" w:cs="仿宋_GB2312" w:asciiTheme="minorEastAsia" w:hAnsiTheme="minorEastAsia" w:eastAsiaTheme="minorEastAsia"/>
          <w:szCs w:val="24"/>
          <w:lang w:val="zh-CN"/>
        </w:rPr>
        <w:t>（</w:t>
      </w:r>
      <w:r>
        <w:rPr>
          <w:rFonts w:cs="仿宋_GB2312" w:asciiTheme="minorEastAsia" w:hAnsiTheme="minorEastAsia" w:eastAsiaTheme="minorEastAsia"/>
          <w:szCs w:val="24"/>
          <w:lang w:val="zh-CN"/>
        </w:rPr>
        <w:t>非单一产品采购项目，多家投标人提供的核心产品品牌相同</w:t>
      </w:r>
      <w:r>
        <w:rPr>
          <w:rFonts w:hint="eastAsia" w:cs="仿宋_GB2312" w:asciiTheme="minorEastAsia" w:hAnsiTheme="minorEastAsia" w:eastAsiaTheme="minorEastAsia"/>
          <w:szCs w:val="24"/>
          <w:lang w:val="zh-CN"/>
        </w:rPr>
        <w:t>）</w:t>
      </w:r>
      <w:r>
        <w:rPr>
          <w:rFonts w:cs="仿宋_GB2312" w:asciiTheme="minorEastAsia" w:hAnsiTheme="minorEastAsia" w:eastAsiaTheme="minorEastAsia"/>
          <w:szCs w:val="24"/>
          <w:lang w:val="zh-CN"/>
        </w:rPr>
        <w:t>且通过资格审查、符合性审查的不同投标人参加同一合同项下投标的，按一家投标人计算，评审后得分最高的同品牌投标人作为中标候选人推荐；评审得分相同的，</w:t>
      </w:r>
      <w:r>
        <w:rPr>
          <w:rFonts w:hint="eastAsia" w:cs="仿宋_GB2312" w:asciiTheme="minorEastAsia" w:hAnsiTheme="minorEastAsia" w:eastAsiaTheme="minorEastAsia"/>
          <w:szCs w:val="24"/>
          <w:lang w:val="zh-CN"/>
        </w:rPr>
        <w:t>由采购人或者采购人委托评标委员会</w:t>
      </w:r>
      <w:r>
        <w:rPr>
          <w:rFonts w:cs="仿宋_GB2312" w:asciiTheme="minorEastAsia" w:hAnsiTheme="minorEastAsia" w:eastAsiaTheme="minorEastAsia"/>
          <w:szCs w:val="24"/>
          <w:lang w:val="zh-CN"/>
        </w:rPr>
        <w:t>采取随机抽取方式确定</w:t>
      </w:r>
      <w:r>
        <w:rPr>
          <w:rFonts w:hint="eastAsia" w:cs="仿宋_GB2312" w:asciiTheme="minorEastAsia" w:hAnsiTheme="minorEastAsia" w:eastAsiaTheme="minorEastAsia"/>
          <w:szCs w:val="24"/>
          <w:lang w:val="zh-CN"/>
        </w:rPr>
        <w:t>一个投标人获得中标人推荐资格</w:t>
      </w:r>
      <w:r>
        <w:rPr>
          <w:rFonts w:cs="仿宋_GB2312" w:asciiTheme="minorEastAsia" w:hAnsiTheme="minorEastAsia" w:eastAsiaTheme="minorEastAsia"/>
          <w:szCs w:val="24"/>
          <w:lang w:val="zh-CN"/>
        </w:rPr>
        <w:t>，其他同品牌投标人不作为中标候选人。</w:t>
      </w:r>
    </w:p>
    <w:p>
      <w:pPr>
        <w:pStyle w:val="13"/>
        <w:spacing w:line="360" w:lineRule="auto"/>
        <w:ind w:firstLine="465"/>
        <w:contextualSpacing/>
        <w:jc w:val="left"/>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（4）关于强制性产品认证</w:t>
      </w:r>
    </w:p>
    <w:p>
      <w:pPr>
        <w:spacing w:line="360" w:lineRule="auto"/>
        <w:ind w:firstLine="480" w:firstLineChars="200"/>
        <w:contextualSpacing/>
        <w:rPr>
          <w:rFonts w:cs="宋体" w:asciiTheme="minorEastAsia" w:hAnsiTheme="minorEastAsia"/>
          <w:kern w:val="0"/>
          <w:sz w:val="24"/>
          <w:szCs w:val="24"/>
        </w:rPr>
      </w:pPr>
      <w:r>
        <w:rPr>
          <w:rFonts w:hint="eastAsia" w:cs="仿宋_GB2312" w:asciiTheme="minorEastAsia" w:hAnsiTheme="minorEastAsia"/>
          <w:sz w:val="24"/>
          <w:szCs w:val="24"/>
          <w:lang w:val="zh-CN"/>
        </w:rPr>
        <w:t>1）如投标人所投产品属于“中国强制性产品认证”（3C认证）范围内,则必须承诺采用</w:t>
      </w:r>
      <w:r>
        <w:rPr>
          <w:rFonts w:cs="仿宋_GB2312" w:asciiTheme="minorEastAsia" w:hAnsiTheme="minorEastAsia"/>
          <w:sz w:val="24"/>
          <w:szCs w:val="24"/>
          <w:lang w:val="zh-CN"/>
        </w:rPr>
        <w:t>《中华人民共和国实施强制性产品认证的产品目录》</w:t>
      </w:r>
      <w:r>
        <w:rPr>
          <w:rFonts w:hint="eastAsia" w:cs="仿宋_GB2312" w:asciiTheme="minorEastAsia" w:hAnsiTheme="minorEastAsia"/>
          <w:sz w:val="24"/>
          <w:szCs w:val="24"/>
          <w:lang w:val="zh-CN"/>
        </w:rPr>
        <w:t>并在有效期内的产品，应在投标文件中提供</w:t>
      </w:r>
      <w:r>
        <w:rPr>
          <w:rFonts w:hint="eastAsia" w:cs="仿宋_GB2312" w:asciiTheme="minorEastAsia" w:hAnsiTheme="minorEastAsia"/>
          <w:lang w:val="zh-CN"/>
        </w:rPr>
        <w:t>“</w:t>
      </w:r>
      <w:r>
        <w:rPr>
          <w:rFonts w:hint="eastAsia" w:cs="仿宋_GB2312" w:asciiTheme="minorEastAsia" w:hAnsiTheme="minorEastAsia"/>
          <w:sz w:val="24"/>
          <w:szCs w:val="24"/>
          <w:lang w:val="zh-CN"/>
        </w:rPr>
        <w:t>所投产品符合国家强制性要求承诺函</w:t>
      </w:r>
      <w:r>
        <w:rPr>
          <w:rFonts w:hint="eastAsia" w:cs="仿宋_GB2312" w:asciiTheme="minorEastAsia" w:hAnsiTheme="minorEastAsia"/>
          <w:lang w:val="zh-CN"/>
        </w:rPr>
        <w:t>”</w:t>
      </w:r>
      <w:r>
        <w:rPr>
          <w:rFonts w:hint="eastAsia" w:cs="仿宋_GB2312" w:asciiTheme="minorEastAsia" w:hAnsiTheme="minorEastAsia"/>
          <w:sz w:val="24"/>
          <w:szCs w:val="24"/>
          <w:lang w:val="zh-CN"/>
        </w:rPr>
        <w:t>并加盖投标人公章，否则将承担其投标被视为非实质性响应投标的风险。</w:t>
      </w:r>
    </w:p>
    <w:p>
      <w:pPr>
        <w:wordWrap w:val="0"/>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宋体" w:asciiTheme="minorEastAsia" w:hAnsiTheme="minorEastAsia"/>
          <w:kern w:val="0"/>
          <w:sz w:val="24"/>
          <w:szCs w:val="24"/>
        </w:rPr>
        <w:t>2)投标人所投产品如被列入</w:t>
      </w:r>
      <w:r>
        <w:rPr>
          <w:rFonts w:cs="宋体" w:asciiTheme="minorEastAsia" w:hAnsiTheme="minorEastAsia"/>
          <w:kern w:val="0"/>
          <w:sz w:val="24"/>
          <w:szCs w:val="24"/>
        </w:rPr>
        <w:t>《信息安全产品强制性认证目录》，</w:t>
      </w:r>
      <w:r>
        <w:rPr>
          <w:rFonts w:hint="eastAsia" w:cs="仿宋_GB2312" w:asciiTheme="minorEastAsia" w:hAnsiTheme="minorEastAsia"/>
          <w:sz w:val="24"/>
          <w:szCs w:val="24"/>
          <w:lang w:val="zh-CN"/>
        </w:rPr>
        <w:t>则投标文件中应根据本项目招标文件“第二章 项目需求”</w:t>
      </w:r>
      <w:r>
        <w:rPr>
          <w:rFonts w:cs="仿宋_GB2312" w:asciiTheme="minorEastAsia" w:hAnsiTheme="minorEastAsia"/>
          <w:sz w:val="24"/>
          <w:szCs w:val="24"/>
          <w:lang w:val="zh-CN"/>
        </w:rPr>
        <w:t>提供</w:t>
      </w:r>
      <w:r>
        <w:rPr>
          <w:rFonts w:hint="eastAsia" w:cs="仿宋_GB2312" w:asciiTheme="minorEastAsia" w:hAnsiTheme="minorEastAsia"/>
          <w:sz w:val="24"/>
          <w:szCs w:val="24"/>
          <w:lang w:val="zh-CN"/>
        </w:rPr>
        <w:t>：</w:t>
      </w:r>
    </w:p>
    <w:p>
      <w:pPr>
        <w:wordWrap w:val="0"/>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宋体" w:asciiTheme="minorEastAsia" w:hAnsiTheme="minorEastAsia"/>
          <w:kern w:val="0"/>
          <w:sz w:val="24"/>
          <w:szCs w:val="24"/>
        </w:rPr>
        <w:t>中国信息安全认证中心官网（</w:t>
      </w:r>
      <w:r>
        <w:rPr>
          <w:rFonts w:cs="宋体" w:asciiTheme="minorEastAsia" w:hAnsiTheme="minorEastAsia"/>
          <w:kern w:val="0"/>
          <w:sz w:val="24"/>
          <w:szCs w:val="24"/>
        </w:rPr>
        <w:t>http://www.isccc.gov.cn/index.shtml</w:t>
      </w:r>
      <w:r>
        <w:rPr>
          <w:rFonts w:hint="eastAsia" w:cs="宋体" w:asciiTheme="minorEastAsia" w:hAnsiTheme="minorEastAsia"/>
          <w:kern w:val="0"/>
          <w:sz w:val="24"/>
          <w:szCs w:val="24"/>
        </w:rPr>
        <w:t>）产品查询结果截图并加盖投标人公章或中国信息安全认证中心</w:t>
      </w:r>
      <w:r>
        <w:rPr>
          <w:rFonts w:hint="eastAsia" w:cs="仿宋_GB2312" w:asciiTheme="minorEastAsia" w:hAnsiTheme="minorEastAsia"/>
          <w:sz w:val="24"/>
          <w:szCs w:val="24"/>
          <w:lang w:val="zh-CN"/>
        </w:rPr>
        <w:t>颁发的《中国国家信息安全产品认证证书》加盖投标人公章的原件扫描件（或图片）。</w:t>
      </w:r>
    </w:p>
    <w:p>
      <w:pPr>
        <w:tabs>
          <w:tab w:val="left" w:pos="1260"/>
        </w:tabs>
        <w:autoSpaceDE w:val="0"/>
        <w:autoSpaceDN w:val="0"/>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（5）投标无效情形</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2）符合性审查资料未按招标文件要求签署、盖章的；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3）有下列情形之一的，视为投标人串通投标，其投标无效：</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a.不同投标人的投标文件由同一单位或者个人编制；</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b.不同投标人委托同一单位或者个人办理投标事宜；</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c.不同投标人的投标文件载明的项目管理成员或者联系人员为同一人；</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d.不同投标人的投标文件异常一致或者投标报价呈规律性差异；</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e.不同投标人的投标文件相互混装；</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5）</w:t>
      </w:r>
      <w:r>
        <w:rPr>
          <w:rFonts w:cs="仿宋_GB2312" w:asciiTheme="minorEastAsia" w:hAnsiTheme="minorEastAsia"/>
          <w:sz w:val="24"/>
          <w:szCs w:val="24"/>
          <w:lang w:val="zh-CN"/>
        </w:rPr>
        <w:t>法律、法规和招标文件规定的其他无效情形。</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（6）评标标准</w:t>
      </w:r>
    </w:p>
    <w:tbl>
      <w:tblPr>
        <w:tblStyle w:val="2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8"/>
        <w:gridCol w:w="5646"/>
        <w:gridCol w:w="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trPr>
        <w:tc>
          <w:tcPr>
            <w:tcW w:w="1948"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ascii="宋体" w:hAnsi="宋体" w:cs="宋体"/>
                <w:kern w:val="0"/>
                <w:sz w:val="24"/>
                <w:szCs w:val="24"/>
              </w:rPr>
            </w:pPr>
            <w:r>
              <w:rPr>
                <w:rFonts w:hint="eastAsia" w:ascii="宋体" w:hAnsi="宋体" w:cs="宋体"/>
                <w:kern w:val="0"/>
                <w:sz w:val="24"/>
                <w:szCs w:val="24"/>
              </w:rPr>
              <w:t>分值构成</w:t>
            </w:r>
          </w:p>
          <w:p>
            <w:pPr>
              <w:widowControl/>
              <w:spacing w:line="330" w:lineRule="atLeast"/>
              <w:jc w:val="center"/>
              <w:rPr>
                <w:rFonts w:ascii="宋体" w:hAnsi="宋体" w:cs="宋体"/>
                <w:kern w:val="0"/>
                <w:sz w:val="24"/>
                <w:szCs w:val="24"/>
              </w:rPr>
            </w:pPr>
            <w:r>
              <w:rPr>
                <w:rFonts w:hint="eastAsia" w:ascii="宋体" w:hAnsi="宋体" w:cs="宋体"/>
                <w:kern w:val="0"/>
                <w:sz w:val="24"/>
                <w:szCs w:val="24"/>
              </w:rPr>
              <w:t>(总分100分)</w:t>
            </w:r>
          </w:p>
        </w:tc>
        <w:tc>
          <w:tcPr>
            <w:tcW w:w="6574"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80"/>
              <w:jc w:val="center"/>
              <w:rPr>
                <w:rFonts w:ascii="宋体" w:hAnsi="宋体" w:cs="宋体"/>
                <w:kern w:val="0"/>
                <w:sz w:val="24"/>
                <w:szCs w:val="24"/>
              </w:rPr>
            </w:pPr>
            <w:r>
              <w:rPr>
                <w:rFonts w:hint="eastAsia" w:ascii="宋体" w:hAnsi="宋体" w:cs="宋体"/>
                <w:kern w:val="0"/>
                <w:sz w:val="24"/>
                <w:szCs w:val="24"/>
              </w:rPr>
              <w:t>价格分值：</w:t>
            </w:r>
            <w:r>
              <w:rPr>
                <w:rFonts w:hint="eastAsia" w:ascii="宋体" w:hAnsi="宋体" w:cs="宋体"/>
                <w:kern w:val="0"/>
                <w:sz w:val="24"/>
                <w:szCs w:val="24"/>
                <w:u w:val="single"/>
              </w:rPr>
              <w:t>35</w:t>
            </w:r>
            <w:r>
              <w:rPr>
                <w:rFonts w:hint="eastAsia" w:ascii="宋体" w:hAnsi="宋体" w:cs="宋体"/>
                <w:kern w:val="0"/>
                <w:sz w:val="24"/>
                <w:szCs w:val="24"/>
              </w:rPr>
              <w:t>分</w:t>
            </w:r>
          </w:p>
          <w:p>
            <w:pPr>
              <w:widowControl/>
              <w:spacing w:line="360" w:lineRule="auto"/>
              <w:ind w:firstLine="480"/>
              <w:jc w:val="center"/>
              <w:rPr>
                <w:rFonts w:ascii="宋体" w:hAnsi="宋体" w:cs="宋体"/>
                <w:kern w:val="0"/>
                <w:sz w:val="24"/>
                <w:szCs w:val="24"/>
              </w:rPr>
            </w:pPr>
            <w:r>
              <w:rPr>
                <w:rFonts w:hint="eastAsia" w:ascii="宋体" w:hAnsi="宋体" w:cs="宋体"/>
                <w:kern w:val="0"/>
                <w:sz w:val="24"/>
                <w:szCs w:val="24"/>
              </w:rPr>
              <w:t>商务部分：</w:t>
            </w:r>
            <w:r>
              <w:rPr>
                <w:rFonts w:hint="eastAsia" w:ascii="宋体" w:hAnsi="宋体" w:cs="宋体"/>
                <w:kern w:val="0"/>
                <w:sz w:val="24"/>
                <w:szCs w:val="24"/>
                <w:u w:val="single"/>
              </w:rPr>
              <w:t>55</w:t>
            </w:r>
            <w:r>
              <w:rPr>
                <w:rFonts w:hint="eastAsia" w:ascii="宋体" w:hAnsi="宋体" w:cs="宋体"/>
                <w:kern w:val="0"/>
                <w:sz w:val="24"/>
                <w:szCs w:val="24"/>
              </w:rPr>
              <w:t>分</w:t>
            </w:r>
          </w:p>
          <w:p>
            <w:pPr>
              <w:widowControl/>
              <w:spacing w:line="360" w:lineRule="auto"/>
              <w:ind w:firstLine="480"/>
              <w:jc w:val="center"/>
              <w:rPr>
                <w:rFonts w:ascii="宋体" w:hAnsi="宋体" w:cs="宋体"/>
                <w:kern w:val="0"/>
                <w:sz w:val="24"/>
                <w:szCs w:val="24"/>
              </w:rPr>
            </w:pPr>
            <w:r>
              <w:rPr>
                <w:rFonts w:hint="eastAsia" w:ascii="宋体" w:hAnsi="宋体" w:cs="宋体"/>
                <w:kern w:val="0"/>
                <w:sz w:val="24"/>
                <w:szCs w:val="24"/>
              </w:rPr>
              <w:t>技术部分：</w:t>
            </w:r>
            <w:r>
              <w:rPr>
                <w:rFonts w:hint="eastAsia" w:ascii="宋体" w:hAnsi="宋体" w:cs="宋体"/>
                <w:kern w:val="0"/>
                <w:sz w:val="24"/>
                <w:szCs w:val="24"/>
                <w:u w:val="single"/>
              </w:rPr>
              <w:t>10</w:t>
            </w:r>
            <w:r>
              <w:rPr>
                <w:rFonts w:hint="eastAsia" w:ascii="宋体" w:hAnsi="宋体" w:cs="宋体"/>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522" w:type="dxa"/>
            <w:gridSpan w:val="3"/>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ascii="宋体" w:hAnsi="宋体" w:cs="宋体"/>
                <w:kern w:val="0"/>
                <w:sz w:val="24"/>
                <w:szCs w:val="24"/>
              </w:rPr>
            </w:pPr>
            <w:r>
              <w:rPr>
                <w:rFonts w:hint="eastAsia" w:ascii="宋体" w:hAnsi="宋体" w:cs="宋体"/>
                <w:b/>
                <w:kern w:val="0"/>
                <w:sz w:val="24"/>
                <w:szCs w:val="24"/>
              </w:rPr>
              <w:t>一、价格部分（满分</w:t>
            </w:r>
            <w:r>
              <w:rPr>
                <w:rFonts w:hint="eastAsia" w:ascii="宋体" w:hAnsi="宋体" w:cs="宋体"/>
                <w:b/>
                <w:kern w:val="0"/>
                <w:sz w:val="24"/>
                <w:szCs w:val="24"/>
                <w:u w:val="single"/>
              </w:rPr>
              <w:t>35</w:t>
            </w:r>
            <w:r>
              <w:rPr>
                <w:rFonts w:hint="eastAsia" w:ascii="宋体" w:hAnsi="宋体" w:cs="宋体"/>
                <w:b/>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948"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ascii="宋体" w:hAnsi="宋体" w:cs="宋体"/>
                <w:kern w:val="0"/>
                <w:sz w:val="24"/>
                <w:szCs w:val="24"/>
              </w:rPr>
            </w:pPr>
            <w:r>
              <w:rPr>
                <w:rFonts w:hint="eastAsia" w:ascii="宋体" w:hAnsi="宋体" w:cs="宋体"/>
                <w:b/>
                <w:kern w:val="0"/>
                <w:sz w:val="24"/>
                <w:szCs w:val="24"/>
              </w:rPr>
              <w:t>评分因素</w:t>
            </w:r>
          </w:p>
        </w:tc>
        <w:tc>
          <w:tcPr>
            <w:tcW w:w="5646"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ascii="宋体" w:hAnsi="宋体" w:cs="宋体"/>
                <w:kern w:val="0"/>
                <w:sz w:val="24"/>
                <w:szCs w:val="24"/>
              </w:rPr>
            </w:pPr>
            <w:r>
              <w:rPr>
                <w:rFonts w:hint="eastAsia" w:ascii="宋体" w:hAnsi="宋体" w:cs="宋体"/>
                <w:b/>
                <w:kern w:val="0"/>
                <w:sz w:val="24"/>
                <w:szCs w:val="24"/>
              </w:rPr>
              <w:t>评分标准</w:t>
            </w:r>
          </w:p>
        </w:tc>
        <w:tc>
          <w:tcPr>
            <w:tcW w:w="928"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ascii="宋体" w:hAnsi="宋体" w:cs="宋体"/>
                <w:kern w:val="0"/>
                <w:sz w:val="24"/>
                <w:szCs w:val="24"/>
              </w:rPr>
            </w:pPr>
            <w:r>
              <w:rPr>
                <w:rFonts w:hint="eastAsia" w:ascii="宋体" w:hAnsi="宋体" w:cs="宋体"/>
                <w:b/>
                <w:kern w:val="0"/>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9" w:hRule="atLeast"/>
        </w:trPr>
        <w:tc>
          <w:tcPr>
            <w:tcW w:w="1948"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ascii="宋体" w:hAnsi="宋体" w:cs="宋体"/>
                <w:kern w:val="0"/>
                <w:sz w:val="24"/>
                <w:szCs w:val="24"/>
              </w:rPr>
            </w:pPr>
            <w:r>
              <w:rPr>
                <w:rFonts w:hint="eastAsia" w:ascii="宋体" w:hAnsi="宋体" w:cs="宋体"/>
                <w:kern w:val="0"/>
                <w:sz w:val="24"/>
                <w:szCs w:val="24"/>
              </w:rPr>
              <w:t>投标报价</w:t>
            </w:r>
          </w:p>
          <w:p>
            <w:pPr>
              <w:widowControl/>
              <w:spacing w:line="330" w:lineRule="atLeast"/>
              <w:jc w:val="center"/>
              <w:rPr>
                <w:rFonts w:ascii="宋体" w:hAnsi="宋体" w:cs="宋体"/>
                <w:kern w:val="0"/>
                <w:sz w:val="24"/>
                <w:szCs w:val="24"/>
              </w:rPr>
            </w:pPr>
            <w:r>
              <w:rPr>
                <w:rFonts w:hint="eastAsia" w:ascii="宋体" w:hAnsi="宋体" w:cs="宋体"/>
                <w:kern w:val="0"/>
                <w:sz w:val="24"/>
                <w:szCs w:val="24"/>
              </w:rPr>
              <w:t>评分标准</w:t>
            </w:r>
          </w:p>
        </w:tc>
        <w:tc>
          <w:tcPr>
            <w:tcW w:w="5646"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left"/>
              <w:rPr>
                <w:rFonts w:ascii="宋体" w:hAnsi="宋体" w:cs="宋体"/>
                <w:kern w:val="0"/>
                <w:sz w:val="24"/>
                <w:szCs w:val="24"/>
              </w:rPr>
            </w:pPr>
            <w:r>
              <w:rPr>
                <w:rFonts w:hint="eastAsia" w:ascii="宋体" w:hAnsi="宋体" w:cs="宋体"/>
                <w:kern w:val="0"/>
                <w:sz w:val="24"/>
                <w:szCs w:val="24"/>
              </w:rPr>
              <w:t>评标基准价：满足招标文件要求的有效投标报价中，最低的投标报价为评标基准价。</w:t>
            </w:r>
          </w:p>
          <w:p>
            <w:pPr>
              <w:widowControl/>
              <w:spacing w:line="330" w:lineRule="atLeast"/>
              <w:jc w:val="left"/>
              <w:rPr>
                <w:rFonts w:ascii="宋体" w:hAnsi="宋体" w:cs="宋体"/>
                <w:kern w:val="0"/>
                <w:sz w:val="24"/>
                <w:szCs w:val="24"/>
              </w:rPr>
            </w:pPr>
            <w:r>
              <w:rPr>
                <w:rFonts w:hint="eastAsia" w:ascii="宋体" w:hAnsi="宋体" w:cs="宋体"/>
                <w:kern w:val="0"/>
                <w:sz w:val="24"/>
                <w:szCs w:val="24"/>
              </w:rPr>
              <w:t>投标报价得分=（评标基准价/投标报价）×</w:t>
            </w:r>
            <w:r>
              <w:rPr>
                <w:rFonts w:hint="eastAsia" w:ascii="宋体" w:hAnsi="宋体" w:cs="宋体"/>
                <w:kern w:val="0"/>
                <w:sz w:val="24"/>
                <w:szCs w:val="24"/>
                <w:u w:val="single"/>
              </w:rPr>
              <w:t>35</w:t>
            </w:r>
          </w:p>
        </w:tc>
        <w:tc>
          <w:tcPr>
            <w:tcW w:w="928"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ascii="宋体" w:hAnsi="宋体" w:cs="宋体"/>
                <w:kern w:val="0"/>
                <w:sz w:val="24"/>
                <w:szCs w:val="24"/>
              </w:rPr>
            </w:pPr>
            <w:r>
              <w:rPr>
                <w:rFonts w:hint="eastAsia" w:ascii="宋体" w:hAnsi="宋体" w:cs="宋体"/>
                <w:kern w:val="0"/>
                <w:sz w:val="24"/>
                <w:szCs w:val="24"/>
                <w:u w:val="single"/>
              </w:rPr>
              <w:t>35</w:t>
            </w:r>
            <w:r>
              <w:rPr>
                <w:rFonts w:hint="eastAsia" w:ascii="宋体" w:hAnsi="宋体" w:cs="宋体"/>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522" w:type="dxa"/>
            <w:gridSpan w:val="3"/>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ascii="宋体" w:hAnsi="宋体" w:cs="宋体"/>
                <w:kern w:val="0"/>
                <w:sz w:val="24"/>
                <w:szCs w:val="24"/>
              </w:rPr>
            </w:pPr>
            <w:r>
              <w:rPr>
                <w:rFonts w:hint="eastAsia" w:ascii="宋体" w:hAnsi="宋体" w:cs="宋体"/>
                <w:b/>
                <w:kern w:val="0"/>
                <w:sz w:val="24"/>
                <w:szCs w:val="24"/>
              </w:rPr>
              <w:t>二、商务部分（满分</w:t>
            </w:r>
            <w:r>
              <w:rPr>
                <w:rFonts w:hint="eastAsia" w:ascii="宋体" w:hAnsi="宋体" w:cs="宋体"/>
                <w:b/>
                <w:kern w:val="0"/>
                <w:sz w:val="24"/>
                <w:szCs w:val="24"/>
                <w:u w:val="single"/>
              </w:rPr>
              <w:t>55</w:t>
            </w:r>
            <w:r>
              <w:rPr>
                <w:rFonts w:hint="eastAsia" w:ascii="宋体" w:hAnsi="宋体" w:cs="宋体"/>
                <w:b/>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948"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ascii="宋体" w:hAnsi="宋体" w:cs="宋体"/>
                <w:kern w:val="0"/>
                <w:sz w:val="24"/>
                <w:szCs w:val="24"/>
              </w:rPr>
            </w:pPr>
            <w:r>
              <w:rPr>
                <w:rFonts w:hint="eastAsia" w:ascii="宋体" w:hAnsi="宋体" w:cs="宋体"/>
                <w:b/>
                <w:kern w:val="0"/>
                <w:sz w:val="24"/>
                <w:szCs w:val="24"/>
              </w:rPr>
              <w:t>评分因素</w:t>
            </w:r>
          </w:p>
        </w:tc>
        <w:tc>
          <w:tcPr>
            <w:tcW w:w="5646"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ascii="宋体" w:hAnsi="宋体" w:cs="宋体"/>
                <w:kern w:val="0"/>
                <w:sz w:val="24"/>
                <w:szCs w:val="24"/>
              </w:rPr>
            </w:pPr>
            <w:r>
              <w:rPr>
                <w:rFonts w:hint="eastAsia" w:ascii="宋体" w:hAnsi="宋体" w:cs="宋体"/>
                <w:b/>
                <w:kern w:val="0"/>
                <w:sz w:val="24"/>
                <w:szCs w:val="24"/>
              </w:rPr>
              <w:t>评分标准</w:t>
            </w:r>
          </w:p>
        </w:tc>
        <w:tc>
          <w:tcPr>
            <w:tcW w:w="928"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ascii="宋体" w:hAnsi="宋体" w:cs="宋体"/>
                <w:kern w:val="0"/>
                <w:sz w:val="24"/>
                <w:szCs w:val="24"/>
              </w:rPr>
            </w:pPr>
            <w:r>
              <w:rPr>
                <w:rFonts w:hint="eastAsia" w:ascii="宋体" w:hAnsi="宋体" w:cs="宋体"/>
                <w:b/>
                <w:kern w:val="0"/>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94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bCs/>
                <w:sz w:val="24"/>
              </w:rPr>
            </w:pPr>
            <w:r>
              <w:rPr>
                <w:rFonts w:hint="eastAsia" w:ascii="宋体" w:hAnsi="宋体" w:cs="宋体"/>
                <w:bCs/>
                <w:sz w:val="24"/>
              </w:rPr>
              <w:t>投标文件规范</w:t>
            </w:r>
          </w:p>
          <w:p>
            <w:pPr>
              <w:spacing w:line="360" w:lineRule="exact"/>
              <w:jc w:val="center"/>
              <w:rPr>
                <w:rFonts w:ascii="宋体" w:hAnsi="宋体" w:cs="宋体"/>
                <w:kern w:val="0"/>
                <w:sz w:val="24"/>
                <w:szCs w:val="24"/>
              </w:rPr>
            </w:pPr>
            <w:r>
              <w:rPr>
                <w:rFonts w:hint="eastAsia" w:ascii="宋体" w:hAnsi="宋体" w:cs="宋体"/>
                <w:bCs/>
                <w:sz w:val="24"/>
              </w:rPr>
              <w:t>程度</w:t>
            </w:r>
          </w:p>
        </w:tc>
        <w:tc>
          <w:tcPr>
            <w:tcW w:w="5646"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bCs/>
                <w:iCs/>
                <w:kern w:val="0"/>
                <w:sz w:val="24"/>
                <w:szCs w:val="24"/>
              </w:rPr>
            </w:pPr>
            <w:r>
              <w:rPr>
                <w:rFonts w:hint="eastAsia" w:ascii="宋体" w:hAnsi="宋体" w:cs="宋体"/>
                <w:bCs/>
                <w:sz w:val="24"/>
              </w:rPr>
              <w:t>所提供资料准确完整、装订规范、文字清晰得、无差错得3分，不完整不得分。</w:t>
            </w:r>
          </w:p>
        </w:tc>
        <w:tc>
          <w:tcPr>
            <w:tcW w:w="928"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ascii="宋体" w:hAnsi="宋体" w:cs="宋体"/>
                <w:kern w:val="0"/>
                <w:sz w:val="24"/>
                <w:szCs w:val="24"/>
                <w:u w:val="single"/>
              </w:rPr>
            </w:pPr>
            <w:r>
              <w:rPr>
                <w:rFonts w:hint="eastAsia" w:ascii="宋体" w:hAnsi="宋体" w:cs="宋体"/>
                <w:kern w:val="0"/>
                <w:sz w:val="24"/>
                <w:szCs w:val="24"/>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94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bCs/>
                <w:sz w:val="24"/>
              </w:rPr>
            </w:pPr>
            <w:r>
              <w:rPr>
                <w:rFonts w:hint="eastAsia" w:ascii="宋体" w:hAnsi="宋体" w:cs="宋体"/>
                <w:bCs/>
                <w:sz w:val="24"/>
              </w:rPr>
              <w:t>企业实力</w:t>
            </w:r>
          </w:p>
        </w:tc>
        <w:tc>
          <w:tcPr>
            <w:tcW w:w="5646" w:type="dxa"/>
            <w:tcBorders>
              <w:top w:val="single" w:color="auto" w:sz="4" w:space="0"/>
              <w:left w:val="single" w:color="auto" w:sz="4" w:space="0"/>
              <w:bottom w:val="single" w:color="auto" w:sz="4" w:space="0"/>
              <w:right w:val="single" w:color="auto" w:sz="4" w:space="0"/>
            </w:tcBorders>
            <w:vAlign w:val="center"/>
          </w:tcPr>
          <w:p>
            <w:pPr>
              <w:numPr>
                <w:ilvl w:val="0"/>
                <w:numId w:val="6"/>
              </w:numPr>
              <w:spacing w:line="360" w:lineRule="exact"/>
              <w:rPr>
                <w:rFonts w:ascii="宋体" w:hAnsi="宋体" w:cs="宋体"/>
                <w:bCs/>
                <w:sz w:val="24"/>
              </w:rPr>
            </w:pPr>
            <w:r>
              <w:rPr>
                <w:rFonts w:hint="eastAsia" w:ascii="宋体" w:hAnsi="宋体"/>
                <w:sz w:val="24"/>
                <w:szCs w:val="24"/>
                <w:lang w:val="zh-CN"/>
              </w:rPr>
              <w:t>投标人</w:t>
            </w:r>
            <w:r>
              <w:rPr>
                <w:rFonts w:hint="eastAsia" w:ascii="宋体" w:hAnsi="宋体" w:cs="宋体"/>
                <w:bCs/>
                <w:sz w:val="24"/>
              </w:rPr>
              <w:t>所投产品（项目需求中序号1-13）生产厂家</w:t>
            </w:r>
            <w:r>
              <w:rPr>
                <w:rFonts w:hint="eastAsia" w:ascii="宋体" w:hAnsi="宋体"/>
                <w:sz w:val="24"/>
                <w:szCs w:val="24"/>
                <w:lang w:val="zh-CN"/>
              </w:rPr>
              <w:t>具有ISO9001质量管理体系认证、环境体系认证、职业健康安全管理体系认证证书且在有效期内的，每项得</w:t>
            </w:r>
            <w:r>
              <w:rPr>
                <w:rFonts w:hint="eastAsia" w:ascii="宋体" w:hAnsi="宋体"/>
                <w:sz w:val="24"/>
                <w:szCs w:val="24"/>
              </w:rPr>
              <w:t>5</w:t>
            </w:r>
            <w:r>
              <w:rPr>
                <w:rFonts w:hint="eastAsia" w:ascii="宋体" w:hAnsi="宋体"/>
                <w:sz w:val="24"/>
                <w:szCs w:val="24"/>
                <w:lang w:val="zh-CN"/>
              </w:rPr>
              <w:t>分，满分</w:t>
            </w:r>
            <w:r>
              <w:rPr>
                <w:rFonts w:hint="eastAsia" w:ascii="宋体" w:hAnsi="宋体"/>
                <w:sz w:val="24"/>
                <w:szCs w:val="24"/>
              </w:rPr>
              <w:t>15</w:t>
            </w:r>
            <w:r>
              <w:rPr>
                <w:rFonts w:hint="eastAsia" w:ascii="宋体" w:hAnsi="宋体"/>
                <w:sz w:val="24"/>
                <w:szCs w:val="24"/>
                <w:lang w:val="zh-CN"/>
              </w:rPr>
              <w:t>分。没有不得分。</w:t>
            </w:r>
          </w:p>
          <w:p>
            <w:pPr>
              <w:spacing w:line="360" w:lineRule="exact"/>
              <w:rPr>
                <w:rFonts w:ascii="宋体" w:hAnsi="宋体" w:cs="宋体"/>
                <w:bCs/>
                <w:sz w:val="24"/>
              </w:rPr>
            </w:pPr>
            <w:r>
              <w:rPr>
                <w:rFonts w:hint="eastAsia" w:ascii="宋体" w:hAnsi="宋体" w:cs="宋体"/>
                <w:bCs/>
                <w:sz w:val="24"/>
              </w:rPr>
              <w:t>2、</w:t>
            </w:r>
            <w:r>
              <w:rPr>
                <w:rFonts w:hint="eastAsia" w:ascii="宋体" w:hAnsi="宋体"/>
                <w:sz w:val="24"/>
                <w:szCs w:val="24"/>
                <w:lang w:val="zh-CN"/>
              </w:rPr>
              <w:t>投标人</w:t>
            </w:r>
            <w:r>
              <w:rPr>
                <w:rFonts w:hint="eastAsia" w:ascii="宋体" w:hAnsi="宋体" w:cs="宋体"/>
                <w:bCs/>
                <w:sz w:val="24"/>
              </w:rPr>
              <w:t>所投产品（项目需求中序号1-13）具中国环境标志产品认证证书的，每份得2分。满分12分，没有不得分。</w:t>
            </w:r>
          </w:p>
          <w:p>
            <w:pPr>
              <w:spacing w:line="360" w:lineRule="exact"/>
              <w:rPr>
                <w:rFonts w:ascii="宋体" w:hAnsi="宋体" w:cs="宋体"/>
                <w:bCs/>
                <w:sz w:val="24"/>
              </w:rPr>
            </w:pPr>
            <w:r>
              <w:rPr>
                <w:rFonts w:hint="eastAsia" w:ascii="宋体" w:hAnsi="宋体" w:cs="宋体"/>
                <w:bCs/>
                <w:sz w:val="24"/>
              </w:rPr>
              <w:t>注：以上材料需提供证书原件扫描件（或图片）。</w:t>
            </w:r>
          </w:p>
        </w:tc>
        <w:tc>
          <w:tcPr>
            <w:tcW w:w="928"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ascii="宋体" w:hAnsi="宋体" w:cs="宋体"/>
                <w:kern w:val="0"/>
                <w:sz w:val="24"/>
                <w:szCs w:val="24"/>
              </w:rPr>
            </w:pPr>
            <w:r>
              <w:rPr>
                <w:rFonts w:hint="eastAsia" w:ascii="宋体" w:hAnsi="宋体" w:cs="宋体"/>
                <w:kern w:val="0"/>
                <w:sz w:val="24"/>
                <w:szCs w:val="24"/>
              </w:rPr>
              <w:t>27分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94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bCs/>
                <w:sz w:val="24"/>
              </w:rPr>
            </w:pPr>
            <w:r>
              <w:rPr>
                <w:rFonts w:hint="eastAsia" w:ascii="宋体" w:hAnsi="宋体" w:cs="宋体"/>
                <w:bCs/>
                <w:sz w:val="24"/>
              </w:rPr>
              <w:t>业绩</w:t>
            </w:r>
          </w:p>
        </w:tc>
        <w:tc>
          <w:tcPr>
            <w:tcW w:w="564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sz w:val="24"/>
              </w:rPr>
            </w:pPr>
            <w:r>
              <w:rPr>
                <w:rFonts w:hint="eastAsia" w:ascii="宋体" w:hAnsi="宋体" w:cs="宋体"/>
                <w:bCs/>
                <w:sz w:val="24"/>
              </w:rPr>
              <w:t>2016年1月1日以来，投标人具有类似项目业绩，单项合同金额在15万元及以上的，每提供一项得2分，满分10分。</w:t>
            </w:r>
          </w:p>
          <w:p>
            <w:pPr>
              <w:rPr>
                <w:rFonts w:ascii="宋体" w:hAnsi="宋体" w:cs="宋体"/>
                <w:bCs/>
                <w:sz w:val="24"/>
              </w:rPr>
            </w:pPr>
            <w:r>
              <w:rPr>
                <w:rFonts w:hint="eastAsia" w:ascii="宋体" w:hAnsi="宋体" w:cs="宋体"/>
                <w:b/>
                <w:sz w:val="24"/>
              </w:rPr>
              <w:t>注：</w:t>
            </w:r>
            <w:r>
              <w:rPr>
                <w:rFonts w:hint="eastAsia" w:ascii="宋体" w:hAnsi="宋体" w:cs="宋体"/>
                <w:bCs/>
                <w:sz w:val="24"/>
              </w:rPr>
              <w:t>以上证明材料需同时提供中标通知书和合同原件扫描件（或图片）。</w:t>
            </w:r>
          </w:p>
        </w:tc>
        <w:tc>
          <w:tcPr>
            <w:tcW w:w="928"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ascii="宋体" w:hAnsi="宋体" w:cs="宋体"/>
                <w:kern w:val="0"/>
                <w:sz w:val="24"/>
                <w:szCs w:val="24"/>
              </w:rPr>
            </w:pPr>
            <w:r>
              <w:rPr>
                <w:rFonts w:hint="eastAsia" w:ascii="宋体" w:hAnsi="宋体" w:cs="宋体"/>
                <w:kern w:val="0"/>
                <w:sz w:val="24"/>
                <w:szCs w:val="24"/>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5" w:hRule="atLeast"/>
        </w:trPr>
        <w:tc>
          <w:tcPr>
            <w:tcW w:w="194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kern w:val="0"/>
                <w:sz w:val="24"/>
                <w:szCs w:val="24"/>
              </w:rPr>
            </w:pPr>
            <w:r>
              <w:rPr>
                <w:rFonts w:hint="eastAsia" w:ascii="宋体" w:hAnsi="宋体" w:cs="宋体"/>
                <w:kern w:val="0"/>
                <w:sz w:val="24"/>
                <w:szCs w:val="24"/>
              </w:rPr>
              <w:t>售后服务承诺</w:t>
            </w:r>
          </w:p>
        </w:tc>
        <w:tc>
          <w:tcPr>
            <w:tcW w:w="564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szCs w:val="24"/>
              </w:rPr>
            </w:pPr>
            <w:r>
              <w:rPr>
                <w:rFonts w:hint="eastAsia" w:ascii="宋体" w:hAnsi="宋体" w:cs="宋体"/>
                <w:sz w:val="24"/>
                <w:szCs w:val="24"/>
              </w:rPr>
              <w:t>1、解决问题时间以小时为单位（四舍五入法，30分钟及以上按1小时计算），以6小时为起点，基本分1分，每减少1小时，加1分，满分3分。6小时以上的不得分。</w:t>
            </w:r>
          </w:p>
          <w:p>
            <w:pPr>
              <w:spacing w:line="360" w:lineRule="auto"/>
              <w:rPr>
                <w:rFonts w:ascii="宋体" w:hAnsi="宋体" w:cs="宋体"/>
                <w:sz w:val="24"/>
                <w:szCs w:val="24"/>
              </w:rPr>
            </w:pPr>
            <w:r>
              <w:rPr>
                <w:rFonts w:hint="eastAsia" w:ascii="宋体" w:hAnsi="宋体" w:cs="宋体"/>
                <w:sz w:val="24"/>
                <w:szCs w:val="24"/>
              </w:rPr>
              <w:t>2、免费保修时间以年为单位（四舍五入法，6个月及以上按1年计算），以3年为起点，基本分1分，每增加1年，加1分，满分5分。3年以下的不得分。</w:t>
            </w:r>
          </w:p>
          <w:p>
            <w:pPr>
              <w:spacing w:line="360" w:lineRule="auto"/>
              <w:rPr>
                <w:rFonts w:ascii="宋体" w:hAnsi="宋体" w:cs="宋体"/>
                <w:sz w:val="24"/>
                <w:szCs w:val="24"/>
              </w:rPr>
            </w:pPr>
            <w:r>
              <w:rPr>
                <w:rFonts w:hint="eastAsia" w:ascii="宋体" w:hAnsi="宋体" w:cs="宋体"/>
                <w:sz w:val="24"/>
                <w:szCs w:val="24"/>
              </w:rPr>
              <w:t>3、针对投标人的售后服务方案进行评分，包括具体的售后服务内容、故障响应时间、响应方式、质保期时间、维保服务的相应配合方面，包含上述全部内容得4分，有且不全的得2分，没有不得分。</w:t>
            </w:r>
          </w:p>
          <w:p>
            <w:pPr>
              <w:widowControl/>
              <w:jc w:val="left"/>
              <w:rPr>
                <w:rFonts w:ascii="宋体" w:hAnsi="宋体" w:cs="宋体"/>
                <w:sz w:val="24"/>
                <w:szCs w:val="24"/>
              </w:rPr>
            </w:pPr>
            <w:r>
              <w:rPr>
                <w:rFonts w:hint="eastAsia" w:ascii="宋体" w:hAnsi="宋体"/>
                <w:sz w:val="24"/>
                <w:szCs w:val="24"/>
              </w:rPr>
              <w:t>4、有专职售后服务技术人员的，得3分。</w:t>
            </w:r>
          </w:p>
        </w:tc>
        <w:tc>
          <w:tcPr>
            <w:tcW w:w="928"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ascii="宋体" w:hAnsi="宋体" w:cs="宋体"/>
                <w:kern w:val="0"/>
                <w:sz w:val="24"/>
                <w:szCs w:val="24"/>
                <w:u w:val="single"/>
              </w:rPr>
            </w:pPr>
            <w:r>
              <w:rPr>
                <w:rFonts w:hint="eastAsia" w:ascii="宋体" w:hAnsi="宋体" w:cs="宋体"/>
                <w:kern w:val="0"/>
                <w:sz w:val="24"/>
                <w:szCs w:val="24"/>
              </w:rPr>
              <w:t>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trPr>
        <w:tc>
          <w:tcPr>
            <w:tcW w:w="8522" w:type="dxa"/>
            <w:gridSpan w:val="3"/>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ascii="宋体" w:hAnsi="宋体" w:cs="宋体"/>
                <w:kern w:val="0"/>
                <w:sz w:val="24"/>
                <w:szCs w:val="24"/>
              </w:rPr>
            </w:pPr>
            <w:r>
              <w:rPr>
                <w:rFonts w:hint="eastAsia" w:ascii="宋体" w:hAnsi="宋体" w:cs="宋体"/>
                <w:b/>
                <w:kern w:val="0"/>
                <w:sz w:val="24"/>
                <w:szCs w:val="24"/>
              </w:rPr>
              <w:t>三、技术部分（满分</w:t>
            </w:r>
            <w:r>
              <w:rPr>
                <w:rFonts w:hint="eastAsia" w:ascii="宋体" w:hAnsi="宋体" w:cs="宋体"/>
                <w:b/>
                <w:kern w:val="0"/>
                <w:sz w:val="24"/>
                <w:szCs w:val="24"/>
                <w:u w:val="single"/>
              </w:rPr>
              <w:t>10</w:t>
            </w:r>
            <w:r>
              <w:rPr>
                <w:rFonts w:hint="eastAsia" w:ascii="宋体" w:hAnsi="宋体" w:cs="宋体"/>
                <w:b/>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948"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ascii="宋体" w:hAnsi="宋体" w:cs="宋体"/>
                <w:kern w:val="0"/>
                <w:sz w:val="24"/>
                <w:szCs w:val="24"/>
              </w:rPr>
            </w:pPr>
            <w:r>
              <w:rPr>
                <w:rFonts w:hint="eastAsia" w:ascii="宋体" w:hAnsi="宋体" w:cs="宋体"/>
                <w:b/>
                <w:kern w:val="0"/>
                <w:sz w:val="24"/>
                <w:szCs w:val="24"/>
              </w:rPr>
              <w:t>评分因素</w:t>
            </w:r>
          </w:p>
        </w:tc>
        <w:tc>
          <w:tcPr>
            <w:tcW w:w="5646"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ascii="宋体" w:hAnsi="宋体" w:cs="宋体"/>
                <w:kern w:val="0"/>
                <w:sz w:val="24"/>
                <w:szCs w:val="24"/>
              </w:rPr>
            </w:pPr>
            <w:r>
              <w:rPr>
                <w:rFonts w:hint="eastAsia" w:ascii="宋体" w:hAnsi="宋体" w:cs="宋体"/>
                <w:b/>
                <w:kern w:val="0"/>
                <w:sz w:val="24"/>
                <w:szCs w:val="24"/>
              </w:rPr>
              <w:t>评分标准</w:t>
            </w:r>
          </w:p>
        </w:tc>
        <w:tc>
          <w:tcPr>
            <w:tcW w:w="928"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ascii="宋体" w:hAnsi="宋体" w:cs="宋体"/>
                <w:kern w:val="0"/>
                <w:sz w:val="24"/>
                <w:szCs w:val="24"/>
              </w:rPr>
            </w:pPr>
            <w:r>
              <w:rPr>
                <w:rFonts w:hint="eastAsia" w:ascii="宋体" w:hAnsi="宋体" w:cs="宋体"/>
                <w:b/>
                <w:kern w:val="0"/>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0" w:hRule="atLeast"/>
        </w:trPr>
        <w:tc>
          <w:tcPr>
            <w:tcW w:w="1948"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ascii="宋体" w:hAnsi="宋体" w:cs="宋体"/>
                <w:sz w:val="24"/>
                <w:szCs w:val="28"/>
              </w:rPr>
            </w:pPr>
            <w:r>
              <w:rPr>
                <w:rFonts w:hint="eastAsia" w:ascii="宋体" w:hAnsi="宋体" w:cs="宋体"/>
                <w:sz w:val="24"/>
                <w:szCs w:val="28"/>
              </w:rPr>
              <w:t>产品技术性能</w:t>
            </w:r>
          </w:p>
          <w:p>
            <w:pPr>
              <w:widowControl/>
              <w:spacing w:line="330" w:lineRule="atLeast"/>
              <w:jc w:val="center"/>
              <w:rPr>
                <w:rFonts w:ascii="宋体" w:hAnsi="宋体" w:cs="宋体"/>
                <w:kern w:val="0"/>
                <w:sz w:val="24"/>
                <w:szCs w:val="24"/>
              </w:rPr>
            </w:pPr>
            <w:r>
              <w:rPr>
                <w:rFonts w:hint="eastAsia" w:ascii="宋体" w:hAnsi="宋体" w:cs="宋体"/>
                <w:sz w:val="24"/>
                <w:szCs w:val="28"/>
              </w:rPr>
              <w:t>和功能</w:t>
            </w:r>
          </w:p>
        </w:tc>
        <w:tc>
          <w:tcPr>
            <w:tcW w:w="5646" w:type="dxa"/>
            <w:tcBorders>
              <w:top w:val="single" w:color="auto" w:sz="4" w:space="0"/>
              <w:left w:val="single" w:color="auto" w:sz="4" w:space="0"/>
              <w:right w:val="single" w:color="auto" w:sz="4" w:space="0"/>
            </w:tcBorders>
            <w:vAlign w:val="center"/>
          </w:tcPr>
          <w:p>
            <w:pPr>
              <w:numPr>
                <w:ilvl w:val="0"/>
                <w:numId w:val="7"/>
              </w:numPr>
              <w:rPr>
                <w:rFonts w:ascii="宋体" w:hAnsi="宋体"/>
                <w:sz w:val="24"/>
                <w:szCs w:val="24"/>
              </w:rPr>
            </w:pPr>
            <w:r>
              <w:rPr>
                <w:rFonts w:hint="eastAsia" w:ascii="宋体" w:hAnsi="宋体"/>
                <w:sz w:val="24"/>
                <w:szCs w:val="24"/>
              </w:rPr>
              <w:t>提供所投产品</w:t>
            </w:r>
            <w:r>
              <w:rPr>
                <w:rFonts w:hint="eastAsia" w:ascii="宋体" w:hAnsi="宋体" w:cs="宋体"/>
                <w:bCs/>
                <w:sz w:val="24"/>
              </w:rPr>
              <w:t>（项目需求中序号1-13）</w:t>
            </w:r>
            <w:r>
              <w:rPr>
                <w:rFonts w:hint="eastAsia" w:ascii="宋体" w:hAnsi="宋体"/>
                <w:sz w:val="24"/>
                <w:szCs w:val="24"/>
              </w:rPr>
              <w:t>质量监督检验中心出具的所投产品检验报告，每提供一份得2分，共计10分。提供相应的证书复印件加盖生产厂家公章。</w:t>
            </w:r>
          </w:p>
        </w:tc>
        <w:tc>
          <w:tcPr>
            <w:tcW w:w="928" w:type="dxa"/>
            <w:tcBorders>
              <w:top w:val="single" w:color="auto" w:sz="4" w:space="0"/>
              <w:left w:val="single" w:color="auto" w:sz="4" w:space="0"/>
              <w:right w:val="single" w:color="auto" w:sz="4" w:space="0"/>
            </w:tcBorders>
            <w:vAlign w:val="center"/>
          </w:tcPr>
          <w:p>
            <w:pPr>
              <w:widowControl/>
              <w:spacing w:line="330" w:lineRule="atLeast"/>
              <w:jc w:val="center"/>
              <w:rPr>
                <w:rFonts w:ascii="宋体" w:hAnsi="宋体" w:cs="宋体"/>
                <w:kern w:val="0"/>
                <w:sz w:val="24"/>
                <w:szCs w:val="24"/>
              </w:rPr>
            </w:pPr>
            <w:r>
              <w:rPr>
                <w:rFonts w:hint="eastAsia" w:ascii="宋体" w:hAnsi="宋体" w:cs="宋体"/>
                <w:kern w:val="0"/>
                <w:sz w:val="24"/>
                <w:szCs w:val="24"/>
              </w:rPr>
              <w:t>10分</w:t>
            </w:r>
          </w:p>
        </w:tc>
      </w:tr>
    </w:tbl>
    <w:p>
      <w:pPr>
        <w:pStyle w:val="13"/>
        <w:spacing w:line="360" w:lineRule="auto"/>
        <w:ind w:firstLine="482" w:firstLineChars="200"/>
        <w:contextualSpacing/>
        <w:rPr>
          <w:rFonts w:cs="仿宋_GB2312" w:asciiTheme="minorEastAsia" w:hAnsiTheme="minorEastAsia" w:eastAsiaTheme="minorEastAsia"/>
          <w:b/>
          <w:szCs w:val="24"/>
          <w:lang w:val="zh-CN"/>
        </w:rPr>
      </w:pPr>
    </w:p>
    <w:p>
      <w:pPr>
        <w:spacing w:line="360" w:lineRule="auto"/>
        <w:ind w:firstLine="482" w:firstLineChars="200"/>
        <w:rPr>
          <w:rFonts w:cs="仿宋_GB2312" w:asciiTheme="minorEastAsia" w:hAnsiTheme="minorEastAsia"/>
          <w:b/>
          <w:sz w:val="24"/>
          <w:szCs w:val="24"/>
          <w:lang w:val="zh-CN"/>
        </w:rPr>
      </w:pPr>
      <w:r>
        <w:rPr>
          <w:rFonts w:hint="eastAsia" w:cs="仿宋_GB2312" w:asciiTheme="minorEastAsia" w:hAnsiTheme="minorEastAsia"/>
          <w:b/>
          <w:sz w:val="24"/>
          <w:szCs w:val="24"/>
          <w:lang w:val="zh-CN"/>
        </w:rPr>
        <w:t>其中：价格分计算（落实政府采购政策价格调整部分）</w:t>
      </w:r>
    </w:p>
    <w:tbl>
      <w:tblPr>
        <w:tblStyle w:val="24"/>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序号</w:t>
            </w:r>
          </w:p>
        </w:tc>
        <w:tc>
          <w:tcPr>
            <w:tcW w:w="2823"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情形</w:t>
            </w:r>
          </w:p>
        </w:tc>
        <w:tc>
          <w:tcPr>
            <w:tcW w:w="2552" w:type="dxa"/>
            <w:vAlign w:val="center"/>
          </w:tcPr>
          <w:p>
            <w:pPr>
              <w:jc w:val="center"/>
              <w:rPr>
                <w:rFonts w:ascii="宋体" w:hAnsi="宋体"/>
                <w:b/>
                <w:color w:val="000000"/>
                <w:sz w:val="24"/>
                <w:szCs w:val="24"/>
                <w:lang w:val="en-GB"/>
              </w:rPr>
            </w:pPr>
            <w:r>
              <w:rPr>
                <w:rFonts w:hint="eastAsia" w:ascii="宋体" w:hAnsi="宋体"/>
                <w:b/>
                <w:color w:val="000000"/>
                <w:sz w:val="24"/>
                <w:szCs w:val="24"/>
              </w:rPr>
              <w:t>价格扣除</w:t>
            </w:r>
            <w:r>
              <w:rPr>
                <w:rFonts w:hint="eastAsia" w:ascii="宋体" w:hAnsi="宋体"/>
                <w:b/>
                <w:color w:val="000000"/>
                <w:sz w:val="24"/>
                <w:szCs w:val="24"/>
                <w:lang w:val="en-GB"/>
              </w:rPr>
              <w:t>比例</w:t>
            </w:r>
          </w:p>
        </w:tc>
        <w:tc>
          <w:tcPr>
            <w:tcW w:w="2835"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1</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非联合体投标人</w:t>
            </w:r>
          </w:p>
          <w:p>
            <w:pPr>
              <w:jc w:val="center"/>
              <w:rPr>
                <w:rFonts w:ascii="宋体" w:hAnsi="宋体"/>
                <w:b/>
                <w:color w:val="000000"/>
                <w:sz w:val="24"/>
                <w:szCs w:val="24"/>
                <w:lang w:val="en-GB"/>
              </w:rPr>
            </w:pPr>
            <w:r>
              <w:rPr>
                <w:rFonts w:hint="eastAsia" w:ascii="宋体" w:hAnsi="宋体"/>
                <w:color w:val="000000"/>
                <w:sz w:val="24"/>
                <w:szCs w:val="24"/>
                <w:lang w:val="en-GB"/>
              </w:rPr>
              <w:t>（投标人须为中小企业）</w:t>
            </w:r>
          </w:p>
        </w:tc>
        <w:tc>
          <w:tcPr>
            <w:tcW w:w="2552" w:type="dxa"/>
            <w:vAlign w:val="center"/>
          </w:tcPr>
          <w:p>
            <w:pPr>
              <w:jc w:val="center"/>
              <w:rPr>
                <w:rFonts w:ascii="宋体" w:hAnsi="宋体"/>
                <w:b/>
                <w:sz w:val="24"/>
                <w:szCs w:val="24"/>
                <w:lang w:val="en-GB"/>
              </w:rPr>
            </w:pPr>
            <w:r>
              <w:rPr>
                <w:rFonts w:hint="eastAsia" w:ascii="宋体" w:hAnsi="宋体"/>
                <w:color w:val="000000"/>
                <w:sz w:val="24"/>
                <w:szCs w:val="24"/>
              </w:rPr>
              <w:t>对小型和微型企业产品的价格扣除</w:t>
            </w:r>
            <w:r>
              <w:rPr>
                <w:rFonts w:ascii="宋体" w:hAnsi="宋体"/>
                <w:sz w:val="24"/>
                <w:szCs w:val="24"/>
                <w:u w:val="single"/>
              </w:rPr>
              <w:t>6</w:t>
            </w:r>
            <w:r>
              <w:rPr>
                <w:rFonts w:hint="eastAsia" w:ascii="宋体" w:hAnsi="宋体"/>
                <w:sz w:val="24"/>
                <w:szCs w:val="24"/>
              </w:rPr>
              <w:t>%</w:t>
            </w:r>
          </w:p>
        </w:tc>
        <w:tc>
          <w:tcPr>
            <w:tcW w:w="2835" w:type="dxa"/>
            <w:vMerge w:val="restart"/>
            <w:shd w:val="clear" w:color="auto" w:fill="auto"/>
            <w:vAlign w:val="center"/>
          </w:tcPr>
          <w:p>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小型和微型企业产品的价格</w:t>
            </w:r>
            <w:r>
              <w:rPr>
                <w:rFonts w:hint="eastAsia" w:ascii="宋体" w:hAnsi="宋体"/>
                <w:color w:val="000000"/>
                <w:sz w:val="24"/>
                <w:szCs w:val="24"/>
                <w:lang w:val="en-GB"/>
              </w:rPr>
              <w:t>×</w:t>
            </w:r>
            <w:r>
              <w:rPr>
                <w:rFonts w:hint="eastAsia"/>
                <w:color w:val="000000"/>
                <w:sz w:val="24"/>
                <w:szCs w:val="24"/>
                <w:lang w:val="en-GB"/>
              </w:rPr>
              <w:t>6%</w:t>
            </w:r>
          </w:p>
          <w:p>
            <w:pPr>
              <w:jc w:val="center"/>
              <w:rPr>
                <w:rFonts w:ascii="宋体" w:hAnsi="宋体"/>
                <w:b/>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2</w:t>
            </w:r>
          </w:p>
        </w:tc>
        <w:tc>
          <w:tcPr>
            <w:tcW w:w="2823" w:type="dxa"/>
            <w:vAlign w:val="center"/>
          </w:tcPr>
          <w:p>
            <w:pPr>
              <w:jc w:val="center"/>
              <w:rPr>
                <w:rFonts w:ascii="宋体" w:hAnsi="宋体"/>
                <w:b/>
                <w:color w:val="000000"/>
                <w:sz w:val="24"/>
                <w:szCs w:val="24"/>
              </w:rPr>
            </w:pPr>
            <w:r>
              <w:rPr>
                <w:rFonts w:hint="eastAsia" w:ascii="宋体" w:hAnsi="宋体"/>
                <w:color w:val="000000"/>
                <w:sz w:val="24"/>
                <w:szCs w:val="24"/>
                <w:lang w:val="en-GB"/>
              </w:rPr>
              <w:t>联合体各方均为小型、微型企业</w:t>
            </w:r>
          </w:p>
        </w:tc>
        <w:tc>
          <w:tcPr>
            <w:tcW w:w="2552" w:type="dxa"/>
            <w:vAlign w:val="center"/>
          </w:tcPr>
          <w:p>
            <w:pPr>
              <w:jc w:val="center"/>
              <w:rPr>
                <w:rFonts w:ascii="宋体" w:hAnsi="宋体"/>
                <w:sz w:val="24"/>
                <w:szCs w:val="24"/>
              </w:rPr>
            </w:pPr>
            <w:r>
              <w:rPr>
                <w:rFonts w:hint="eastAsia" w:ascii="宋体" w:hAnsi="宋体"/>
                <w:color w:val="000000"/>
                <w:sz w:val="24"/>
                <w:szCs w:val="24"/>
              </w:rPr>
              <w:t>对小型和微型企业产品的价格扣除</w:t>
            </w:r>
            <w:r>
              <w:rPr>
                <w:rFonts w:ascii="宋体" w:hAnsi="宋体"/>
                <w:sz w:val="24"/>
                <w:szCs w:val="24"/>
                <w:u w:val="single"/>
              </w:rPr>
              <w:t>6</w:t>
            </w:r>
            <w:r>
              <w:rPr>
                <w:rFonts w:hint="eastAsia" w:ascii="宋体" w:hAnsi="宋体"/>
                <w:sz w:val="24"/>
                <w:szCs w:val="24"/>
              </w:rPr>
              <w:t>%</w:t>
            </w:r>
          </w:p>
          <w:p>
            <w:pPr>
              <w:jc w:val="center"/>
              <w:rPr>
                <w:rFonts w:ascii="宋体" w:hAnsi="宋体"/>
                <w:b/>
                <w:sz w:val="24"/>
                <w:szCs w:val="24"/>
                <w:lang w:val="en-GB"/>
              </w:rPr>
            </w:pPr>
            <w:r>
              <w:rPr>
                <w:rFonts w:hint="eastAsia" w:ascii="宋体" w:hAnsi="宋体"/>
                <w:sz w:val="24"/>
                <w:szCs w:val="24"/>
              </w:rPr>
              <w:t>（不再享受序号3的价格折扣）</w:t>
            </w:r>
          </w:p>
        </w:tc>
        <w:tc>
          <w:tcPr>
            <w:tcW w:w="2835" w:type="dxa"/>
            <w:vMerge w:val="continue"/>
            <w:shd w:val="clear" w:color="auto" w:fill="auto"/>
          </w:tcPr>
          <w:p>
            <w:pPr>
              <w:rPr>
                <w:rFonts w:ascii="宋体" w:hAnsi="宋体"/>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3</w:t>
            </w:r>
          </w:p>
        </w:tc>
        <w:tc>
          <w:tcPr>
            <w:tcW w:w="2823" w:type="dxa"/>
            <w:vAlign w:val="center"/>
          </w:tcPr>
          <w:p>
            <w:pPr>
              <w:jc w:val="center"/>
              <w:rPr>
                <w:rFonts w:ascii="宋体" w:hAnsi="宋体"/>
                <w:b/>
                <w:color w:val="000000"/>
                <w:sz w:val="24"/>
                <w:szCs w:val="24"/>
                <w:lang w:val="en-GB"/>
              </w:rPr>
            </w:pPr>
            <w:r>
              <w:rPr>
                <w:rFonts w:hint="eastAsia" w:ascii="宋体" w:hAnsi="宋体"/>
                <w:color w:val="000000"/>
                <w:sz w:val="24"/>
                <w:szCs w:val="24"/>
                <w:lang w:val="en-GB"/>
              </w:rPr>
              <w:t>联合体一方为小型、微型企业且小型、微型企业协议合同金额占联合体协议合同总金额30%以上的</w:t>
            </w:r>
          </w:p>
        </w:tc>
        <w:tc>
          <w:tcPr>
            <w:tcW w:w="2552"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对联合体总金额扣除</w:t>
            </w:r>
          </w:p>
          <w:p>
            <w:pPr>
              <w:jc w:val="center"/>
              <w:rPr>
                <w:rFonts w:ascii="宋体" w:hAnsi="宋体"/>
                <w:b/>
                <w:sz w:val="24"/>
                <w:szCs w:val="24"/>
                <w:lang w:val="en-GB"/>
              </w:rPr>
            </w:pPr>
            <w:r>
              <w:rPr>
                <w:rFonts w:ascii="宋体" w:hAnsi="宋体"/>
                <w:sz w:val="24"/>
                <w:szCs w:val="24"/>
                <w:u w:val="single"/>
              </w:rPr>
              <w:t>2</w:t>
            </w:r>
            <w:r>
              <w:rPr>
                <w:rFonts w:hint="eastAsia" w:ascii="宋体" w:hAnsi="宋体"/>
                <w:sz w:val="24"/>
                <w:szCs w:val="24"/>
              </w:rPr>
              <w:t>%</w:t>
            </w:r>
          </w:p>
        </w:tc>
        <w:tc>
          <w:tcPr>
            <w:tcW w:w="2835" w:type="dxa"/>
            <w:shd w:val="clear" w:color="auto" w:fill="auto"/>
            <w:vAlign w:val="center"/>
          </w:tcPr>
          <w:p>
            <w:pPr>
              <w:jc w:val="center"/>
              <w:rPr>
                <w:rFonts w:ascii="宋体" w:hAnsi="宋体"/>
                <w:color w:val="FF0000"/>
                <w:sz w:val="24"/>
                <w:szCs w:val="24"/>
                <w:u w:val="single"/>
              </w:rPr>
            </w:pPr>
            <w:r>
              <w:rPr>
                <w:rFonts w:hint="eastAsia" w:ascii="宋体" w:hAnsi="宋体"/>
                <w:color w:val="000000"/>
                <w:sz w:val="24"/>
                <w:szCs w:val="24"/>
                <w:lang w:val="en-GB"/>
              </w:rPr>
              <w:t>评标价格＝投标报价×</w:t>
            </w:r>
            <w:r>
              <w:rPr>
                <w:rFonts w:hint="eastAsia" w:ascii="宋体" w:hAnsi="宋体"/>
                <w:color w:val="000000" w:themeColor="text1"/>
                <w:sz w:val="24"/>
                <w:szCs w:val="24"/>
              </w:rPr>
              <w:t>(1-</w:t>
            </w:r>
            <w:r>
              <w:rPr>
                <w:rFonts w:ascii="宋体" w:hAnsi="宋体"/>
                <w:color w:val="000000" w:themeColor="text1"/>
                <w:sz w:val="24"/>
                <w:szCs w:val="24"/>
                <w:u w:val="single"/>
              </w:rPr>
              <w:t>2</w:t>
            </w:r>
            <w:r>
              <w:rPr>
                <w:rFonts w:hint="eastAsia" w:ascii="宋体" w:hAnsi="宋体"/>
                <w:color w:val="000000" w:themeColor="text1"/>
                <w:sz w:val="24"/>
                <w:szCs w:val="24"/>
                <w:u w:val="single"/>
              </w:rPr>
              <w:t>%)</w:t>
            </w:r>
          </w:p>
          <w:p>
            <w:pPr>
              <w:jc w:val="center"/>
              <w:rPr>
                <w:rFonts w:ascii="宋体" w:hAnsi="宋体"/>
                <w:b/>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4</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监狱企业</w:t>
            </w:r>
          </w:p>
        </w:tc>
        <w:tc>
          <w:tcPr>
            <w:tcW w:w="2552"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视同小型、微型企业</w:t>
            </w:r>
          </w:p>
          <w:p>
            <w:pPr>
              <w:jc w:val="center"/>
              <w:rPr>
                <w:rFonts w:ascii="宋体" w:hAnsi="宋体"/>
                <w:color w:val="000000"/>
                <w:sz w:val="24"/>
                <w:szCs w:val="24"/>
                <w:lang w:val="en-GB"/>
              </w:rPr>
            </w:pPr>
            <w:r>
              <w:rPr>
                <w:rFonts w:hint="eastAsia" w:ascii="宋体" w:hAnsi="宋体"/>
                <w:color w:val="000000"/>
                <w:sz w:val="24"/>
                <w:szCs w:val="24"/>
                <w:lang w:val="en-GB"/>
              </w:rPr>
              <w:t>对监狱企业产品价格扣除</w:t>
            </w:r>
            <w:r>
              <w:rPr>
                <w:rFonts w:ascii="宋体" w:hAnsi="宋体"/>
                <w:sz w:val="24"/>
                <w:szCs w:val="24"/>
                <w:u w:val="single"/>
              </w:rPr>
              <w:t>6</w:t>
            </w:r>
            <w:r>
              <w:rPr>
                <w:rFonts w:hint="eastAsia" w:ascii="宋体" w:hAnsi="宋体"/>
                <w:sz w:val="24"/>
                <w:szCs w:val="24"/>
              </w:rPr>
              <w:t>%</w:t>
            </w:r>
          </w:p>
        </w:tc>
        <w:tc>
          <w:tcPr>
            <w:tcW w:w="2835" w:type="dxa"/>
            <w:shd w:val="clear" w:color="auto" w:fill="auto"/>
            <w:vAlign w:val="center"/>
          </w:tcPr>
          <w:p>
            <w:pPr>
              <w:jc w:val="center"/>
              <w:rPr>
                <w:rFonts w:ascii="宋体" w:hAnsi="宋体"/>
                <w:color w:val="000000"/>
                <w:sz w:val="24"/>
                <w:szCs w:val="24"/>
                <w:lang w:val="en-GB"/>
              </w:rPr>
            </w:pPr>
            <w:r>
              <w:rPr>
                <w:rFonts w:hint="eastAsia"/>
                <w:color w:val="000000"/>
                <w:sz w:val="24"/>
                <w:szCs w:val="24"/>
                <w:lang w:val="en-GB"/>
              </w:rPr>
              <w:t>评标价格＝投标报价—</w:t>
            </w:r>
            <w:r>
              <w:rPr>
                <w:rFonts w:hint="eastAsia"/>
                <w:color w:val="000000"/>
                <w:sz w:val="24"/>
                <w:szCs w:val="24"/>
              </w:rPr>
              <w:t>监狱企业产品的价格</w:t>
            </w:r>
            <w:r>
              <w:rPr>
                <w:rFonts w:hint="eastAsia" w:ascii="宋体" w:hAnsi="宋体"/>
                <w:color w:val="000000"/>
                <w:sz w:val="24"/>
                <w:szCs w:val="24"/>
                <w:lang w:val="en-GB"/>
              </w:rPr>
              <w:t>×</w:t>
            </w:r>
            <w:r>
              <w:rPr>
                <w:rFonts w:hint="eastAsia"/>
                <w:color w:val="000000"/>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5</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残疾人福利性单位</w:t>
            </w:r>
          </w:p>
        </w:tc>
        <w:tc>
          <w:tcPr>
            <w:tcW w:w="2552"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视同小型、微型企业</w:t>
            </w:r>
          </w:p>
          <w:p>
            <w:pPr>
              <w:jc w:val="center"/>
              <w:rPr>
                <w:rFonts w:ascii="宋体" w:hAnsi="宋体"/>
                <w:color w:val="000000"/>
                <w:sz w:val="24"/>
                <w:szCs w:val="24"/>
                <w:lang w:val="en-GB"/>
              </w:rPr>
            </w:pPr>
            <w:r>
              <w:rPr>
                <w:rFonts w:hint="eastAsia" w:ascii="宋体" w:hAnsi="宋体"/>
                <w:color w:val="000000"/>
                <w:sz w:val="24"/>
                <w:szCs w:val="24"/>
                <w:lang w:val="en-GB"/>
              </w:rPr>
              <w:t>对残疾人福利性单位产品价格扣除</w:t>
            </w:r>
            <w:r>
              <w:rPr>
                <w:rFonts w:ascii="宋体" w:hAnsi="宋体"/>
                <w:sz w:val="24"/>
                <w:szCs w:val="24"/>
                <w:u w:val="single"/>
              </w:rPr>
              <w:t>6</w:t>
            </w:r>
            <w:r>
              <w:rPr>
                <w:rFonts w:hint="eastAsia" w:ascii="宋体" w:hAnsi="宋体"/>
                <w:sz w:val="24"/>
                <w:szCs w:val="24"/>
              </w:rPr>
              <w:t>%</w:t>
            </w:r>
          </w:p>
        </w:tc>
        <w:tc>
          <w:tcPr>
            <w:tcW w:w="2835" w:type="dxa"/>
            <w:shd w:val="clear" w:color="auto" w:fill="auto"/>
            <w:vAlign w:val="center"/>
          </w:tcPr>
          <w:p>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残疾人福利性单位产品的价格</w:t>
            </w:r>
            <w:r>
              <w:rPr>
                <w:rFonts w:hint="eastAsia" w:ascii="宋体" w:hAnsi="宋体"/>
                <w:color w:val="000000"/>
                <w:sz w:val="24"/>
                <w:szCs w:val="24"/>
                <w:lang w:val="en-GB"/>
              </w:rPr>
              <w:t>×</w:t>
            </w:r>
            <w:r>
              <w:rPr>
                <w:rFonts w:hint="eastAsia"/>
                <w:color w:val="000000"/>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2" w:hRule="atLeast"/>
        </w:trPr>
        <w:tc>
          <w:tcPr>
            <w:tcW w:w="8931" w:type="dxa"/>
            <w:gridSpan w:val="4"/>
            <w:vAlign w:val="center"/>
          </w:tcPr>
          <w:p>
            <w:pPr>
              <w:widowControl/>
              <w:adjustRightInd w:val="0"/>
              <w:spacing w:line="360" w:lineRule="auto"/>
              <w:ind w:left="-2" w:leftChars="-1" w:firstLine="480" w:firstLineChars="200"/>
              <w:jc w:val="left"/>
              <w:rPr>
                <w:rFonts w:cs="仿宋_GB2312" w:asciiTheme="minorEastAsia" w:hAnsiTheme="minorEastAsia"/>
                <w:sz w:val="24"/>
                <w:szCs w:val="24"/>
                <w:lang w:val="zh-CN"/>
              </w:rPr>
            </w:pPr>
            <w:r>
              <w:rPr>
                <w:rFonts w:hint="eastAsia" w:cs="仿宋_GB2312" w:asciiTheme="minorEastAsia" w:hAnsiTheme="minorEastAsia"/>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360" w:lineRule="auto"/>
              <w:ind w:left="-2" w:leftChars="-1" w:firstLine="480" w:firstLineChars="200"/>
              <w:jc w:val="left"/>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cs="仿宋_GB2312" w:asciiTheme="minorEastAsia" w:hAnsiTheme="minorEastAsia"/>
                <w:sz w:val="24"/>
                <w:szCs w:val="24"/>
                <w:lang w:val="zh-CN"/>
              </w:rPr>
              <w:t>经评标委员会</w:t>
            </w:r>
            <w:r>
              <w:rPr>
                <w:rFonts w:hint="eastAsia" w:cs="仿宋_GB2312" w:asciiTheme="minorEastAsia" w:hAnsiTheme="minorEastAsia"/>
                <w:sz w:val="24"/>
                <w:szCs w:val="24"/>
                <w:lang w:val="zh-CN"/>
              </w:rPr>
              <w:t>审查、评价</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投标文件符合</w:t>
            </w:r>
            <w:r>
              <w:rPr>
                <w:rFonts w:cs="仿宋_GB2312" w:asciiTheme="minorEastAsia" w:hAnsiTheme="minorEastAsia"/>
                <w:sz w:val="24"/>
                <w:szCs w:val="24"/>
                <w:lang w:val="zh-CN"/>
              </w:rPr>
              <w:t>招标文件</w:t>
            </w:r>
            <w:r>
              <w:rPr>
                <w:rFonts w:hint="eastAsia" w:cs="仿宋_GB2312" w:asciiTheme="minorEastAsia" w:hAnsiTheme="minorEastAsia"/>
                <w:sz w:val="24"/>
                <w:szCs w:val="24"/>
                <w:lang w:val="zh-CN"/>
              </w:rPr>
              <w:t>实质性</w:t>
            </w:r>
            <w:r>
              <w:rPr>
                <w:rFonts w:cs="仿宋_GB2312" w:asciiTheme="minorEastAsia" w:hAnsiTheme="minorEastAsia"/>
                <w:sz w:val="24"/>
                <w:szCs w:val="24"/>
                <w:lang w:val="zh-CN"/>
              </w:rPr>
              <w:t>要求且</w:t>
            </w:r>
            <w:r>
              <w:rPr>
                <w:rFonts w:hint="eastAsia" w:cs="仿宋_GB2312" w:asciiTheme="minorEastAsia" w:hAnsiTheme="minorEastAsia"/>
                <w:sz w:val="24"/>
                <w:szCs w:val="24"/>
                <w:lang w:val="zh-CN"/>
              </w:rPr>
              <w:t>进行了政策性价格扣除后，</w:t>
            </w:r>
            <w:r>
              <w:rPr>
                <w:rFonts w:cs="仿宋_GB2312" w:asciiTheme="minorEastAsia" w:hAnsiTheme="minorEastAsia"/>
                <w:sz w:val="24"/>
                <w:szCs w:val="24"/>
                <w:lang w:val="zh-CN"/>
              </w:rPr>
              <w:t>以</w:t>
            </w:r>
            <w:r>
              <w:rPr>
                <w:rFonts w:hint="eastAsia" w:cs="仿宋_GB2312" w:asciiTheme="minorEastAsia" w:hAnsiTheme="minorEastAsia"/>
                <w:sz w:val="24"/>
                <w:szCs w:val="24"/>
                <w:lang w:val="zh-CN"/>
              </w:rPr>
              <w:t>评标价格的</w:t>
            </w:r>
            <w:r>
              <w:rPr>
                <w:rFonts w:cs="仿宋_GB2312" w:asciiTheme="minorEastAsia" w:hAnsiTheme="minorEastAsia"/>
                <w:sz w:val="24"/>
                <w:szCs w:val="24"/>
                <w:lang w:val="zh-CN"/>
              </w:rPr>
              <w:t>最低价者定为评标基准价，其价格分为满分。其他投标人的价格分统一按下列公式</w:t>
            </w:r>
            <w:r>
              <w:rPr>
                <w:rFonts w:hint="eastAsia" w:cs="仿宋_GB2312" w:asciiTheme="minorEastAsia" w:hAnsiTheme="minorEastAsia"/>
                <w:sz w:val="24"/>
                <w:szCs w:val="24"/>
                <w:lang w:val="zh-CN"/>
              </w:rPr>
              <w:t>计算</w:t>
            </w:r>
            <w:r>
              <w:rPr>
                <w:rFonts w:cs="仿宋_GB2312" w:asciiTheme="minorEastAsia" w:hAnsiTheme="minorEastAsia"/>
                <w:sz w:val="24"/>
                <w:szCs w:val="24"/>
                <w:lang w:val="zh-CN"/>
              </w:rPr>
              <w:t>。即：</w:t>
            </w:r>
          </w:p>
          <w:p>
            <w:pPr>
              <w:widowControl/>
              <w:adjustRightInd w:val="0"/>
              <w:spacing w:line="360" w:lineRule="auto"/>
              <w:ind w:left="-88" w:leftChars="-42" w:firstLine="513" w:firstLineChars="214"/>
              <w:jc w:val="left"/>
              <w:rPr>
                <w:rFonts w:cs="仿宋_GB2312" w:asciiTheme="minorEastAsia" w:hAnsiTheme="minorEastAsia"/>
                <w:sz w:val="24"/>
                <w:szCs w:val="24"/>
                <w:lang w:val="zh-CN"/>
              </w:rPr>
            </w:pPr>
            <w:r>
              <w:rPr>
                <w:rFonts w:cs="仿宋_GB2312" w:asciiTheme="minorEastAsia" w:hAnsiTheme="minorEastAsia"/>
                <w:sz w:val="24"/>
                <w:szCs w:val="24"/>
                <w:lang w:val="zh-CN"/>
              </w:rPr>
              <w:t>评标基准价</w:t>
            </w:r>
            <w:r>
              <w:rPr>
                <w:rFonts w:hint="eastAsia" w:cs="仿宋_GB2312" w:asciiTheme="minorEastAsia" w:hAnsiTheme="minorEastAsia"/>
                <w:sz w:val="24"/>
                <w:szCs w:val="24"/>
                <w:lang w:val="zh-CN"/>
              </w:rPr>
              <w:t>=评标价格的最低价</w:t>
            </w:r>
          </w:p>
          <w:p>
            <w:pPr>
              <w:adjustRightInd w:val="0"/>
              <w:spacing w:line="360" w:lineRule="auto"/>
              <w:ind w:left="-88" w:leftChars="-42" w:firstLine="513" w:firstLineChars="214"/>
              <w:jc w:val="left"/>
              <w:rPr>
                <w:rFonts w:cs="仿宋_GB2312" w:asciiTheme="minorEastAsia" w:hAnsiTheme="minorEastAsia"/>
                <w:sz w:val="24"/>
                <w:szCs w:val="24"/>
                <w:lang w:val="zh-CN"/>
              </w:rPr>
            </w:pPr>
            <w:r>
              <w:rPr>
                <w:rFonts w:cs="仿宋_GB2312" w:asciiTheme="minorEastAsia" w:hAnsiTheme="minorEastAsia"/>
                <w:sz w:val="24"/>
                <w:szCs w:val="24"/>
                <w:lang w:val="zh-CN"/>
              </w:rPr>
              <w:t>其他投标报价得分</w:t>
            </w:r>
            <w:r>
              <w:rPr>
                <w:rFonts w:hint="eastAsia" w:cs="仿宋_GB2312" w:asciiTheme="minorEastAsia" w:hAnsiTheme="minorEastAsia"/>
                <w:sz w:val="24"/>
                <w:szCs w:val="24"/>
                <w:lang w:val="zh-CN"/>
              </w:rPr>
              <w:t>=（</w:t>
            </w:r>
            <w:r>
              <w:rPr>
                <w:rFonts w:cs="仿宋_GB2312" w:asciiTheme="minorEastAsia" w:hAnsiTheme="minorEastAsia"/>
                <w:sz w:val="24"/>
                <w:szCs w:val="24"/>
                <w:lang w:val="zh-CN"/>
              </w:rPr>
              <w:t>评标基准价</w:t>
            </w:r>
            <w:r>
              <w:rPr>
                <w:rFonts w:hint="eastAsia" w:cs="仿宋_GB2312" w:asciiTheme="minorEastAsia" w:hAnsiTheme="minorEastAsia"/>
                <w:sz w:val="24"/>
                <w:szCs w:val="24"/>
                <w:lang w:val="zh-CN"/>
              </w:rPr>
              <w:t>/评标价格）</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评标标准中价格分值</w:t>
            </w:r>
          </w:p>
        </w:tc>
      </w:tr>
    </w:tbl>
    <w:p>
      <w:pPr>
        <w:spacing w:line="360" w:lineRule="auto"/>
        <w:rPr>
          <w:rFonts w:ascii="宋体" w:hAnsi="宋体"/>
          <w:bCs/>
          <w:color w:val="FF0000"/>
          <w:sz w:val="24"/>
          <w:szCs w:val="24"/>
          <w:lang w:val="en-GB"/>
        </w:rPr>
      </w:pPr>
      <w:r>
        <w:rPr>
          <w:rFonts w:hint="eastAsia" w:ascii="宋体" w:hAnsi="宋体"/>
          <w:bCs/>
          <w:color w:val="FF0000"/>
          <w:sz w:val="24"/>
          <w:szCs w:val="24"/>
          <w:lang w:val="en-GB"/>
        </w:rPr>
        <w:t>备注：</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a、不接受联合体投标的项目，本表中第2项、第3项情形不适用。</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b、小型和微型企业产品包括货物及其提供的服务与工程。</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c、中小企业、残疾人福利性单位提供其他企业制造的货物的，则该货物的制造商也必须为上述企业，否则不能享受价格优惠。</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d、残疾人福利性单位属于小型、微型企业的，不重复享受政策。</w:t>
      </w:r>
    </w:p>
    <w:p>
      <w:pPr>
        <w:pStyle w:val="13"/>
        <w:spacing w:line="360" w:lineRule="auto"/>
        <w:ind w:firstLine="482"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b/>
          <w:szCs w:val="24"/>
          <w:lang w:val="zh-CN"/>
        </w:rPr>
        <w:t>（7）</w:t>
      </w:r>
      <w:r>
        <w:rPr>
          <w:rFonts w:cs="仿宋_GB2312" w:asciiTheme="minorEastAsia" w:hAnsiTheme="minorEastAsia" w:eastAsiaTheme="minorEastAsia"/>
          <w:b/>
          <w:szCs w:val="24"/>
          <w:lang w:val="zh-CN"/>
        </w:rPr>
        <w:t>评标结果汇总完成后，除下列情形外，任何人不得修改评标结果：</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1） </w:t>
      </w:r>
      <w:r>
        <w:rPr>
          <w:rFonts w:cs="仿宋_GB2312" w:asciiTheme="minorEastAsia" w:hAnsiTheme="minorEastAsia"/>
          <w:sz w:val="24"/>
          <w:szCs w:val="24"/>
          <w:lang w:val="zh-CN"/>
        </w:rPr>
        <w:t>分值汇总计算错误的；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2） </w:t>
      </w:r>
      <w:r>
        <w:rPr>
          <w:rFonts w:cs="仿宋_GB2312" w:asciiTheme="minorEastAsia" w:hAnsiTheme="minorEastAsia"/>
          <w:sz w:val="24"/>
          <w:szCs w:val="24"/>
          <w:lang w:val="zh-CN"/>
        </w:rPr>
        <w:t>分项评分超出评分标准范围的；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 </w:t>
      </w:r>
      <w:r>
        <w:rPr>
          <w:rFonts w:cs="仿宋_GB2312" w:asciiTheme="minorEastAsia" w:hAnsiTheme="minorEastAsia"/>
          <w:sz w:val="24"/>
          <w:szCs w:val="24"/>
          <w:lang w:val="zh-CN"/>
        </w:rPr>
        <w:t>评标委员会成员对客观评审因素评分不一致的；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4） </w:t>
      </w:r>
      <w:r>
        <w:rPr>
          <w:rFonts w:cs="仿宋_GB2312" w:asciiTheme="minorEastAsia" w:hAnsiTheme="minorEastAsia"/>
          <w:sz w:val="24"/>
          <w:szCs w:val="24"/>
          <w:lang w:val="zh-CN"/>
        </w:rPr>
        <w:t>经评标委员会认定评分畸高、畸低的。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投标人对本条第一款情形提出质疑的，采购人或者采购代理机构可以组织原评标委员会进行重新评审，重新评审改变评标结果的，应当书面报告本级财政部门。</w:t>
      </w:r>
    </w:p>
    <w:p>
      <w:pPr>
        <w:tabs>
          <w:tab w:val="left" w:pos="1260"/>
        </w:tabs>
        <w:autoSpaceDE w:val="0"/>
        <w:autoSpaceDN w:val="0"/>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（8）</w:t>
      </w:r>
      <w:r>
        <w:rPr>
          <w:rFonts w:cs="仿宋_GB2312" w:asciiTheme="minorEastAsia" w:hAnsiTheme="minorEastAsia"/>
          <w:b/>
          <w:sz w:val="24"/>
          <w:szCs w:val="24"/>
          <w:lang w:val="zh-CN"/>
        </w:rPr>
        <w:t>评标委员会</w:t>
      </w:r>
      <w:r>
        <w:rPr>
          <w:rFonts w:hint="eastAsia" w:cs="仿宋_GB2312" w:asciiTheme="minorEastAsia" w:hAnsiTheme="minorEastAsia"/>
          <w:b/>
          <w:sz w:val="24"/>
          <w:szCs w:val="24"/>
          <w:lang w:val="zh-CN"/>
        </w:rPr>
        <w:t>争议处理</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4、</w:t>
      </w:r>
      <w:r>
        <w:rPr>
          <w:rFonts w:cs="仿宋_GB2312" w:asciiTheme="minorEastAsia" w:hAnsiTheme="minorEastAsia"/>
          <w:b/>
          <w:sz w:val="24"/>
          <w:szCs w:val="24"/>
          <w:lang w:val="zh-CN"/>
        </w:rPr>
        <w:t>确定中标候选人名单，以及根据采购人委托直接确定中标人</w:t>
      </w:r>
      <w:r>
        <w:rPr>
          <w:rFonts w:hint="eastAsia" w:cs="仿宋_GB2312" w:asciiTheme="minorEastAsia" w:hAnsiTheme="minorEastAsia"/>
          <w:b/>
          <w:sz w:val="24"/>
          <w:szCs w:val="24"/>
          <w:lang w:val="zh-CN"/>
        </w:rPr>
        <w:t>。</w:t>
      </w: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第七章合同条款及格式</w:t>
      </w:r>
    </w:p>
    <w:p>
      <w:pPr>
        <w:pStyle w:val="13"/>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 w:val="24"/>
          <w:szCs w:val="24"/>
        </w:rPr>
      </w:pPr>
      <w:r>
        <w:rPr>
          <w:rFonts w:hint="eastAsia" w:ascii="宋体" w:hAnsi="宋体" w:cs="微软雅黑"/>
          <w:b/>
          <w:bCs/>
          <w:sz w:val="24"/>
          <w:szCs w:val="24"/>
        </w:rPr>
        <w:t>（此合同仅供参考。以最终采购人与中标人签定的合同条款为准进行公示，</w:t>
      </w:r>
    </w:p>
    <w:p>
      <w:pPr>
        <w:spacing w:line="360" w:lineRule="auto"/>
        <w:jc w:val="center"/>
        <w:rPr>
          <w:rFonts w:ascii="宋体" w:hAnsi="宋体" w:cs="微软雅黑"/>
          <w:b/>
          <w:bCs/>
          <w:sz w:val="24"/>
          <w:szCs w:val="24"/>
        </w:rPr>
      </w:pPr>
      <w:r>
        <w:rPr>
          <w:rFonts w:hint="eastAsia" w:ascii="宋体" w:hAnsi="宋体" w:cs="微软雅黑"/>
          <w:b/>
          <w:bCs/>
          <w:sz w:val="24"/>
          <w:szCs w:val="24"/>
        </w:rPr>
        <w:t>最终签定合同的主要条款不能与招标文件有冲突）</w:t>
      </w:r>
    </w:p>
    <w:p>
      <w:pPr>
        <w:wordWrap w:val="0"/>
        <w:topLinePunct/>
        <w:autoSpaceDE w:val="0"/>
        <w:autoSpaceDN w:val="0"/>
        <w:adjustRightInd w:val="0"/>
        <w:snapToGrid w:val="0"/>
        <w:spacing w:line="360" w:lineRule="auto"/>
        <w:ind w:firstLine="480"/>
        <w:rPr>
          <w:rFonts w:ascii="宋体" w:hAnsi="宋体" w:eastAsia="宋体" w:cs="宋体"/>
          <w:sz w:val="24"/>
          <w:szCs w:val="24"/>
        </w:rPr>
      </w:pPr>
      <w:r>
        <w:rPr>
          <w:rFonts w:hint="eastAsia" w:ascii="宋体" w:hAnsi="宋体" w:eastAsia="宋体" w:cs="宋体"/>
          <w:sz w:val="24"/>
          <w:szCs w:val="24"/>
        </w:rPr>
        <w:t>1. 定义</w:t>
      </w:r>
    </w:p>
    <w:p>
      <w:pPr>
        <w:wordWrap w:val="0"/>
        <w:topLinePunct/>
        <w:autoSpaceDE w:val="0"/>
        <w:autoSpaceDN w:val="0"/>
        <w:adjustRightInd w:val="0"/>
        <w:snapToGrid w:val="0"/>
        <w:spacing w:line="360" w:lineRule="auto"/>
        <w:ind w:firstLine="480"/>
        <w:rPr>
          <w:rFonts w:ascii="宋体" w:hAnsi="宋体" w:eastAsia="宋体" w:cs="宋体"/>
          <w:sz w:val="24"/>
          <w:szCs w:val="24"/>
        </w:rPr>
      </w:pPr>
      <w:r>
        <w:rPr>
          <w:rFonts w:hint="eastAsia" w:ascii="宋体" w:hAnsi="宋体" w:eastAsia="宋体" w:cs="宋体"/>
          <w:sz w:val="24"/>
          <w:szCs w:val="24"/>
        </w:rPr>
        <w:t>1.1“合同”系指甲方和乙方 （简称合同双方）已达成的协议，即由双方签订的合同格式中的文件，包括所有的附件和组成合同部分的所有其他文件。</w:t>
      </w:r>
    </w:p>
    <w:p>
      <w:pPr>
        <w:wordWrap w:val="0"/>
        <w:topLinePunct/>
        <w:autoSpaceDE w:val="0"/>
        <w:autoSpaceDN w:val="0"/>
        <w:adjustRightInd w:val="0"/>
        <w:snapToGrid w:val="0"/>
        <w:spacing w:line="360" w:lineRule="auto"/>
        <w:ind w:firstLine="480"/>
        <w:rPr>
          <w:rFonts w:ascii="宋体" w:hAnsi="宋体" w:eastAsia="宋体" w:cs="宋体"/>
          <w:sz w:val="24"/>
          <w:szCs w:val="24"/>
        </w:rPr>
      </w:pPr>
      <w:r>
        <w:rPr>
          <w:rFonts w:hint="eastAsia" w:ascii="宋体" w:hAnsi="宋体" w:eastAsia="宋体" w:cs="宋体"/>
          <w:sz w:val="24"/>
          <w:szCs w:val="24"/>
        </w:rPr>
        <w:t>1.2“合同价格”系指根据合同规定，在乙方全面正确地履行合同义务时应支付给乙方的款项。</w:t>
      </w:r>
    </w:p>
    <w:p>
      <w:pPr>
        <w:wordWrap w:val="0"/>
        <w:topLinePunct/>
        <w:autoSpaceDE w:val="0"/>
        <w:autoSpaceDN w:val="0"/>
        <w:adjustRightInd w:val="0"/>
        <w:snapToGrid w:val="0"/>
        <w:spacing w:line="360" w:lineRule="auto"/>
        <w:ind w:firstLine="480"/>
        <w:rPr>
          <w:rFonts w:ascii="宋体" w:hAnsi="宋体" w:eastAsia="宋体" w:cs="宋体"/>
          <w:sz w:val="24"/>
          <w:szCs w:val="24"/>
        </w:rPr>
      </w:pPr>
      <w:r>
        <w:rPr>
          <w:rFonts w:hint="eastAsia" w:ascii="宋体" w:hAnsi="宋体" w:eastAsia="宋体" w:cs="宋体"/>
          <w:sz w:val="24"/>
          <w:szCs w:val="24"/>
        </w:rPr>
        <w:t>1.3“甲方”系指通过招标方式，接受合同服务的采购人</w:t>
      </w:r>
    </w:p>
    <w:p>
      <w:pPr>
        <w:wordWrap w:val="0"/>
        <w:topLinePunct/>
        <w:autoSpaceDE w:val="0"/>
        <w:autoSpaceDN w:val="0"/>
        <w:adjustRightInd w:val="0"/>
        <w:snapToGrid w:val="0"/>
        <w:spacing w:line="360" w:lineRule="auto"/>
        <w:ind w:firstLine="480"/>
        <w:rPr>
          <w:rFonts w:ascii="宋体" w:hAnsi="宋体" w:eastAsia="宋体" w:cs="宋体"/>
          <w:sz w:val="24"/>
          <w:szCs w:val="24"/>
        </w:rPr>
      </w:pPr>
      <w:r>
        <w:rPr>
          <w:rFonts w:hint="eastAsia" w:ascii="宋体" w:hAnsi="宋体" w:eastAsia="宋体" w:cs="宋体"/>
          <w:sz w:val="24"/>
          <w:szCs w:val="24"/>
        </w:rPr>
        <w:t>1.4“乙方”系指中标后提供合同服务的中标方或供应商。</w:t>
      </w:r>
    </w:p>
    <w:p>
      <w:pPr>
        <w:wordWrap w:val="0"/>
        <w:topLinePunct/>
        <w:autoSpaceDE w:val="0"/>
        <w:autoSpaceDN w:val="0"/>
        <w:adjustRightInd w:val="0"/>
        <w:snapToGrid w:val="0"/>
        <w:spacing w:line="360" w:lineRule="auto"/>
        <w:ind w:firstLine="480"/>
        <w:rPr>
          <w:rFonts w:ascii="宋体" w:hAnsi="宋体" w:eastAsia="宋体" w:cs="宋体"/>
          <w:sz w:val="24"/>
          <w:szCs w:val="24"/>
        </w:rPr>
      </w:pPr>
      <w:r>
        <w:rPr>
          <w:rFonts w:hint="eastAsia" w:ascii="宋体" w:hAnsi="宋体" w:eastAsia="宋体" w:cs="宋体"/>
          <w:sz w:val="24"/>
          <w:szCs w:val="24"/>
        </w:rPr>
        <w:t>2.适用范围</w:t>
      </w:r>
    </w:p>
    <w:p>
      <w:pPr>
        <w:wordWrap w:val="0"/>
        <w:topLinePunct/>
        <w:autoSpaceDE w:val="0"/>
        <w:autoSpaceDN w:val="0"/>
        <w:adjustRightInd w:val="0"/>
        <w:snapToGrid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 本合同条款仅适用于本次招标活动。</w:t>
      </w:r>
    </w:p>
    <w:p>
      <w:pPr>
        <w:wordWrap w:val="0"/>
        <w:topLinePunct/>
        <w:autoSpaceDE w:val="0"/>
        <w:autoSpaceDN w:val="0"/>
        <w:adjustRightInd w:val="0"/>
        <w:snapToGrid w:val="0"/>
        <w:spacing w:line="360" w:lineRule="auto"/>
        <w:ind w:firstLine="480"/>
        <w:rPr>
          <w:rFonts w:ascii="宋体" w:hAnsi="宋体" w:eastAsia="宋体" w:cs="宋体"/>
          <w:sz w:val="24"/>
          <w:szCs w:val="24"/>
        </w:rPr>
      </w:pPr>
      <w:r>
        <w:rPr>
          <w:rFonts w:hint="eastAsia" w:ascii="宋体" w:hAnsi="宋体" w:eastAsia="宋体" w:cs="宋体"/>
          <w:sz w:val="24"/>
          <w:szCs w:val="24"/>
        </w:rPr>
        <w:t>3.技术规格和标准</w:t>
      </w:r>
    </w:p>
    <w:p>
      <w:pPr>
        <w:wordWrap w:val="0"/>
        <w:topLinePunct/>
        <w:autoSpaceDE w:val="0"/>
        <w:autoSpaceDN w:val="0"/>
        <w:adjustRightInd w:val="0"/>
        <w:snapToGrid w:val="0"/>
        <w:spacing w:line="360" w:lineRule="auto"/>
        <w:ind w:firstLine="480"/>
        <w:rPr>
          <w:rFonts w:ascii="宋体" w:hAnsi="宋体" w:eastAsia="宋体" w:cs="宋体"/>
          <w:sz w:val="24"/>
          <w:szCs w:val="24"/>
        </w:rPr>
      </w:pPr>
      <w:r>
        <w:rPr>
          <w:rFonts w:hint="eastAsia" w:ascii="宋体" w:hAnsi="宋体" w:eastAsia="宋体" w:cs="宋体"/>
          <w:sz w:val="24"/>
          <w:szCs w:val="24"/>
        </w:rPr>
        <w:t>本合同项下所提供货物设备和服务应与本招标文件规定的标准相一致。</w:t>
      </w:r>
    </w:p>
    <w:p>
      <w:pPr>
        <w:wordWrap w:val="0"/>
        <w:topLinePunct/>
        <w:autoSpaceDE w:val="0"/>
        <w:autoSpaceDN w:val="0"/>
        <w:adjustRightInd w:val="0"/>
        <w:snapToGrid w:val="0"/>
        <w:spacing w:line="360" w:lineRule="auto"/>
        <w:ind w:firstLine="480"/>
        <w:rPr>
          <w:rFonts w:ascii="宋体" w:hAnsi="宋体" w:eastAsia="宋体" w:cs="宋体"/>
          <w:sz w:val="24"/>
          <w:szCs w:val="24"/>
        </w:rPr>
      </w:pPr>
      <w:r>
        <w:rPr>
          <w:rFonts w:hint="eastAsia" w:ascii="宋体" w:hAnsi="宋体" w:eastAsia="宋体" w:cs="宋体"/>
          <w:sz w:val="24"/>
          <w:szCs w:val="24"/>
        </w:rPr>
        <w:t>4.合同期限</w:t>
      </w:r>
    </w:p>
    <w:p>
      <w:pPr>
        <w:wordWrap w:val="0"/>
        <w:topLinePunct/>
        <w:autoSpaceDE w:val="0"/>
        <w:autoSpaceDN w:val="0"/>
        <w:adjustRightInd w:val="0"/>
        <w:snapToGrid w:val="0"/>
        <w:spacing w:line="360" w:lineRule="auto"/>
        <w:ind w:firstLine="480"/>
        <w:rPr>
          <w:rFonts w:ascii="宋体" w:hAnsi="宋体" w:eastAsia="宋体" w:cs="宋体"/>
          <w:sz w:val="24"/>
          <w:szCs w:val="24"/>
        </w:rPr>
      </w:pPr>
      <w:r>
        <w:rPr>
          <w:rFonts w:hint="eastAsia" w:ascii="宋体" w:hAnsi="宋体" w:eastAsia="宋体" w:cs="宋体"/>
          <w:sz w:val="24"/>
          <w:szCs w:val="24"/>
        </w:rPr>
        <w:t>即自</w:t>
      </w:r>
      <w:r>
        <w:rPr>
          <w:rFonts w:hint="eastAsia" w:ascii="宋体" w:hAnsi="宋体" w:eastAsia="宋体" w:cs="宋体"/>
          <w:sz w:val="24"/>
          <w:szCs w:val="24"/>
        </w:rPr>
        <w:tab/>
      </w:r>
      <w:r>
        <w:rPr>
          <w:rFonts w:hint="eastAsia" w:ascii="宋体" w:hAnsi="宋体" w:eastAsia="宋体" w:cs="宋体"/>
          <w:sz w:val="24"/>
          <w:szCs w:val="24"/>
        </w:rPr>
        <w:t>年</w:t>
      </w:r>
      <w:r>
        <w:rPr>
          <w:rFonts w:hint="eastAsia" w:ascii="宋体" w:hAnsi="宋体" w:eastAsia="宋体" w:cs="宋体"/>
          <w:sz w:val="24"/>
          <w:szCs w:val="24"/>
        </w:rPr>
        <w:tab/>
      </w:r>
      <w:r>
        <w:rPr>
          <w:rFonts w:hint="eastAsia" w:ascii="宋体" w:hAnsi="宋体" w:eastAsia="宋体" w:cs="宋体"/>
          <w:sz w:val="24"/>
          <w:szCs w:val="24"/>
        </w:rPr>
        <w:t>月</w:t>
      </w:r>
      <w:r>
        <w:rPr>
          <w:rFonts w:hint="eastAsia" w:ascii="宋体" w:hAnsi="宋体" w:eastAsia="宋体" w:cs="宋体"/>
          <w:sz w:val="24"/>
          <w:szCs w:val="24"/>
        </w:rPr>
        <w:tab/>
      </w:r>
      <w:r>
        <w:rPr>
          <w:rFonts w:hint="eastAsia" w:ascii="宋体" w:hAnsi="宋体" w:eastAsia="宋体" w:cs="宋体"/>
          <w:sz w:val="24"/>
          <w:szCs w:val="24"/>
        </w:rPr>
        <w:t>日起至</w:t>
      </w:r>
      <w:r>
        <w:rPr>
          <w:rFonts w:hint="eastAsia" w:ascii="宋体" w:hAnsi="宋体" w:eastAsia="宋体" w:cs="宋体"/>
          <w:sz w:val="24"/>
          <w:szCs w:val="24"/>
        </w:rPr>
        <w:tab/>
      </w:r>
      <w:r>
        <w:rPr>
          <w:rFonts w:hint="eastAsia" w:ascii="宋体" w:hAnsi="宋体" w:eastAsia="宋体" w:cs="宋体"/>
          <w:sz w:val="24"/>
          <w:szCs w:val="24"/>
        </w:rPr>
        <w:t>年</w:t>
      </w:r>
      <w:r>
        <w:rPr>
          <w:rFonts w:hint="eastAsia" w:ascii="宋体" w:hAnsi="宋体" w:eastAsia="宋体" w:cs="宋体"/>
          <w:sz w:val="24"/>
          <w:szCs w:val="24"/>
        </w:rPr>
        <w:tab/>
      </w:r>
      <w:r>
        <w:rPr>
          <w:rFonts w:hint="eastAsia" w:ascii="宋体" w:hAnsi="宋体" w:eastAsia="宋体" w:cs="宋体"/>
          <w:sz w:val="24"/>
          <w:szCs w:val="24"/>
        </w:rPr>
        <w:t>月</w:t>
      </w:r>
      <w:r>
        <w:rPr>
          <w:rFonts w:hint="eastAsia" w:ascii="宋体" w:hAnsi="宋体" w:eastAsia="宋体" w:cs="宋体"/>
          <w:sz w:val="24"/>
          <w:szCs w:val="24"/>
        </w:rPr>
        <w:tab/>
      </w:r>
      <w:r>
        <w:rPr>
          <w:rFonts w:hint="eastAsia" w:ascii="宋体" w:hAnsi="宋体" w:eastAsia="宋体" w:cs="宋体"/>
          <w:sz w:val="24"/>
          <w:szCs w:val="24"/>
        </w:rPr>
        <w:t>日止。</w:t>
      </w:r>
    </w:p>
    <w:p>
      <w:pPr>
        <w:wordWrap w:val="0"/>
        <w:topLinePunct/>
        <w:autoSpaceDE w:val="0"/>
        <w:autoSpaceDN w:val="0"/>
        <w:adjustRightInd w:val="0"/>
        <w:snapToGrid w:val="0"/>
        <w:spacing w:line="360" w:lineRule="auto"/>
        <w:ind w:firstLine="480"/>
        <w:rPr>
          <w:rFonts w:ascii="宋体" w:hAnsi="宋体" w:eastAsia="宋体" w:cs="宋体"/>
          <w:sz w:val="24"/>
          <w:szCs w:val="24"/>
        </w:rPr>
      </w:pPr>
      <w:r>
        <w:rPr>
          <w:rFonts w:hint="eastAsia" w:ascii="宋体" w:hAnsi="宋体" w:eastAsia="宋体" w:cs="宋体"/>
          <w:sz w:val="24"/>
          <w:szCs w:val="24"/>
        </w:rPr>
        <w:t>5.价格</w:t>
      </w:r>
    </w:p>
    <w:p>
      <w:pPr>
        <w:wordWrap w:val="0"/>
        <w:topLinePunct/>
        <w:autoSpaceDE w:val="0"/>
        <w:autoSpaceDN w:val="0"/>
        <w:adjustRightInd w:val="0"/>
        <w:snapToGrid w:val="0"/>
        <w:spacing w:line="360" w:lineRule="auto"/>
        <w:ind w:firstLine="480"/>
        <w:rPr>
          <w:rFonts w:ascii="宋体" w:hAnsi="宋体" w:eastAsia="宋体" w:cs="宋体"/>
          <w:sz w:val="24"/>
          <w:szCs w:val="24"/>
        </w:rPr>
      </w:pPr>
      <w:r>
        <w:rPr>
          <w:rFonts w:hint="eastAsia" w:ascii="宋体" w:hAnsi="宋体" w:eastAsia="宋体" w:cs="宋体"/>
          <w:sz w:val="24"/>
          <w:szCs w:val="24"/>
        </w:rPr>
        <w:t>除非合同中另有规定，乙方为其所提供货物设备和服务而要求甲方支付的金额应与其投标报价一致。</w:t>
      </w:r>
    </w:p>
    <w:p>
      <w:pPr>
        <w:wordWrap w:val="0"/>
        <w:topLinePunct/>
        <w:autoSpaceDE w:val="0"/>
        <w:autoSpaceDN w:val="0"/>
        <w:adjustRightInd w:val="0"/>
        <w:snapToGrid w:val="0"/>
        <w:spacing w:line="360" w:lineRule="auto"/>
        <w:ind w:firstLine="480"/>
        <w:rPr>
          <w:rFonts w:ascii="宋体" w:hAnsi="宋体" w:eastAsia="宋体" w:cs="宋体"/>
          <w:sz w:val="24"/>
          <w:szCs w:val="24"/>
        </w:rPr>
      </w:pPr>
      <w:r>
        <w:rPr>
          <w:rFonts w:hint="eastAsia" w:ascii="宋体" w:hAnsi="宋体" w:eastAsia="宋体" w:cs="宋体"/>
          <w:sz w:val="24"/>
          <w:szCs w:val="24"/>
        </w:rPr>
        <w:t>6.索赔</w:t>
      </w:r>
    </w:p>
    <w:p>
      <w:pPr>
        <w:wordWrap w:val="0"/>
        <w:topLinePunct/>
        <w:autoSpaceDE w:val="0"/>
        <w:autoSpaceDN w:val="0"/>
        <w:adjustRightInd w:val="0"/>
        <w:snapToGrid w:val="0"/>
        <w:spacing w:line="360" w:lineRule="auto"/>
        <w:ind w:firstLine="480"/>
        <w:rPr>
          <w:rFonts w:ascii="宋体" w:hAnsi="宋体" w:eastAsia="宋体" w:cs="宋体"/>
          <w:sz w:val="24"/>
          <w:szCs w:val="24"/>
        </w:rPr>
      </w:pPr>
      <w:r>
        <w:rPr>
          <w:rFonts w:hint="eastAsia" w:ascii="宋体" w:hAnsi="宋体" w:eastAsia="宋体" w:cs="宋体"/>
          <w:sz w:val="24"/>
          <w:szCs w:val="24"/>
        </w:rPr>
        <w:t>6.1乙方对所提供货物设备和服务与合同要求不符负有责任，并且甲方已于合同规定的期限内提出索赔，乙方应按甲方同意的下述一种或多种方法解决索赔事宜。</w:t>
      </w:r>
    </w:p>
    <w:p>
      <w:pPr>
        <w:wordWrap w:val="0"/>
        <w:topLinePunct/>
        <w:autoSpaceDE w:val="0"/>
        <w:autoSpaceDN w:val="0"/>
        <w:adjustRightInd w:val="0"/>
        <w:snapToGrid w:val="0"/>
        <w:spacing w:line="360" w:lineRule="auto"/>
        <w:ind w:firstLine="480"/>
        <w:rPr>
          <w:rFonts w:ascii="宋体" w:hAnsi="宋体" w:eastAsia="宋体" w:cs="宋体"/>
          <w:sz w:val="24"/>
          <w:szCs w:val="24"/>
        </w:rPr>
      </w:pPr>
      <w:r>
        <w:rPr>
          <w:rFonts w:hint="eastAsia" w:ascii="宋体" w:hAnsi="宋体" w:eastAsia="宋体" w:cs="宋体"/>
          <w:sz w:val="24"/>
          <w:szCs w:val="24"/>
        </w:rPr>
        <w:t>6.1.1乙方同意甲方取消其不符合要求的货物设备和服务项目，退还已经收取的该类货物设备的货款。</w:t>
      </w:r>
    </w:p>
    <w:p>
      <w:pPr>
        <w:wordWrap w:val="0"/>
        <w:topLinePunct/>
        <w:autoSpaceDE w:val="0"/>
        <w:autoSpaceDN w:val="0"/>
        <w:adjustRightInd w:val="0"/>
        <w:snapToGrid w:val="0"/>
        <w:spacing w:line="360" w:lineRule="auto"/>
        <w:ind w:firstLine="480"/>
        <w:rPr>
          <w:rFonts w:ascii="宋体" w:hAnsi="宋体" w:eastAsia="宋体" w:cs="宋体"/>
          <w:sz w:val="24"/>
          <w:szCs w:val="24"/>
        </w:rPr>
      </w:pPr>
      <w:r>
        <w:rPr>
          <w:rFonts w:hint="eastAsia" w:ascii="宋体" w:hAnsi="宋体" w:eastAsia="宋体" w:cs="宋体"/>
          <w:sz w:val="24"/>
          <w:szCs w:val="24"/>
        </w:rPr>
        <w:t>6.1.2对于情节严重、造成甲方损失金额巨大的，同意甲方终止全部项目合同，并赔偿甲方因此造成的损失。</w:t>
      </w:r>
    </w:p>
    <w:p>
      <w:pPr>
        <w:wordWrap w:val="0"/>
        <w:topLinePunct/>
        <w:autoSpaceDE w:val="0"/>
        <w:autoSpaceDN w:val="0"/>
        <w:adjustRightInd w:val="0"/>
        <w:snapToGrid w:val="0"/>
        <w:spacing w:line="360" w:lineRule="auto"/>
        <w:ind w:firstLine="480"/>
        <w:rPr>
          <w:rFonts w:ascii="宋体" w:hAnsi="宋体" w:eastAsia="宋体" w:cs="宋体"/>
          <w:sz w:val="24"/>
          <w:szCs w:val="24"/>
        </w:rPr>
      </w:pPr>
      <w:r>
        <w:rPr>
          <w:rFonts w:hint="eastAsia" w:ascii="宋体" w:hAnsi="宋体" w:eastAsia="宋体" w:cs="宋体"/>
          <w:sz w:val="24"/>
          <w:szCs w:val="24"/>
        </w:rPr>
        <w:t>6.2 如果甲方提出索赔通知后 30天内乙方未能予以签复，该索赔应视为已被乙方接受。若乙方未能在甲方提出索赔通知的 30天内或甲方同意的更长一些的时间内，按甲方同意的上述任何一种方式处理索赔事宜，甲方将乙方提供的履约保证金中扣回索赔金额，同时保留进一步要求赔偿的权利。</w:t>
      </w:r>
    </w:p>
    <w:p>
      <w:pPr>
        <w:wordWrap w:val="0"/>
        <w:topLinePunct/>
        <w:autoSpaceDE w:val="0"/>
        <w:autoSpaceDN w:val="0"/>
        <w:adjustRightInd w:val="0"/>
        <w:snapToGrid w:val="0"/>
        <w:spacing w:line="360" w:lineRule="auto"/>
        <w:ind w:firstLine="480"/>
        <w:rPr>
          <w:rFonts w:ascii="宋体" w:hAnsi="宋体" w:eastAsia="宋体" w:cs="宋体"/>
          <w:sz w:val="24"/>
          <w:szCs w:val="24"/>
        </w:rPr>
      </w:pPr>
      <w:r>
        <w:rPr>
          <w:rFonts w:hint="eastAsia" w:ascii="宋体" w:hAnsi="宋体" w:eastAsia="宋体" w:cs="宋体"/>
          <w:sz w:val="24"/>
          <w:szCs w:val="24"/>
        </w:rPr>
        <w:t>7.不可抗力</w:t>
      </w:r>
    </w:p>
    <w:p>
      <w:pPr>
        <w:wordWrap w:val="0"/>
        <w:topLinePunct/>
        <w:autoSpaceDE w:val="0"/>
        <w:autoSpaceDN w:val="0"/>
        <w:adjustRightInd w:val="0"/>
        <w:snapToGrid w:val="0"/>
        <w:spacing w:line="360" w:lineRule="auto"/>
        <w:ind w:firstLine="480"/>
        <w:rPr>
          <w:rFonts w:ascii="宋体" w:hAnsi="宋体" w:eastAsia="宋体" w:cs="宋体"/>
          <w:sz w:val="24"/>
          <w:szCs w:val="24"/>
        </w:rPr>
      </w:pPr>
      <w:r>
        <w:rPr>
          <w:rFonts w:hint="eastAsia" w:ascii="宋体" w:hAnsi="宋体" w:eastAsia="宋体" w:cs="宋体"/>
          <w:sz w:val="24"/>
          <w:szCs w:val="24"/>
        </w:rPr>
        <w:t>7.1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wordWrap w:val="0"/>
        <w:topLinePunct/>
        <w:autoSpaceDE w:val="0"/>
        <w:autoSpaceDN w:val="0"/>
        <w:adjustRightInd w:val="0"/>
        <w:snapToGrid w:val="0"/>
        <w:spacing w:line="360" w:lineRule="auto"/>
        <w:ind w:firstLine="480"/>
        <w:rPr>
          <w:rFonts w:ascii="宋体" w:hAnsi="宋体" w:eastAsia="宋体" w:cs="宋体"/>
          <w:sz w:val="24"/>
          <w:szCs w:val="24"/>
        </w:rPr>
      </w:pPr>
      <w:r>
        <w:rPr>
          <w:rFonts w:hint="eastAsia" w:ascii="宋体" w:hAnsi="宋体" w:eastAsia="宋体" w:cs="宋体"/>
          <w:sz w:val="24"/>
          <w:szCs w:val="24"/>
        </w:rPr>
        <w:t>7.2受损一方应在不可抗力事故发生后尽快用电报、传真或电传通知对方，并于事故发生后 14天内将有关部门出具的证明文件用特快专递或挂号信寄给对方审阅确认。一旦不可抗力事故的影响持续 60天以上，双方应通过友好协商，在合理的时间内达成进一步履行合同的协议。</w:t>
      </w:r>
    </w:p>
    <w:p>
      <w:pPr>
        <w:wordWrap w:val="0"/>
        <w:topLinePunct/>
        <w:autoSpaceDE w:val="0"/>
        <w:autoSpaceDN w:val="0"/>
        <w:adjustRightInd w:val="0"/>
        <w:snapToGrid w:val="0"/>
        <w:spacing w:line="360" w:lineRule="auto"/>
        <w:ind w:firstLine="480"/>
        <w:rPr>
          <w:rFonts w:ascii="宋体" w:hAnsi="宋体" w:eastAsia="宋体" w:cs="宋体"/>
          <w:sz w:val="24"/>
          <w:szCs w:val="24"/>
        </w:rPr>
      </w:pPr>
      <w:r>
        <w:rPr>
          <w:rFonts w:hint="eastAsia" w:ascii="宋体" w:hAnsi="宋体" w:eastAsia="宋体" w:cs="宋体"/>
          <w:sz w:val="24"/>
          <w:szCs w:val="24"/>
        </w:rPr>
        <w:t>8.履约保证金</w:t>
      </w:r>
    </w:p>
    <w:p>
      <w:pPr>
        <w:wordWrap w:val="0"/>
        <w:topLinePunct/>
        <w:autoSpaceDE w:val="0"/>
        <w:autoSpaceDN w:val="0"/>
        <w:adjustRightInd w:val="0"/>
        <w:snapToGrid w:val="0"/>
        <w:spacing w:line="360" w:lineRule="auto"/>
        <w:ind w:firstLine="480"/>
        <w:rPr>
          <w:rFonts w:ascii="宋体" w:hAnsi="宋体" w:eastAsia="宋体" w:cs="宋体"/>
          <w:sz w:val="24"/>
          <w:szCs w:val="24"/>
        </w:rPr>
      </w:pPr>
      <w:r>
        <w:rPr>
          <w:rFonts w:hint="eastAsia" w:ascii="宋体" w:hAnsi="宋体" w:eastAsia="宋体" w:cs="宋体"/>
          <w:sz w:val="24"/>
          <w:szCs w:val="24"/>
        </w:rPr>
        <w:t>8.1履约保证金的有效期至供货完毕且验收合格。</w:t>
      </w:r>
    </w:p>
    <w:p>
      <w:pPr>
        <w:wordWrap w:val="0"/>
        <w:topLinePunct/>
        <w:autoSpaceDE w:val="0"/>
        <w:autoSpaceDN w:val="0"/>
        <w:adjustRightInd w:val="0"/>
        <w:snapToGrid w:val="0"/>
        <w:spacing w:line="360" w:lineRule="auto"/>
        <w:ind w:firstLine="480"/>
        <w:rPr>
          <w:rFonts w:ascii="宋体" w:hAnsi="宋体" w:eastAsia="宋体" w:cs="宋体"/>
          <w:sz w:val="24"/>
          <w:szCs w:val="24"/>
        </w:rPr>
      </w:pPr>
      <w:r>
        <w:rPr>
          <w:rFonts w:hint="eastAsia" w:ascii="宋体" w:hAnsi="宋体" w:eastAsia="宋体" w:cs="宋体"/>
          <w:sz w:val="24"/>
          <w:szCs w:val="24"/>
        </w:rPr>
        <w:t>8.2乙方提供的履约保证金按规定格式转帐支票、电汇的形式提供，与此有关的费用由乙方负担。</w:t>
      </w:r>
    </w:p>
    <w:p>
      <w:pPr>
        <w:wordWrap w:val="0"/>
        <w:topLinePunct/>
        <w:autoSpaceDE w:val="0"/>
        <w:autoSpaceDN w:val="0"/>
        <w:adjustRightInd w:val="0"/>
        <w:snapToGrid w:val="0"/>
        <w:spacing w:line="360" w:lineRule="auto"/>
        <w:ind w:firstLine="480"/>
        <w:rPr>
          <w:rFonts w:ascii="宋体" w:hAnsi="宋体" w:eastAsia="宋体" w:cs="宋体"/>
          <w:sz w:val="24"/>
          <w:szCs w:val="24"/>
        </w:rPr>
      </w:pPr>
      <w:r>
        <w:rPr>
          <w:rFonts w:hint="eastAsia" w:ascii="宋体" w:hAnsi="宋体" w:eastAsia="宋体" w:cs="宋体"/>
          <w:sz w:val="24"/>
          <w:szCs w:val="24"/>
        </w:rPr>
        <w:t>8.4如果乙方未能按合同规定履行其义务，甲方有权从履约保证金取得补偿。</w:t>
      </w:r>
    </w:p>
    <w:p>
      <w:pPr>
        <w:wordWrap w:val="0"/>
        <w:topLinePunct/>
        <w:autoSpaceDE w:val="0"/>
        <w:autoSpaceDN w:val="0"/>
        <w:adjustRightInd w:val="0"/>
        <w:snapToGrid w:val="0"/>
        <w:spacing w:line="360" w:lineRule="auto"/>
        <w:ind w:firstLine="480"/>
        <w:rPr>
          <w:rFonts w:ascii="宋体" w:hAnsi="宋体" w:eastAsia="宋体" w:cs="宋体"/>
          <w:sz w:val="24"/>
          <w:szCs w:val="24"/>
        </w:rPr>
      </w:pPr>
      <w:r>
        <w:rPr>
          <w:rFonts w:hint="eastAsia" w:ascii="宋体" w:hAnsi="宋体" w:eastAsia="宋体" w:cs="宋体"/>
          <w:sz w:val="24"/>
          <w:szCs w:val="24"/>
        </w:rPr>
        <w:t>9.争议的解决</w:t>
      </w:r>
    </w:p>
    <w:p>
      <w:pPr>
        <w:wordWrap w:val="0"/>
        <w:topLinePunct/>
        <w:autoSpaceDE w:val="0"/>
        <w:autoSpaceDN w:val="0"/>
        <w:adjustRightInd w:val="0"/>
        <w:snapToGrid w:val="0"/>
        <w:spacing w:line="360" w:lineRule="auto"/>
        <w:ind w:firstLine="480"/>
        <w:rPr>
          <w:rFonts w:ascii="宋体" w:hAnsi="宋体" w:eastAsia="宋体" w:cs="宋体"/>
          <w:sz w:val="24"/>
          <w:szCs w:val="24"/>
        </w:rPr>
      </w:pPr>
      <w:r>
        <w:rPr>
          <w:rFonts w:hint="eastAsia" w:ascii="宋体" w:hAnsi="宋体" w:eastAsia="宋体" w:cs="宋体"/>
          <w:sz w:val="24"/>
          <w:szCs w:val="24"/>
        </w:rPr>
        <w:t>9.1在执行合同中发生的与本合同有关的争端，双方应通过友好协商解决，经协商在 60天内不能达成协议时，应提交仲裁。</w:t>
      </w:r>
    </w:p>
    <w:p>
      <w:pPr>
        <w:wordWrap w:val="0"/>
        <w:topLinePunct/>
        <w:autoSpaceDE w:val="0"/>
        <w:autoSpaceDN w:val="0"/>
        <w:adjustRightInd w:val="0"/>
        <w:snapToGrid w:val="0"/>
        <w:spacing w:line="360" w:lineRule="auto"/>
        <w:ind w:firstLine="480"/>
        <w:rPr>
          <w:rFonts w:ascii="宋体" w:hAnsi="宋体" w:eastAsia="宋体" w:cs="宋体"/>
          <w:sz w:val="24"/>
          <w:szCs w:val="24"/>
        </w:rPr>
      </w:pPr>
      <w:r>
        <w:rPr>
          <w:rFonts w:hint="eastAsia" w:ascii="宋体" w:hAnsi="宋体" w:eastAsia="宋体" w:cs="宋体"/>
          <w:sz w:val="24"/>
          <w:szCs w:val="24"/>
        </w:rPr>
        <w:t>9.2 提交正式仲裁的争端属涉外的，应在北京或中国国内其他地点，由指定的国际经济仲裁委员会根据该委员会的仲裁程序或规则予以最终裁决。</w:t>
      </w:r>
    </w:p>
    <w:p>
      <w:pPr>
        <w:wordWrap w:val="0"/>
        <w:topLinePunct/>
        <w:autoSpaceDE w:val="0"/>
        <w:autoSpaceDN w:val="0"/>
        <w:adjustRightInd w:val="0"/>
        <w:snapToGrid w:val="0"/>
        <w:spacing w:line="360" w:lineRule="auto"/>
        <w:ind w:firstLine="480"/>
        <w:rPr>
          <w:rFonts w:ascii="宋体" w:hAnsi="宋体" w:eastAsia="宋体" w:cs="宋体"/>
          <w:sz w:val="24"/>
          <w:szCs w:val="24"/>
        </w:rPr>
      </w:pPr>
      <w:r>
        <w:rPr>
          <w:rFonts w:hint="eastAsia" w:ascii="宋体" w:hAnsi="宋体" w:eastAsia="宋体" w:cs="宋体"/>
          <w:sz w:val="24"/>
          <w:szCs w:val="24"/>
        </w:rPr>
        <w:t>9.3 合同双方均为国内法人的，其争端的仲裁应由合同发生地许昌仲裁委员会根据其仲裁程序进行。</w:t>
      </w:r>
    </w:p>
    <w:p>
      <w:pPr>
        <w:wordWrap w:val="0"/>
        <w:topLinePunct/>
        <w:autoSpaceDE w:val="0"/>
        <w:autoSpaceDN w:val="0"/>
        <w:adjustRightInd w:val="0"/>
        <w:snapToGrid w:val="0"/>
        <w:spacing w:line="360" w:lineRule="auto"/>
        <w:ind w:firstLine="480"/>
        <w:rPr>
          <w:rFonts w:ascii="宋体" w:hAnsi="宋体" w:eastAsia="宋体" w:cs="宋体"/>
          <w:sz w:val="24"/>
          <w:szCs w:val="24"/>
        </w:rPr>
      </w:pPr>
      <w:r>
        <w:rPr>
          <w:rFonts w:hint="eastAsia" w:ascii="宋体" w:hAnsi="宋体" w:eastAsia="宋体" w:cs="宋体"/>
          <w:sz w:val="24"/>
          <w:szCs w:val="24"/>
        </w:rPr>
        <w:t>9.4 仲裁裁决应为最终决定，并对双方具有约束力。</w:t>
      </w:r>
    </w:p>
    <w:p>
      <w:pPr>
        <w:wordWrap w:val="0"/>
        <w:topLinePunct/>
        <w:autoSpaceDE w:val="0"/>
        <w:autoSpaceDN w:val="0"/>
        <w:adjustRightInd w:val="0"/>
        <w:snapToGrid w:val="0"/>
        <w:spacing w:line="360" w:lineRule="auto"/>
        <w:ind w:firstLine="480"/>
        <w:rPr>
          <w:rFonts w:ascii="宋体" w:hAnsi="宋体" w:eastAsia="宋体" w:cs="宋体"/>
          <w:sz w:val="24"/>
          <w:szCs w:val="24"/>
        </w:rPr>
      </w:pPr>
      <w:r>
        <w:rPr>
          <w:rFonts w:hint="eastAsia" w:ascii="宋体" w:hAnsi="宋体" w:eastAsia="宋体" w:cs="宋体"/>
          <w:sz w:val="24"/>
          <w:szCs w:val="24"/>
        </w:rPr>
        <w:t>9.5 除另有裁决外，仲裁费应由败诉方负担。</w:t>
      </w:r>
    </w:p>
    <w:p>
      <w:pPr>
        <w:wordWrap w:val="0"/>
        <w:topLinePunct/>
        <w:autoSpaceDE w:val="0"/>
        <w:autoSpaceDN w:val="0"/>
        <w:adjustRightInd w:val="0"/>
        <w:snapToGrid w:val="0"/>
        <w:spacing w:line="360" w:lineRule="auto"/>
        <w:ind w:firstLine="480"/>
        <w:rPr>
          <w:rFonts w:ascii="宋体" w:hAnsi="宋体" w:eastAsia="宋体" w:cs="宋体"/>
          <w:sz w:val="24"/>
          <w:szCs w:val="24"/>
        </w:rPr>
      </w:pPr>
      <w:r>
        <w:rPr>
          <w:rFonts w:hint="eastAsia" w:ascii="宋体" w:hAnsi="宋体" w:eastAsia="宋体" w:cs="宋体"/>
          <w:sz w:val="24"/>
          <w:szCs w:val="24"/>
        </w:rPr>
        <w:t>9.6 在仲裁期间，除正在进行的仲裁部分外，合同其他部分继续执行。</w:t>
      </w:r>
    </w:p>
    <w:p>
      <w:pPr>
        <w:wordWrap w:val="0"/>
        <w:topLinePunct/>
        <w:autoSpaceDE w:val="0"/>
        <w:autoSpaceDN w:val="0"/>
        <w:adjustRightInd w:val="0"/>
        <w:snapToGrid w:val="0"/>
        <w:spacing w:line="360" w:lineRule="auto"/>
        <w:ind w:firstLine="480"/>
        <w:rPr>
          <w:rFonts w:ascii="宋体" w:hAnsi="宋体" w:eastAsia="宋体" w:cs="宋体"/>
          <w:sz w:val="24"/>
          <w:szCs w:val="24"/>
        </w:rPr>
      </w:pPr>
      <w:r>
        <w:rPr>
          <w:rFonts w:hint="eastAsia" w:ascii="宋体" w:hAnsi="宋体" w:eastAsia="宋体" w:cs="宋体"/>
          <w:sz w:val="24"/>
          <w:szCs w:val="24"/>
        </w:rPr>
        <w:t>10.合同终止</w:t>
      </w:r>
    </w:p>
    <w:p>
      <w:pPr>
        <w:wordWrap w:val="0"/>
        <w:topLinePunct/>
        <w:autoSpaceDE w:val="0"/>
        <w:autoSpaceDN w:val="0"/>
        <w:adjustRightInd w:val="0"/>
        <w:snapToGrid w:val="0"/>
        <w:spacing w:line="360" w:lineRule="auto"/>
        <w:ind w:firstLine="480"/>
        <w:rPr>
          <w:rFonts w:ascii="宋体" w:hAnsi="宋体" w:eastAsia="宋体" w:cs="宋体"/>
          <w:sz w:val="24"/>
          <w:szCs w:val="24"/>
        </w:rPr>
      </w:pPr>
      <w:r>
        <w:rPr>
          <w:rFonts w:hint="eastAsia" w:ascii="宋体" w:hAnsi="宋体" w:eastAsia="宋体" w:cs="宋体"/>
          <w:sz w:val="24"/>
          <w:szCs w:val="24"/>
        </w:rPr>
        <w:t>10.1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wordWrap w:val="0"/>
        <w:topLinePunct/>
        <w:autoSpaceDE w:val="0"/>
        <w:autoSpaceDN w:val="0"/>
        <w:adjustRightInd w:val="0"/>
        <w:snapToGrid w:val="0"/>
        <w:spacing w:line="360" w:lineRule="auto"/>
        <w:ind w:firstLine="480"/>
        <w:rPr>
          <w:rFonts w:ascii="宋体" w:hAnsi="宋体" w:eastAsia="宋体" w:cs="宋体"/>
          <w:sz w:val="24"/>
          <w:szCs w:val="24"/>
        </w:rPr>
      </w:pPr>
      <w:r>
        <w:rPr>
          <w:rFonts w:hint="eastAsia" w:ascii="宋体" w:hAnsi="宋体" w:eastAsia="宋体" w:cs="宋体"/>
          <w:sz w:val="24"/>
          <w:szCs w:val="24"/>
        </w:rPr>
        <w:t>10.2 出现下列情况时合同自动终止：</w:t>
      </w:r>
    </w:p>
    <w:p>
      <w:pPr>
        <w:wordWrap w:val="0"/>
        <w:topLinePunct/>
        <w:autoSpaceDE w:val="0"/>
        <w:autoSpaceDN w:val="0"/>
        <w:adjustRightInd w:val="0"/>
        <w:snapToGrid w:val="0"/>
        <w:spacing w:line="360" w:lineRule="auto"/>
        <w:ind w:firstLine="480"/>
        <w:rPr>
          <w:rFonts w:ascii="宋体" w:hAnsi="宋体" w:eastAsia="宋体" w:cs="宋体"/>
          <w:sz w:val="24"/>
          <w:szCs w:val="24"/>
        </w:rPr>
      </w:pPr>
      <w:r>
        <w:rPr>
          <w:rFonts w:hint="eastAsia" w:ascii="宋体" w:hAnsi="宋体" w:eastAsia="宋体" w:cs="宋体"/>
          <w:sz w:val="24"/>
          <w:szCs w:val="24"/>
        </w:rPr>
        <w:t>10.2.1发生不可抗力时。</w:t>
      </w:r>
    </w:p>
    <w:p>
      <w:pPr>
        <w:wordWrap w:val="0"/>
        <w:topLinePunct/>
        <w:autoSpaceDE w:val="0"/>
        <w:autoSpaceDN w:val="0"/>
        <w:adjustRightInd w:val="0"/>
        <w:snapToGrid w:val="0"/>
        <w:spacing w:line="360" w:lineRule="auto"/>
        <w:ind w:firstLine="480"/>
        <w:rPr>
          <w:rFonts w:ascii="宋体" w:hAnsi="宋体" w:eastAsia="宋体" w:cs="宋体"/>
          <w:sz w:val="24"/>
          <w:szCs w:val="24"/>
        </w:rPr>
      </w:pPr>
      <w:r>
        <w:rPr>
          <w:rFonts w:hint="eastAsia" w:ascii="宋体" w:hAnsi="宋体" w:eastAsia="宋体" w:cs="宋体"/>
          <w:sz w:val="24"/>
          <w:szCs w:val="24"/>
        </w:rPr>
        <w:t>10.2.2一方不履行合同条款，造成另一方无法执行合同协议，协商又不能求得解决，合同终止，责任方赔偿损失。</w:t>
      </w:r>
    </w:p>
    <w:p>
      <w:pPr>
        <w:wordWrap w:val="0"/>
        <w:topLinePunct/>
        <w:autoSpaceDE w:val="0"/>
        <w:autoSpaceDN w:val="0"/>
        <w:adjustRightInd w:val="0"/>
        <w:snapToGrid w:val="0"/>
        <w:spacing w:line="360" w:lineRule="auto"/>
        <w:ind w:firstLine="480"/>
        <w:rPr>
          <w:rFonts w:ascii="宋体" w:hAnsi="宋体" w:eastAsia="宋体" w:cs="宋体"/>
          <w:sz w:val="24"/>
          <w:szCs w:val="24"/>
        </w:rPr>
      </w:pPr>
      <w:r>
        <w:rPr>
          <w:rFonts w:hint="eastAsia" w:ascii="宋体" w:hAnsi="宋体" w:eastAsia="宋体" w:cs="宋体"/>
          <w:sz w:val="24"/>
          <w:szCs w:val="24"/>
        </w:rPr>
        <w:t>11.合同修改</w:t>
      </w:r>
    </w:p>
    <w:p>
      <w:pPr>
        <w:wordWrap w:val="0"/>
        <w:topLinePunct/>
        <w:autoSpaceDE w:val="0"/>
        <w:autoSpaceDN w:val="0"/>
        <w:adjustRightInd w:val="0"/>
        <w:snapToGrid w:val="0"/>
        <w:spacing w:line="360" w:lineRule="auto"/>
        <w:ind w:firstLine="480"/>
        <w:rPr>
          <w:rFonts w:ascii="宋体" w:hAnsi="宋体" w:eastAsia="宋体" w:cs="宋体"/>
          <w:sz w:val="24"/>
          <w:szCs w:val="24"/>
        </w:rPr>
      </w:pPr>
      <w:r>
        <w:rPr>
          <w:rFonts w:hint="eastAsia" w:ascii="宋体" w:hAnsi="宋体" w:eastAsia="宋体" w:cs="宋体"/>
          <w:sz w:val="24"/>
          <w:szCs w:val="24"/>
        </w:rPr>
        <w:t>对于合同的未尽事宜，需进行修改、补充和完善的，甲乙双方必须就所修改的内容签订书面的合同修改书，作为合同的补充协议。</w:t>
      </w:r>
    </w:p>
    <w:p>
      <w:pPr>
        <w:wordWrap w:val="0"/>
        <w:topLinePunct/>
        <w:autoSpaceDE w:val="0"/>
        <w:autoSpaceDN w:val="0"/>
        <w:adjustRightInd w:val="0"/>
        <w:snapToGrid w:val="0"/>
        <w:spacing w:line="360" w:lineRule="auto"/>
        <w:ind w:firstLine="480"/>
        <w:rPr>
          <w:rFonts w:ascii="宋体" w:hAnsi="宋体" w:eastAsia="宋体" w:cs="宋体"/>
          <w:sz w:val="24"/>
          <w:szCs w:val="24"/>
        </w:rPr>
      </w:pPr>
      <w:r>
        <w:rPr>
          <w:rFonts w:hint="eastAsia" w:ascii="宋体" w:hAnsi="宋体" w:eastAsia="宋体" w:cs="宋体"/>
          <w:sz w:val="24"/>
          <w:szCs w:val="24"/>
        </w:rPr>
        <w:t>12.适用法律</w:t>
      </w:r>
    </w:p>
    <w:p>
      <w:pPr>
        <w:wordWrap w:val="0"/>
        <w:topLinePunct/>
        <w:autoSpaceDE w:val="0"/>
        <w:autoSpaceDN w:val="0"/>
        <w:adjustRightInd w:val="0"/>
        <w:snapToGrid w:val="0"/>
        <w:spacing w:line="360" w:lineRule="auto"/>
        <w:ind w:firstLine="480"/>
        <w:rPr>
          <w:rFonts w:ascii="宋体" w:hAnsi="宋体" w:eastAsia="宋体" w:cs="宋体"/>
          <w:sz w:val="24"/>
          <w:szCs w:val="24"/>
        </w:rPr>
      </w:pPr>
      <w:r>
        <w:rPr>
          <w:rFonts w:hint="eastAsia" w:ascii="宋体" w:hAnsi="宋体" w:eastAsia="宋体" w:cs="宋体"/>
          <w:sz w:val="24"/>
          <w:szCs w:val="24"/>
        </w:rPr>
        <w:t>本合同应按中华人民共和国的法律解释。</w:t>
      </w:r>
    </w:p>
    <w:p>
      <w:pPr>
        <w:wordWrap w:val="0"/>
        <w:topLinePunct/>
        <w:autoSpaceDE w:val="0"/>
        <w:autoSpaceDN w:val="0"/>
        <w:adjustRightInd w:val="0"/>
        <w:snapToGrid w:val="0"/>
        <w:spacing w:line="360" w:lineRule="auto"/>
        <w:ind w:firstLine="480"/>
        <w:rPr>
          <w:rFonts w:ascii="宋体" w:hAnsi="宋体" w:eastAsia="宋体" w:cs="宋体"/>
          <w:sz w:val="24"/>
          <w:szCs w:val="24"/>
        </w:rPr>
      </w:pPr>
      <w:r>
        <w:rPr>
          <w:rFonts w:hint="eastAsia" w:ascii="宋体" w:hAnsi="宋体" w:eastAsia="宋体" w:cs="宋体"/>
          <w:sz w:val="24"/>
          <w:szCs w:val="24"/>
        </w:rPr>
        <w:t>13.主导语言与计量单位</w:t>
      </w:r>
    </w:p>
    <w:p>
      <w:pPr>
        <w:wordWrap w:val="0"/>
        <w:topLinePunct/>
        <w:autoSpaceDE w:val="0"/>
        <w:autoSpaceDN w:val="0"/>
        <w:adjustRightInd w:val="0"/>
        <w:snapToGrid w:val="0"/>
        <w:spacing w:line="360" w:lineRule="auto"/>
        <w:ind w:firstLine="480"/>
        <w:rPr>
          <w:rFonts w:ascii="宋体" w:hAnsi="宋体" w:eastAsia="宋体" w:cs="宋体"/>
          <w:sz w:val="24"/>
          <w:szCs w:val="24"/>
        </w:rPr>
      </w:pPr>
      <w:r>
        <w:rPr>
          <w:rFonts w:hint="eastAsia" w:ascii="宋体" w:hAnsi="宋体" w:eastAsia="宋体" w:cs="宋体"/>
          <w:sz w:val="24"/>
          <w:szCs w:val="24"/>
        </w:rPr>
        <w:t>13.1 合同书写应用中文书写。甲乙双方及相关部门各执一份，具有同等法律效力。</w:t>
      </w:r>
    </w:p>
    <w:p>
      <w:pPr>
        <w:wordWrap w:val="0"/>
        <w:topLinePunct/>
        <w:autoSpaceDE w:val="0"/>
        <w:autoSpaceDN w:val="0"/>
        <w:adjustRightInd w:val="0"/>
        <w:snapToGrid w:val="0"/>
        <w:spacing w:line="360" w:lineRule="auto"/>
        <w:ind w:firstLine="480"/>
        <w:rPr>
          <w:rFonts w:ascii="宋体" w:hAnsi="宋体" w:eastAsia="宋体" w:cs="宋体"/>
          <w:sz w:val="24"/>
          <w:szCs w:val="24"/>
        </w:rPr>
      </w:pPr>
      <w:r>
        <w:rPr>
          <w:rFonts w:hint="eastAsia" w:ascii="宋体" w:hAnsi="宋体" w:eastAsia="宋体" w:cs="宋体"/>
          <w:sz w:val="24"/>
          <w:szCs w:val="24"/>
        </w:rPr>
        <w:t>13.2 除技术规格另有规定外，计量单位均使用中华人民共和国法定计量单位。</w:t>
      </w:r>
    </w:p>
    <w:p>
      <w:pPr>
        <w:wordWrap w:val="0"/>
        <w:topLinePunct/>
        <w:autoSpaceDE w:val="0"/>
        <w:autoSpaceDN w:val="0"/>
        <w:adjustRightInd w:val="0"/>
        <w:snapToGrid w:val="0"/>
        <w:spacing w:line="360" w:lineRule="auto"/>
        <w:ind w:firstLine="480"/>
        <w:rPr>
          <w:rFonts w:ascii="宋体" w:hAnsi="宋体" w:eastAsia="宋体" w:cs="宋体"/>
          <w:sz w:val="24"/>
          <w:szCs w:val="24"/>
        </w:rPr>
      </w:pPr>
      <w:r>
        <w:rPr>
          <w:rFonts w:hint="eastAsia" w:ascii="宋体" w:hAnsi="宋体" w:eastAsia="宋体" w:cs="宋体"/>
          <w:sz w:val="24"/>
          <w:szCs w:val="24"/>
        </w:rPr>
        <w:t>14.合同生效</w:t>
      </w:r>
    </w:p>
    <w:p>
      <w:pPr>
        <w:wordWrap w:val="0"/>
        <w:topLinePunct/>
        <w:autoSpaceDE w:val="0"/>
        <w:autoSpaceDN w:val="0"/>
        <w:adjustRightInd w:val="0"/>
        <w:snapToGrid w:val="0"/>
        <w:spacing w:line="360" w:lineRule="auto"/>
        <w:ind w:firstLine="480"/>
        <w:rPr>
          <w:rFonts w:ascii="宋体" w:hAnsi="宋体" w:eastAsia="宋体" w:cs="宋体"/>
          <w:sz w:val="24"/>
          <w:szCs w:val="24"/>
        </w:rPr>
      </w:pPr>
      <w:r>
        <w:rPr>
          <w:rFonts w:hint="eastAsia" w:ascii="宋体" w:hAnsi="宋体" w:eastAsia="宋体" w:cs="宋体"/>
          <w:sz w:val="24"/>
          <w:szCs w:val="24"/>
        </w:rPr>
        <w:t>除非合同中另有说明，本合同经双方签字盖章，并在招标人收到乙方的履约保证金后，即开始生效。</w:t>
      </w:r>
    </w:p>
    <w:p>
      <w:pPr>
        <w:pStyle w:val="19"/>
        <w:spacing w:after="120"/>
        <w:ind w:firstLine="240" w:firstLineChars="100"/>
        <w:rPr>
          <w:rFonts w:hAnsi="宋体"/>
        </w:rPr>
      </w:pPr>
    </w:p>
    <w:p>
      <w:pPr>
        <w:wordWrap w:val="0"/>
        <w:topLinePunct/>
        <w:autoSpaceDE w:val="0"/>
        <w:autoSpaceDN w:val="0"/>
        <w:adjustRightInd w:val="0"/>
        <w:snapToGrid w:val="0"/>
        <w:spacing w:line="360" w:lineRule="auto"/>
        <w:jc w:val="center"/>
        <w:rPr>
          <w:rFonts w:ascii="宋体" w:hAnsi="宋体" w:eastAsia="宋体" w:cs="宋体"/>
          <w:sz w:val="24"/>
          <w:szCs w:val="24"/>
        </w:rPr>
      </w:pPr>
    </w:p>
    <w:p>
      <w:pPr>
        <w:wordWrap w:val="0"/>
        <w:topLinePunct/>
        <w:autoSpaceDE w:val="0"/>
        <w:autoSpaceDN w:val="0"/>
        <w:adjustRightInd w:val="0"/>
        <w:snapToGrid w:val="0"/>
        <w:spacing w:line="360" w:lineRule="auto"/>
        <w:jc w:val="center"/>
        <w:outlineLvl w:val="0"/>
        <w:rPr>
          <w:rFonts w:ascii="宋体" w:hAnsi="宋体" w:eastAsia="宋体" w:cs="黑体"/>
          <w:b/>
          <w:sz w:val="24"/>
          <w:szCs w:val="24"/>
          <w:lang w:val="zh-CN"/>
        </w:rPr>
      </w:pPr>
      <w:r>
        <w:rPr>
          <w:rFonts w:hint="eastAsia" w:ascii="宋体" w:hAnsi="宋体" w:eastAsia="宋体" w:cs="黑体"/>
          <w:b/>
          <w:sz w:val="24"/>
          <w:szCs w:val="24"/>
          <w:lang w:val="zh-CN"/>
        </w:rPr>
        <w:t>合同特殊条款</w:t>
      </w:r>
    </w:p>
    <w:p>
      <w:pPr>
        <w:wordWrap w:val="0"/>
        <w:topLinePunct/>
        <w:autoSpaceDE w:val="0"/>
        <w:autoSpaceDN w:val="0"/>
        <w:adjustRightInd w:val="0"/>
        <w:snapToGrid w:val="0"/>
        <w:spacing w:line="360" w:lineRule="auto"/>
        <w:ind w:firstLine="480"/>
        <w:rPr>
          <w:rFonts w:ascii="宋体" w:hAnsi="宋体" w:eastAsia="宋体" w:cs="宋体"/>
          <w:sz w:val="24"/>
          <w:szCs w:val="24"/>
        </w:rPr>
      </w:pPr>
      <w:r>
        <w:rPr>
          <w:rFonts w:hint="eastAsia" w:ascii="宋体" w:hAnsi="宋体" w:eastAsia="宋体" w:cs="宋体"/>
          <w:sz w:val="24"/>
          <w:szCs w:val="24"/>
        </w:rPr>
        <w:t>（具体条款由甲乙双方根据该项目的特殊性协商约定）略。</w:t>
      </w:r>
    </w:p>
    <w:p>
      <w:pPr>
        <w:wordWrap w:val="0"/>
        <w:topLinePunct/>
        <w:autoSpaceDE w:val="0"/>
        <w:autoSpaceDN w:val="0"/>
        <w:adjustRightInd w:val="0"/>
        <w:snapToGrid w:val="0"/>
        <w:spacing w:line="360" w:lineRule="auto"/>
        <w:ind w:firstLine="480"/>
        <w:rPr>
          <w:rFonts w:hAnsi="宋体"/>
          <w:sz w:val="24"/>
          <w:szCs w:val="24"/>
          <w:lang w:val="zh-CN"/>
        </w:rPr>
      </w:pPr>
      <w:r>
        <w:rPr>
          <w:rFonts w:hint="eastAsia" w:ascii="宋体" w:hAnsi="宋体" w:eastAsia="宋体" w:cs="宋体"/>
          <w:sz w:val="24"/>
          <w:szCs w:val="24"/>
        </w:rPr>
        <w:t>合同特殊条款是合同一般条款的补充和修改。如果两者之间有抵触，应以特殊条款为准。</w:t>
      </w:r>
    </w:p>
    <w:p>
      <w:pPr>
        <w:pStyle w:val="19"/>
        <w:spacing w:after="120"/>
        <w:ind w:firstLine="240" w:firstLineChars="100"/>
        <w:rPr>
          <w:rFonts w:hAnsi="宋体"/>
          <w:lang w:val="zh-CN"/>
        </w:rPr>
      </w:pPr>
    </w:p>
    <w:p>
      <w:pPr>
        <w:wordWrap w:val="0"/>
        <w:topLinePunct/>
        <w:autoSpaceDE w:val="0"/>
        <w:autoSpaceDN w:val="0"/>
        <w:adjustRightInd w:val="0"/>
        <w:snapToGrid w:val="0"/>
        <w:spacing w:line="360" w:lineRule="auto"/>
        <w:jc w:val="center"/>
        <w:outlineLvl w:val="0"/>
        <w:rPr>
          <w:rFonts w:ascii="宋体" w:hAnsi="宋体" w:eastAsia="宋体" w:cs="黑体"/>
          <w:b/>
          <w:sz w:val="24"/>
          <w:szCs w:val="24"/>
          <w:lang w:val="zh-CN"/>
        </w:rPr>
      </w:pPr>
      <w:r>
        <w:rPr>
          <w:rFonts w:hint="eastAsia" w:ascii="宋体" w:hAnsi="宋体" w:eastAsia="宋体" w:cs="黑体"/>
          <w:b/>
          <w:sz w:val="24"/>
          <w:szCs w:val="24"/>
          <w:lang w:val="zh-CN"/>
        </w:rPr>
        <w:t>合同书 （参考样本）</w:t>
      </w:r>
    </w:p>
    <w:p>
      <w:pPr>
        <w:wordWrap w:val="0"/>
        <w:topLinePunct/>
        <w:autoSpaceDE w:val="0"/>
        <w:autoSpaceDN w:val="0"/>
        <w:adjustRightInd w:val="0"/>
        <w:snapToGrid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 合同编号：</w:t>
      </w:r>
    </w:p>
    <w:p>
      <w:pPr>
        <w:wordWrap w:val="0"/>
        <w:topLinePunct/>
        <w:autoSpaceDE w:val="0"/>
        <w:autoSpaceDN w:val="0"/>
        <w:adjustRightInd w:val="0"/>
        <w:snapToGrid w:val="0"/>
        <w:spacing w:line="360" w:lineRule="auto"/>
        <w:ind w:firstLine="480"/>
        <w:rPr>
          <w:rFonts w:ascii="宋体" w:hAnsi="宋体" w:eastAsia="宋体" w:cs="宋体"/>
          <w:sz w:val="24"/>
          <w:szCs w:val="24"/>
        </w:rPr>
      </w:pPr>
      <w:r>
        <w:rPr>
          <w:rFonts w:hint="eastAsia" w:ascii="宋体" w:hAnsi="宋体" w:eastAsia="宋体" w:cs="宋体"/>
          <w:sz w:val="24"/>
          <w:szCs w:val="24"/>
        </w:rPr>
        <w:t>供方：                                  需方：</w:t>
      </w:r>
    </w:p>
    <w:p>
      <w:pPr>
        <w:wordWrap w:val="0"/>
        <w:topLinePunct/>
        <w:autoSpaceDE w:val="0"/>
        <w:autoSpaceDN w:val="0"/>
        <w:adjustRightInd w:val="0"/>
        <w:snapToGrid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    供、需双方根据   年  月  日招标人签发的中标通知书和招投标文件，并经双方协商一致，在平等互利的基础上，达成以下合同条款：</w:t>
      </w:r>
    </w:p>
    <w:p>
      <w:pPr>
        <w:wordWrap w:val="0"/>
        <w:topLinePunct/>
        <w:autoSpaceDE w:val="0"/>
        <w:autoSpaceDN w:val="0"/>
        <w:adjustRightInd w:val="0"/>
        <w:snapToGrid w:val="0"/>
        <w:spacing w:line="360" w:lineRule="auto"/>
        <w:ind w:firstLine="480"/>
        <w:rPr>
          <w:rFonts w:ascii="宋体" w:hAnsi="宋体" w:eastAsia="宋体" w:cs="宋体"/>
          <w:sz w:val="24"/>
          <w:szCs w:val="24"/>
        </w:rPr>
      </w:pPr>
      <w:r>
        <w:rPr>
          <w:rFonts w:hint="eastAsia" w:ascii="宋体" w:hAnsi="宋体" w:eastAsia="宋体" w:cs="宋体"/>
          <w:sz w:val="24"/>
          <w:szCs w:val="24"/>
        </w:rPr>
        <w:t>一、招标文件、投标文件、澄清文件及材料（如果有的话）、中标通知书、合同条款、补充协议（如果有的话）均为合同不可分割的部分。</w:t>
      </w:r>
    </w:p>
    <w:p>
      <w:pPr>
        <w:wordWrap w:val="0"/>
        <w:topLinePunct/>
        <w:autoSpaceDE w:val="0"/>
        <w:autoSpaceDN w:val="0"/>
        <w:adjustRightInd w:val="0"/>
        <w:snapToGrid w:val="0"/>
        <w:spacing w:line="360" w:lineRule="auto"/>
        <w:ind w:firstLine="480"/>
        <w:rPr>
          <w:rFonts w:ascii="宋体" w:hAnsi="宋体" w:eastAsia="宋体" w:cs="宋体"/>
          <w:sz w:val="24"/>
          <w:szCs w:val="24"/>
        </w:rPr>
      </w:pPr>
      <w:r>
        <w:rPr>
          <w:rFonts w:hint="eastAsia" w:ascii="宋体" w:hAnsi="宋体" w:eastAsia="宋体" w:cs="宋体"/>
          <w:sz w:val="24"/>
          <w:szCs w:val="24"/>
        </w:rPr>
        <w:t>二、货物名称、数量、规格、型号、金额及交货期</w:t>
      </w:r>
    </w:p>
    <w:tbl>
      <w:tblPr>
        <w:tblStyle w:val="24"/>
        <w:tblW w:w="9490" w:type="dxa"/>
        <w:tblInd w:w="0" w:type="dxa"/>
        <w:tblLayout w:type="fixed"/>
        <w:tblCellMar>
          <w:top w:w="0" w:type="dxa"/>
          <w:left w:w="108" w:type="dxa"/>
          <w:bottom w:w="0" w:type="dxa"/>
          <w:right w:w="108" w:type="dxa"/>
        </w:tblCellMar>
      </w:tblPr>
      <w:tblGrid>
        <w:gridCol w:w="491"/>
        <w:gridCol w:w="1512"/>
        <w:gridCol w:w="2456"/>
        <w:gridCol w:w="567"/>
        <w:gridCol w:w="567"/>
        <w:gridCol w:w="1323"/>
        <w:gridCol w:w="1323"/>
        <w:gridCol w:w="1251"/>
      </w:tblGrid>
      <w:tr>
        <w:tblPrEx>
          <w:tblLayout w:type="fixed"/>
          <w:tblCellMar>
            <w:top w:w="0" w:type="dxa"/>
            <w:left w:w="108" w:type="dxa"/>
            <w:bottom w:w="0" w:type="dxa"/>
            <w:right w:w="108" w:type="dxa"/>
          </w:tblCellMar>
        </w:tblPrEx>
        <w:trPr>
          <w:trHeight w:val="1003" w:hRule="atLeast"/>
        </w:trPr>
        <w:tc>
          <w:tcPr>
            <w:tcW w:w="491" w:type="dxa"/>
            <w:tcBorders>
              <w:top w:val="single" w:color="auto" w:sz="6" w:space="0"/>
              <w:left w:val="single" w:color="auto" w:sz="6" w:space="0"/>
              <w:bottom w:val="single" w:color="auto" w:sz="6" w:space="0"/>
              <w:right w:val="single" w:color="auto" w:sz="6" w:space="0"/>
            </w:tcBorders>
            <w:shd w:val="clear" w:color="auto" w:fill="auto"/>
            <w:vAlign w:val="center"/>
          </w:tcPr>
          <w:p>
            <w:pPr>
              <w:wordWrap w:val="0"/>
              <w:topLinePunct/>
              <w:autoSpaceDE w:val="0"/>
              <w:autoSpaceDN w:val="0"/>
              <w:adjustRightInd w:val="0"/>
              <w:snapToGrid w:val="0"/>
              <w:spacing w:line="360" w:lineRule="auto"/>
              <w:ind w:firstLine="480"/>
              <w:rPr>
                <w:rFonts w:ascii="宋体" w:hAnsi="宋体" w:eastAsia="宋体" w:cs="宋体"/>
                <w:sz w:val="24"/>
                <w:szCs w:val="24"/>
              </w:rPr>
            </w:pPr>
            <w:r>
              <w:rPr>
                <w:rFonts w:hint="eastAsia" w:ascii="宋体" w:hAnsi="宋体" w:eastAsia="宋体" w:cs="宋体"/>
                <w:sz w:val="24"/>
                <w:szCs w:val="24"/>
              </w:rPr>
              <w:t>序号</w:t>
            </w:r>
          </w:p>
        </w:tc>
        <w:tc>
          <w:tcPr>
            <w:tcW w:w="1512" w:type="dxa"/>
            <w:tcBorders>
              <w:top w:val="single" w:color="auto" w:sz="6" w:space="0"/>
              <w:left w:val="single" w:color="auto" w:sz="6" w:space="0"/>
              <w:bottom w:val="single" w:color="auto" w:sz="6" w:space="0"/>
              <w:right w:val="single" w:color="auto" w:sz="6" w:space="0"/>
            </w:tcBorders>
            <w:shd w:val="clear" w:color="auto" w:fill="auto"/>
            <w:vAlign w:val="center"/>
          </w:tcPr>
          <w:p>
            <w:pPr>
              <w:wordWrap w:val="0"/>
              <w:topLinePunct/>
              <w:autoSpaceDE w:val="0"/>
              <w:autoSpaceDN w:val="0"/>
              <w:adjustRightInd w:val="0"/>
              <w:snapToGrid w:val="0"/>
              <w:spacing w:line="360" w:lineRule="auto"/>
              <w:ind w:firstLine="480"/>
              <w:rPr>
                <w:rFonts w:ascii="宋体" w:hAnsi="宋体" w:eastAsia="宋体" w:cs="宋体"/>
                <w:sz w:val="24"/>
                <w:szCs w:val="24"/>
              </w:rPr>
            </w:pPr>
            <w:r>
              <w:rPr>
                <w:rFonts w:hint="eastAsia" w:ascii="宋体" w:hAnsi="宋体" w:eastAsia="宋体" w:cs="宋体"/>
                <w:sz w:val="24"/>
                <w:szCs w:val="24"/>
              </w:rPr>
              <w:t>名 称</w:t>
            </w:r>
          </w:p>
        </w:tc>
        <w:tc>
          <w:tcPr>
            <w:tcW w:w="2456" w:type="dxa"/>
            <w:tcBorders>
              <w:top w:val="single" w:color="auto" w:sz="6" w:space="0"/>
              <w:left w:val="single" w:color="auto" w:sz="6" w:space="0"/>
              <w:bottom w:val="single" w:color="auto" w:sz="6" w:space="0"/>
              <w:right w:val="single" w:color="auto" w:sz="6" w:space="0"/>
            </w:tcBorders>
            <w:shd w:val="clear" w:color="auto" w:fill="auto"/>
            <w:vAlign w:val="center"/>
          </w:tcPr>
          <w:p>
            <w:pPr>
              <w:wordWrap w:val="0"/>
              <w:topLinePunct/>
              <w:autoSpaceDE w:val="0"/>
              <w:autoSpaceDN w:val="0"/>
              <w:adjustRightInd w:val="0"/>
              <w:snapToGrid w:val="0"/>
              <w:spacing w:line="360" w:lineRule="auto"/>
              <w:ind w:firstLine="480"/>
              <w:rPr>
                <w:rFonts w:ascii="宋体" w:hAnsi="宋体" w:eastAsia="宋体" w:cs="宋体"/>
                <w:sz w:val="24"/>
                <w:szCs w:val="24"/>
              </w:rPr>
            </w:pPr>
            <w:r>
              <w:rPr>
                <w:rFonts w:hint="eastAsia" w:ascii="宋体" w:hAnsi="宋体" w:eastAsia="宋体" w:cs="宋体"/>
                <w:sz w:val="24"/>
                <w:szCs w:val="24"/>
              </w:rPr>
              <w:t>规格及型号</w:t>
            </w:r>
          </w:p>
        </w:tc>
        <w:tc>
          <w:tcPr>
            <w:tcW w:w="567" w:type="dxa"/>
            <w:tcBorders>
              <w:top w:val="single" w:color="auto" w:sz="6" w:space="0"/>
              <w:left w:val="single" w:color="auto" w:sz="6" w:space="0"/>
              <w:bottom w:val="single" w:color="auto" w:sz="6" w:space="0"/>
              <w:right w:val="single" w:color="auto" w:sz="6" w:space="0"/>
            </w:tcBorders>
            <w:shd w:val="clear" w:color="auto" w:fill="auto"/>
            <w:vAlign w:val="center"/>
          </w:tcPr>
          <w:p>
            <w:pPr>
              <w:wordWrap w:val="0"/>
              <w:topLinePunct/>
              <w:autoSpaceDE w:val="0"/>
              <w:autoSpaceDN w:val="0"/>
              <w:adjustRightInd w:val="0"/>
              <w:snapToGrid w:val="0"/>
              <w:spacing w:line="360" w:lineRule="auto"/>
              <w:ind w:firstLine="480"/>
              <w:rPr>
                <w:rFonts w:ascii="宋体" w:hAnsi="宋体" w:eastAsia="宋体" w:cs="宋体"/>
                <w:sz w:val="24"/>
                <w:szCs w:val="24"/>
              </w:rPr>
            </w:pPr>
            <w:r>
              <w:rPr>
                <w:rFonts w:hint="eastAsia" w:ascii="宋体" w:hAnsi="宋体" w:eastAsia="宋体" w:cs="宋体"/>
                <w:sz w:val="24"/>
                <w:szCs w:val="24"/>
              </w:rPr>
              <w:t>单 位</w:t>
            </w:r>
          </w:p>
        </w:tc>
        <w:tc>
          <w:tcPr>
            <w:tcW w:w="567" w:type="dxa"/>
            <w:tcBorders>
              <w:top w:val="single" w:color="auto" w:sz="6" w:space="0"/>
              <w:left w:val="single" w:color="auto" w:sz="6" w:space="0"/>
              <w:bottom w:val="single" w:color="auto" w:sz="6" w:space="0"/>
              <w:right w:val="single" w:color="auto" w:sz="6" w:space="0"/>
            </w:tcBorders>
            <w:shd w:val="clear" w:color="auto" w:fill="auto"/>
            <w:vAlign w:val="center"/>
          </w:tcPr>
          <w:p>
            <w:pPr>
              <w:wordWrap w:val="0"/>
              <w:topLinePunct/>
              <w:autoSpaceDE w:val="0"/>
              <w:autoSpaceDN w:val="0"/>
              <w:adjustRightInd w:val="0"/>
              <w:snapToGrid w:val="0"/>
              <w:spacing w:line="360" w:lineRule="auto"/>
              <w:ind w:firstLine="480"/>
              <w:rPr>
                <w:rFonts w:ascii="宋体" w:hAnsi="宋体" w:eastAsia="宋体" w:cs="宋体"/>
                <w:sz w:val="24"/>
                <w:szCs w:val="24"/>
              </w:rPr>
            </w:pPr>
            <w:r>
              <w:rPr>
                <w:rFonts w:hint="eastAsia" w:ascii="宋体" w:hAnsi="宋体" w:eastAsia="宋体" w:cs="宋体"/>
                <w:sz w:val="24"/>
                <w:szCs w:val="24"/>
              </w:rPr>
              <w:t>数 量</w:t>
            </w:r>
          </w:p>
        </w:tc>
        <w:tc>
          <w:tcPr>
            <w:tcW w:w="1323" w:type="dxa"/>
            <w:tcBorders>
              <w:top w:val="single" w:color="auto" w:sz="6" w:space="0"/>
              <w:left w:val="single" w:color="auto" w:sz="6" w:space="0"/>
              <w:bottom w:val="single" w:color="auto" w:sz="6" w:space="0"/>
              <w:right w:val="single" w:color="auto" w:sz="6" w:space="0"/>
            </w:tcBorders>
            <w:shd w:val="clear" w:color="auto" w:fill="auto"/>
            <w:vAlign w:val="center"/>
          </w:tcPr>
          <w:p>
            <w:pPr>
              <w:wordWrap w:val="0"/>
              <w:topLinePunct/>
              <w:autoSpaceDE w:val="0"/>
              <w:autoSpaceDN w:val="0"/>
              <w:adjustRightInd w:val="0"/>
              <w:snapToGrid w:val="0"/>
              <w:spacing w:line="360" w:lineRule="auto"/>
              <w:ind w:firstLine="480"/>
              <w:rPr>
                <w:rFonts w:ascii="宋体" w:hAnsi="宋体" w:eastAsia="宋体" w:cs="宋体"/>
                <w:sz w:val="24"/>
                <w:szCs w:val="24"/>
              </w:rPr>
            </w:pPr>
            <w:r>
              <w:rPr>
                <w:rFonts w:hint="eastAsia" w:ascii="宋体" w:hAnsi="宋体" w:eastAsia="宋体" w:cs="宋体"/>
                <w:sz w:val="24"/>
                <w:szCs w:val="24"/>
              </w:rPr>
              <w:t>单 价</w:t>
            </w:r>
          </w:p>
        </w:tc>
        <w:tc>
          <w:tcPr>
            <w:tcW w:w="1323" w:type="dxa"/>
            <w:tcBorders>
              <w:top w:val="single" w:color="auto" w:sz="6" w:space="0"/>
              <w:left w:val="single" w:color="auto" w:sz="6" w:space="0"/>
              <w:bottom w:val="single" w:color="auto" w:sz="6" w:space="0"/>
              <w:right w:val="single" w:color="auto" w:sz="6" w:space="0"/>
            </w:tcBorders>
            <w:shd w:val="clear" w:color="auto" w:fill="auto"/>
            <w:vAlign w:val="center"/>
          </w:tcPr>
          <w:p>
            <w:pPr>
              <w:wordWrap w:val="0"/>
              <w:topLinePunct/>
              <w:autoSpaceDE w:val="0"/>
              <w:autoSpaceDN w:val="0"/>
              <w:adjustRightInd w:val="0"/>
              <w:snapToGrid w:val="0"/>
              <w:spacing w:line="360" w:lineRule="auto"/>
              <w:ind w:firstLine="480"/>
              <w:rPr>
                <w:rFonts w:ascii="宋体" w:hAnsi="宋体" w:eastAsia="宋体" w:cs="宋体"/>
                <w:sz w:val="24"/>
                <w:szCs w:val="24"/>
              </w:rPr>
            </w:pPr>
            <w:r>
              <w:rPr>
                <w:rFonts w:hint="eastAsia" w:ascii="宋体" w:hAnsi="宋体" w:eastAsia="宋体" w:cs="宋体"/>
                <w:sz w:val="24"/>
                <w:szCs w:val="24"/>
              </w:rPr>
              <w:t>总价</w:t>
            </w:r>
          </w:p>
        </w:tc>
        <w:tc>
          <w:tcPr>
            <w:tcW w:w="1251" w:type="dxa"/>
            <w:tcBorders>
              <w:top w:val="single" w:color="auto" w:sz="6" w:space="0"/>
              <w:left w:val="single" w:color="auto" w:sz="6" w:space="0"/>
              <w:bottom w:val="single" w:color="auto" w:sz="6" w:space="0"/>
              <w:right w:val="single" w:color="auto" w:sz="6" w:space="0"/>
            </w:tcBorders>
            <w:shd w:val="clear" w:color="auto" w:fill="auto"/>
            <w:vAlign w:val="center"/>
          </w:tcPr>
          <w:p>
            <w:pPr>
              <w:wordWrap w:val="0"/>
              <w:topLinePunct/>
              <w:autoSpaceDE w:val="0"/>
              <w:autoSpaceDN w:val="0"/>
              <w:adjustRightInd w:val="0"/>
              <w:snapToGrid w:val="0"/>
              <w:spacing w:line="360" w:lineRule="auto"/>
              <w:ind w:firstLine="480"/>
              <w:rPr>
                <w:rFonts w:ascii="宋体" w:hAnsi="宋体" w:eastAsia="宋体" w:cs="宋体"/>
                <w:sz w:val="24"/>
                <w:szCs w:val="24"/>
              </w:rPr>
            </w:pPr>
            <w:r>
              <w:rPr>
                <w:rFonts w:hint="eastAsia" w:ascii="宋体" w:hAnsi="宋体" w:eastAsia="宋体" w:cs="宋体"/>
                <w:sz w:val="24"/>
                <w:szCs w:val="24"/>
              </w:rPr>
              <w:t>交货期或工期</w:t>
            </w:r>
          </w:p>
        </w:tc>
      </w:tr>
      <w:tr>
        <w:tblPrEx>
          <w:tblLayout w:type="fixed"/>
          <w:tblCellMar>
            <w:top w:w="0" w:type="dxa"/>
            <w:left w:w="108" w:type="dxa"/>
            <w:bottom w:w="0" w:type="dxa"/>
            <w:right w:w="108" w:type="dxa"/>
          </w:tblCellMar>
        </w:tblPrEx>
        <w:trPr>
          <w:trHeight w:val="430" w:hRule="atLeast"/>
        </w:trPr>
        <w:tc>
          <w:tcPr>
            <w:tcW w:w="491" w:type="dxa"/>
            <w:tcBorders>
              <w:top w:val="single" w:color="auto" w:sz="6" w:space="0"/>
              <w:left w:val="single" w:color="auto" w:sz="6" w:space="0"/>
              <w:bottom w:val="single" w:color="auto" w:sz="6" w:space="0"/>
              <w:right w:val="single" w:color="auto" w:sz="6" w:space="0"/>
            </w:tcBorders>
            <w:shd w:val="clear" w:color="auto" w:fill="auto"/>
          </w:tcPr>
          <w:p>
            <w:pPr>
              <w:wordWrap w:val="0"/>
              <w:topLinePunct/>
              <w:autoSpaceDE w:val="0"/>
              <w:autoSpaceDN w:val="0"/>
              <w:adjustRightInd w:val="0"/>
              <w:snapToGrid w:val="0"/>
              <w:spacing w:line="360" w:lineRule="auto"/>
              <w:ind w:firstLine="480"/>
              <w:rPr>
                <w:rFonts w:ascii="宋体" w:hAnsi="宋体" w:eastAsia="宋体" w:cs="宋体"/>
                <w:sz w:val="24"/>
                <w:szCs w:val="24"/>
              </w:rPr>
            </w:pPr>
          </w:p>
        </w:tc>
        <w:tc>
          <w:tcPr>
            <w:tcW w:w="1512" w:type="dxa"/>
            <w:tcBorders>
              <w:top w:val="single" w:color="auto" w:sz="6" w:space="0"/>
              <w:left w:val="single" w:color="auto" w:sz="6" w:space="0"/>
              <w:bottom w:val="single" w:color="auto" w:sz="6" w:space="0"/>
              <w:right w:val="single" w:color="auto" w:sz="6" w:space="0"/>
            </w:tcBorders>
            <w:shd w:val="clear" w:color="auto" w:fill="auto"/>
          </w:tcPr>
          <w:p>
            <w:pPr>
              <w:wordWrap w:val="0"/>
              <w:topLinePunct/>
              <w:autoSpaceDE w:val="0"/>
              <w:autoSpaceDN w:val="0"/>
              <w:adjustRightInd w:val="0"/>
              <w:snapToGrid w:val="0"/>
              <w:spacing w:line="360" w:lineRule="auto"/>
              <w:ind w:firstLine="480"/>
              <w:rPr>
                <w:rFonts w:ascii="宋体" w:hAnsi="宋体" w:eastAsia="宋体" w:cs="宋体"/>
                <w:sz w:val="24"/>
                <w:szCs w:val="24"/>
              </w:rPr>
            </w:pPr>
          </w:p>
        </w:tc>
        <w:tc>
          <w:tcPr>
            <w:tcW w:w="2456" w:type="dxa"/>
            <w:tcBorders>
              <w:top w:val="single" w:color="auto" w:sz="6" w:space="0"/>
              <w:left w:val="single" w:color="auto" w:sz="6" w:space="0"/>
              <w:bottom w:val="single" w:color="auto" w:sz="6" w:space="0"/>
              <w:right w:val="single" w:color="auto" w:sz="6" w:space="0"/>
            </w:tcBorders>
            <w:shd w:val="clear" w:color="auto" w:fill="auto"/>
          </w:tcPr>
          <w:p>
            <w:pPr>
              <w:wordWrap w:val="0"/>
              <w:topLinePunct/>
              <w:autoSpaceDE w:val="0"/>
              <w:autoSpaceDN w:val="0"/>
              <w:adjustRightInd w:val="0"/>
              <w:snapToGrid w:val="0"/>
              <w:spacing w:line="360" w:lineRule="auto"/>
              <w:ind w:firstLine="480"/>
              <w:rPr>
                <w:rFonts w:ascii="宋体" w:hAnsi="宋体" w:eastAsia="宋体" w:cs="宋体"/>
                <w:sz w:val="24"/>
                <w:szCs w:val="24"/>
              </w:rPr>
            </w:pPr>
          </w:p>
        </w:tc>
        <w:tc>
          <w:tcPr>
            <w:tcW w:w="567" w:type="dxa"/>
            <w:tcBorders>
              <w:top w:val="single" w:color="auto" w:sz="6" w:space="0"/>
              <w:left w:val="single" w:color="auto" w:sz="6" w:space="0"/>
              <w:bottom w:val="single" w:color="auto" w:sz="6" w:space="0"/>
              <w:right w:val="single" w:color="auto" w:sz="6" w:space="0"/>
            </w:tcBorders>
            <w:shd w:val="clear" w:color="auto" w:fill="auto"/>
          </w:tcPr>
          <w:p>
            <w:pPr>
              <w:wordWrap w:val="0"/>
              <w:topLinePunct/>
              <w:autoSpaceDE w:val="0"/>
              <w:autoSpaceDN w:val="0"/>
              <w:adjustRightInd w:val="0"/>
              <w:snapToGrid w:val="0"/>
              <w:spacing w:line="360" w:lineRule="auto"/>
              <w:ind w:firstLine="480"/>
              <w:rPr>
                <w:rFonts w:ascii="宋体" w:hAnsi="宋体" w:eastAsia="宋体" w:cs="宋体"/>
                <w:sz w:val="24"/>
                <w:szCs w:val="24"/>
              </w:rPr>
            </w:pPr>
          </w:p>
        </w:tc>
        <w:tc>
          <w:tcPr>
            <w:tcW w:w="567" w:type="dxa"/>
            <w:tcBorders>
              <w:top w:val="single" w:color="auto" w:sz="6" w:space="0"/>
              <w:left w:val="single" w:color="auto" w:sz="6" w:space="0"/>
              <w:bottom w:val="single" w:color="auto" w:sz="6" w:space="0"/>
              <w:right w:val="single" w:color="auto" w:sz="6" w:space="0"/>
            </w:tcBorders>
            <w:shd w:val="clear" w:color="auto" w:fill="auto"/>
          </w:tcPr>
          <w:p>
            <w:pPr>
              <w:wordWrap w:val="0"/>
              <w:topLinePunct/>
              <w:autoSpaceDE w:val="0"/>
              <w:autoSpaceDN w:val="0"/>
              <w:adjustRightInd w:val="0"/>
              <w:snapToGrid w:val="0"/>
              <w:spacing w:line="360" w:lineRule="auto"/>
              <w:ind w:firstLine="480"/>
              <w:rPr>
                <w:rFonts w:ascii="宋体" w:hAnsi="宋体" w:eastAsia="宋体" w:cs="宋体"/>
                <w:sz w:val="24"/>
                <w:szCs w:val="24"/>
              </w:rPr>
            </w:pPr>
          </w:p>
        </w:tc>
        <w:tc>
          <w:tcPr>
            <w:tcW w:w="1323" w:type="dxa"/>
            <w:tcBorders>
              <w:top w:val="single" w:color="auto" w:sz="6" w:space="0"/>
              <w:left w:val="single" w:color="auto" w:sz="6" w:space="0"/>
              <w:bottom w:val="single" w:color="auto" w:sz="6" w:space="0"/>
              <w:right w:val="single" w:color="auto" w:sz="6" w:space="0"/>
            </w:tcBorders>
            <w:shd w:val="clear" w:color="auto" w:fill="auto"/>
          </w:tcPr>
          <w:p>
            <w:pPr>
              <w:wordWrap w:val="0"/>
              <w:topLinePunct/>
              <w:autoSpaceDE w:val="0"/>
              <w:autoSpaceDN w:val="0"/>
              <w:adjustRightInd w:val="0"/>
              <w:snapToGrid w:val="0"/>
              <w:spacing w:line="360" w:lineRule="auto"/>
              <w:ind w:firstLine="480"/>
              <w:rPr>
                <w:rFonts w:ascii="宋体" w:hAnsi="宋体" w:eastAsia="宋体" w:cs="宋体"/>
                <w:sz w:val="24"/>
                <w:szCs w:val="24"/>
              </w:rPr>
            </w:pPr>
          </w:p>
        </w:tc>
        <w:tc>
          <w:tcPr>
            <w:tcW w:w="1323" w:type="dxa"/>
            <w:tcBorders>
              <w:top w:val="single" w:color="auto" w:sz="6" w:space="0"/>
              <w:left w:val="single" w:color="auto" w:sz="6" w:space="0"/>
              <w:bottom w:val="single" w:color="auto" w:sz="6" w:space="0"/>
              <w:right w:val="single" w:color="auto" w:sz="6" w:space="0"/>
            </w:tcBorders>
            <w:shd w:val="clear" w:color="auto" w:fill="auto"/>
          </w:tcPr>
          <w:p>
            <w:pPr>
              <w:wordWrap w:val="0"/>
              <w:topLinePunct/>
              <w:autoSpaceDE w:val="0"/>
              <w:autoSpaceDN w:val="0"/>
              <w:adjustRightInd w:val="0"/>
              <w:snapToGrid w:val="0"/>
              <w:spacing w:line="360" w:lineRule="auto"/>
              <w:ind w:firstLine="480"/>
              <w:rPr>
                <w:rFonts w:ascii="宋体" w:hAnsi="宋体" w:eastAsia="宋体" w:cs="宋体"/>
                <w:sz w:val="24"/>
                <w:szCs w:val="24"/>
              </w:rPr>
            </w:pPr>
          </w:p>
        </w:tc>
        <w:tc>
          <w:tcPr>
            <w:tcW w:w="1251" w:type="dxa"/>
            <w:tcBorders>
              <w:top w:val="single" w:color="auto" w:sz="6" w:space="0"/>
              <w:left w:val="single" w:color="auto" w:sz="6" w:space="0"/>
              <w:bottom w:val="single" w:color="auto" w:sz="6" w:space="0"/>
              <w:right w:val="single" w:color="auto" w:sz="6" w:space="0"/>
            </w:tcBorders>
            <w:shd w:val="clear" w:color="auto" w:fill="auto"/>
          </w:tcPr>
          <w:p>
            <w:pPr>
              <w:wordWrap w:val="0"/>
              <w:topLinePunct/>
              <w:autoSpaceDE w:val="0"/>
              <w:autoSpaceDN w:val="0"/>
              <w:adjustRightInd w:val="0"/>
              <w:snapToGrid w:val="0"/>
              <w:spacing w:line="360" w:lineRule="auto"/>
              <w:ind w:firstLine="480"/>
              <w:rPr>
                <w:rFonts w:ascii="宋体" w:hAnsi="宋体" w:eastAsia="宋体" w:cs="宋体"/>
                <w:sz w:val="24"/>
                <w:szCs w:val="24"/>
              </w:rPr>
            </w:pPr>
          </w:p>
        </w:tc>
      </w:tr>
      <w:tr>
        <w:tblPrEx>
          <w:tblLayout w:type="fixed"/>
          <w:tblCellMar>
            <w:top w:w="0" w:type="dxa"/>
            <w:left w:w="108" w:type="dxa"/>
            <w:bottom w:w="0" w:type="dxa"/>
            <w:right w:w="108" w:type="dxa"/>
          </w:tblCellMar>
        </w:tblPrEx>
        <w:trPr>
          <w:trHeight w:val="446" w:hRule="atLeast"/>
        </w:trPr>
        <w:tc>
          <w:tcPr>
            <w:tcW w:w="491" w:type="dxa"/>
            <w:tcBorders>
              <w:top w:val="single" w:color="auto" w:sz="6" w:space="0"/>
              <w:left w:val="single" w:color="auto" w:sz="6" w:space="0"/>
              <w:bottom w:val="single" w:color="auto" w:sz="6" w:space="0"/>
              <w:right w:val="single" w:color="auto" w:sz="6" w:space="0"/>
            </w:tcBorders>
            <w:shd w:val="clear" w:color="auto" w:fill="auto"/>
          </w:tcPr>
          <w:p>
            <w:pPr>
              <w:wordWrap w:val="0"/>
              <w:topLinePunct/>
              <w:autoSpaceDE w:val="0"/>
              <w:autoSpaceDN w:val="0"/>
              <w:adjustRightInd w:val="0"/>
              <w:snapToGrid w:val="0"/>
              <w:spacing w:line="360" w:lineRule="auto"/>
              <w:ind w:firstLine="480"/>
              <w:rPr>
                <w:rFonts w:ascii="宋体" w:hAnsi="宋体" w:eastAsia="宋体" w:cs="宋体"/>
                <w:sz w:val="24"/>
                <w:szCs w:val="24"/>
              </w:rPr>
            </w:pPr>
          </w:p>
        </w:tc>
        <w:tc>
          <w:tcPr>
            <w:tcW w:w="1512" w:type="dxa"/>
            <w:tcBorders>
              <w:top w:val="single" w:color="auto" w:sz="6" w:space="0"/>
              <w:left w:val="single" w:color="auto" w:sz="6" w:space="0"/>
              <w:bottom w:val="single" w:color="auto" w:sz="6" w:space="0"/>
              <w:right w:val="single" w:color="auto" w:sz="6" w:space="0"/>
            </w:tcBorders>
            <w:shd w:val="clear" w:color="auto" w:fill="auto"/>
          </w:tcPr>
          <w:p>
            <w:pPr>
              <w:wordWrap w:val="0"/>
              <w:topLinePunct/>
              <w:autoSpaceDE w:val="0"/>
              <w:autoSpaceDN w:val="0"/>
              <w:adjustRightInd w:val="0"/>
              <w:snapToGrid w:val="0"/>
              <w:spacing w:line="360" w:lineRule="auto"/>
              <w:ind w:firstLine="480"/>
              <w:rPr>
                <w:rFonts w:ascii="宋体" w:hAnsi="宋体" w:eastAsia="宋体" w:cs="宋体"/>
                <w:sz w:val="24"/>
                <w:szCs w:val="24"/>
              </w:rPr>
            </w:pPr>
          </w:p>
        </w:tc>
        <w:tc>
          <w:tcPr>
            <w:tcW w:w="2456" w:type="dxa"/>
            <w:tcBorders>
              <w:top w:val="single" w:color="auto" w:sz="6" w:space="0"/>
              <w:left w:val="single" w:color="auto" w:sz="6" w:space="0"/>
              <w:bottom w:val="single" w:color="auto" w:sz="6" w:space="0"/>
              <w:right w:val="single" w:color="auto" w:sz="6" w:space="0"/>
            </w:tcBorders>
            <w:shd w:val="clear" w:color="auto" w:fill="auto"/>
          </w:tcPr>
          <w:p>
            <w:pPr>
              <w:wordWrap w:val="0"/>
              <w:topLinePunct/>
              <w:autoSpaceDE w:val="0"/>
              <w:autoSpaceDN w:val="0"/>
              <w:adjustRightInd w:val="0"/>
              <w:snapToGrid w:val="0"/>
              <w:spacing w:line="360" w:lineRule="auto"/>
              <w:ind w:firstLine="480"/>
              <w:rPr>
                <w:rFonts w:ascii="宋体" w:hAnsi="宋体" w:eastAsia="宋体" w:cs="宋体"/>
                <w:sz w:val="24"/>
                <w:szCs w:val="24"/>
              </w:rPr>
            </w:pPr>
          </w:p>
        </w:tc>
        <w:tc>
          <w:tcPr>
            <w:tcW w:w="567" w:type="dxa"/>
            <w:tcBorders>
              <w:top w:val="single" w:color="auto" w:sz="6" w:space="0"/>
              <w:left w:val="single" w:color="auto" w:sz="6" w:space="0"/>
              <w:bottom w:val="single" w:color="auto" w:sz="6" w:space="0"/>
              <w:right w:val="single" w:color="auto" w:sz="6" w:space="0"/>
            </w:tcBorders>
            <w:shd w:val="clear" w:color="auto" w:fill="auto"/>
          </w:tcPr>
          <w:p>
            <w:pPr>
              <w:wordWrap w:val="0"/>
              <w:topLinePunct/>
              <w:autoSpaceDE w:val="0"/>
              <w:autoSpaceDN w:val="0"/>
              <w:adjustRightInd w:val="0"/>
              <w:snapToGrid w:val="0"/>
              <w:spacing w:line="360" w:lineRule="auto"/>
              <w:ind w:firstLine="480"/>
              <w:rPr>
                <w:rFonts w:ascii="宋体" w:hAnsi="宋体" w:eastAsia="宋体" w:cs="宋体"/>
                <w:sz w:val="24"/>
                <w:szCs w:val="24"/>
              </w:rPr>
            </w:pPr>
          </w:p>
        </w:tc>
        <w:tc>
          <w:tcPr>
            <w:tcW w:w="567" w:type="dxa"/>
            <w:tcBorders>
              <w:top w:val="single" w:color="auto" w:sz="6" w:space="0"/>
              <w:left w:val="single" w:color="auto" w:sz="6" w:space="0"/>
              <w:bottom w:val="single" w:color="auto" w:sz="6" w:space="0"/>
              <w:right w:val="single" w:color="auto" w:sz="6" w:space="0"/>
            </w:tcBorders>
            <w:shd w:val="clear" w:color="auto" w:fill="auto"/>
          </w:tcPr>
          <w:p>
            <w:pPr>
              <w:wordWrap w:val="0"/>
              <w:topLinePunct/>
              <w:autoSpaceDE w:val="0"/>
              <w:autoSpaceDN w:val="0"/>
              <w:adjustRightInd w:val="0"/>
              <w:snapToGrid w:val="0"/>
              <w:spacing w:line="360" w:lineRule="auto"/>
              <w:ind w:firstLine="480"/>
              <w:rPr>
                <w:rFonts w:ascii="宋体" w:hAnsi="宋体" w:eastAsia="宋体" w:cs="宋体"/>
                <w:sz w:val="24"/>
                <w:szCs w:val="24"/>
              </w:rPr>
            </w:pPr>
          </w:p>
        </w:tc>
        <w:tc>
          <w:tcPr>
            <w:tcW w:w="1323" w:type="dxa"/>
            <w:tcBorders>
              <w:top w:val="single" w:color="auto" w:sz="6" w:space="0"/>
              <w:left w:val="single" w:color="auto" w:sz="6" w:space="0"/>
              <w:bottom w:val="single" w:color="auto" w:sz="6" w:space="0"/>
              <w:right w:val="single" w:color="auto" w:sz="6" w:space="0"/>
            </w:tcBorders>
            <w:shd w:val="clear" w:color="auto" w:fill="auto"/>
          </w:tcPr>
          <w:p>
            <w:pPr>
              <w:wordWrap w:val="0"/>
              <w:topLinePunct/>
              <w:autoSpaceDE w:val="0"/>
              <w:autoSpaceDN w:val="0"/>
              <w:adjustRightInd w:val="0"/>
              <w:snapToGrid w:val="0"/>
              <w:spacing w:line="360" w:lineRule="auto"/>
              <w:ind w:firstLine="480"/>
              <w:rPr>
                <w:rFonts w:ascii="宋体" w:hAnsi="宋体" w:eastAsia="宋体" w:cs="宋体"/>
                <w:sz w:val="24"/>
                <w:szCs w:val="24"/>
              </w:rPr>
            </w:pPr>
          </w:p>
        </w:tc>
        <w:tc>
          <w:tcPr>
            <w:tcW w:w="1323" w:type="dxa"/>
            <w:tcBorders>
              <w:top w:val="single" w:color="auto" w:sz="6" w:space="0"/>
              <w:left w:val="single" w:color="auto" w:sz="6" w:space="0"/>
              <w:bottom w:val="single" w:color="auto" w:sz="6" w:space="0"/>
              <w:right w:val="single" w:color="auto" w:sz="6" w:space="0"/>
            </w:tcBorders>
            <w:shd w:val="clear" w:color="auto" w:fill="auto"/>
          </w:tcPr>
          <w:p>
            <w:pPr>
              <w:wordWrap w:val="0"/>
              <w:topLinePunct/>
              <w:autoSpaceDE w:val="0"/>
              <w:autoSpaceDN w:val="0"/>
              <w:adjustRightInd w:val="0"/>
              <w:snapToGrid w:val="0"/>
              <w:spacing w:line="360" w:lineRule="auto"/>
              <w:ind w:firstLine="480"/>
              <w:rPr>
                <w:rFonts w:ascii="宋体" w:hAnsi="宋体" w:eastAsia="宋体" w:cs="宋体"/>
                <w:sz w:val="24"/>
                <w:szCs w:val="24"/>
              </w:rPr>
            </w:pPr>
          </w:p>
        </w:tc>
        <w:tc>
          <w:tcPr>
            <w:tcW w:w="1251" w:type="dxa"/>
            <w:tcBorders>
              <w:top w:val="single" w:color="auto" w:sz="6" w:space="0"/>
              <w:left w:val="single" w:color="auto" w:sz="6" w:space="0"/>
              <w:bottom w:val="single" w:color="auto" w:sz="6" w:space="0"/>
              <w:right w:val="single" w:color="auto" w:sz="6" w:space="0"/>
            </w:tcBorders>
            <w:shd w:val="clear" w:color="auto" w:fill="auto"/>
          </w:tcPr>
          <w:p>
            <w:pPr>
              <w:wordWrap w:val="0"/>
              <w:topLinePunct/>
              <w:autoSpaceDE w:val="0"/>
              <w:autoSpaceDN w:val="0"/>
              <w:adjustRightInd w:val="0"/>
              <w:snapToGrid w:val="0"/>
              <w:spacing w:line="360" w:lineRule="auto"/>
              <w:ind w:firstLine="480"/>
              <w:rPr>
                <w:rFonts w:ascii="宋体" w:hAnsi="宋体" w:eastAsia="宋体" w:cs="宋体"/>
                <w:sz w:val="24"/>
                <w:szCs w:val="24"/>
              </w:rPr>
            </w:pPr>
          </w:p>
        </w:tc>
      </w:tr>
      <w:tr>
        <w:tblPrEx>
          <w:tblLayout w:type="fixed"/>
          <w:tblCellMar>
            <w:top w:w="0" w:type="dxa"/>
            <w:left w:w="108" w:type="dxa"/>
            <w:bottom w:w="0" w:type="dxa"/>
            <w:right w:w="108" w:type="dxa"/>
          </w:tblCellMar>
        </w:tblPrEx>
        <w:trPr>
          <w:trHeight w:val="494" w:hRule="atLeast"/>
        </w:trPr>
        <w:tc>
          <w:tcPr>
            <w:tcW w:w="2003" w:type="dxa"/>
            <w:gridSpan w:val="2"/>
            <w:tcBorders>
              <w:top w:val="single" w:color="auto" w:sz="6" w:space="0"/>
              <w:left w:val="single" w:color="auto" w:sz="6" w:space="0"/>
              <w:bottom w:val="single" w:color="auto" w:sz="6" w:space="0"/>
              <w:right w:val="single" w:color="auto" w:sz="6" w:space="0"/>
            </w:tcBorders>
            <w:shd w:val="clear" w:color="auto" w:fill="auto"/>
            <w:vAlign w:val="center"/>
          </w:tcPr>
          <w:p>
            <w:pPr>
              <w:wordWrap w:val="0"/>
              <w:topLinePunct/>
              <w:autoSpaceDE w:val="0"/>
              <w:autoSpaceDN w:val="0"/>
              <w:adjustRightInd w:val="0"/>
              <w:snapToGrid w:val="0"/>
              <w:spacing w:line="360" w:lineRule="auto"/>
              <w:ind w:firstLine="480"/>
              <w:rPr>
                <w:rFonts w:ascii="宋体" w:hAnsi="宋体" w:eastAsia="宋体" w:cs="宋体"/>
                <w:sz w:val="24"/>
                <w:szCs w:val="24"/>
              </w:rPr>
            </w:pPr>
            <w:r>
              <w:rPr>
                <w:rFonts w:hint="eastAsia" w:ascii="宋体" w:hAnsi="宋体" w:eastAsia="宋体" w:cs="宋体"/>
                <w:sz w:val="24"/>
                <w:szCs w:val="24"/>
              </w:rPr>
              <w:t>合  计</w:t>
            </w:r>
          </w:p>
        </w:tc>
        <w:tc>
          <w:tcPr>
            <w:tcW w:w="7487" w:type="dxa"/>
            <w:gridSpan w:val="6"/>
            <w:tcBorders>
              <w:top w:val="single" w:color="auto" w:sz="6" w:space="0"/>
              <w:left w:val="single" w:color="auto" w:sz="6" w:space="0"/>
              <w:bottom w:val="single" w:color="auto" w:sz="6" w:space="0"/>
              <w:right w:val="single" w:color="auto" w:sz="6" w:space="0"/>
            </w:tcBorders>
            <w:shd w:val="clear" w:color="auto" w:fill="auto"/>
            <w:vAlign w:val="center"/>
          </w:tcPr>
          <w:p>
            <w:pPr>
              <w:wordWrap w:val="0"/>
              <w:topLinePunct/>
              <w:autoSpaceDE w:val="0"/>
              <w:autoSpaceDN w:val="0"/>
              <w:adjustRightInd w:val="0"/>
              <w:snapToGrid w:val="0"/>
              <w:spacing w:line="360" w:lineRule="auto"/>
              <w:ind w:firstLine="480"/>
              <w:rPr>
                <w:rFonts w:ascii="宋体" w:hAnsi="宋体" w:eastAsia="宋体" w:cs="宋体"/>
                <w:sz w:val="24"/>
                <w:szCs w:val="24"/>
              </w:rPr>
            </w:pPr>
            <w:r>
              <w:rPr>
                <w:rFonts w:hint="eastAsia" w:ascii="宋体" w:hAnsi="宋体" w:eastAsia="宋体" w:cs="宋体"/>
                <w:sz w:val="24"/>
                <w:szCs w:val="24"/>
              </w:rPr>
              <w:t>大写：　　　　　　           小写：</w:t>
            </w:r>
          </w:p>
        </w:tc>
      </w:tr>
    </w:tbl>
    <w:p>
      <w:pPr>
        <w:wordWrap w:val="0"/>
        <w:topLinePunct/>
        <w:autoSpaceDE w:val="0"/>
        <w:autoSpaceDN w:val="0"/>
        <w:adjustRightInd w:val="0"/>
        <w:snapToGrid w:val="0"/>
        <w:spacing w:line="360" w:lineRule="auto"/>
        <w:ind w:firstLine="480"/>
        <w:rPr>
          <w:rFonts w:ascii="宋体" w:hAnsi="宋体" w:eastAsia="宋体" w:cs="宋体"/>
          <w:sz w:val="24"/>
          <w:szCs w:val="24"/>
        </w:rPr>
      </w:pPr>
      <w:r>
        <w:rPr>
          <w:rFonts w:hint="eastAsia" w:ascii="宋体" w:hAnsi="宋体" w:eastAsia="宋体" w:cs="宋体"/>
          <w:sz w:val="24"/>
          <w:szCs w:val="24"/>
        </w:rPr>
        <w:t>三、设备质量要求及供方对质量负责的条件和期限</w:t>
      </w:r>
    </w:p>
    <w:p>
      <w:pPr>
        <w:wordWrap w:val="0"/>
        <w:topLinePunct/>
        <w:autoSpaceDE w:val="0"/>
        <w:autoSpaceDN w:val="0"/>
        <w:adjustRightInd w:val="0"/>
        <w:snapToGrid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    1、供方提供的货物须是全新的且保证不是库存或积压品(包括零部件)，符合国家、部委或地方相关标准以及该产品的出厂标准。</w:t>
      </w:r>
    </w:p>
    <w:p>
      <w:pPr>
        <w:wordWrap w:val="0"/>
        <w:topLinePunct/>
        <w:autoSpaceDE w:val="0"/>
        <w:autoSpaceDN w:val="0"/>
        <w:adjustRightInd w:val="0"/>
        <w:snapToGrid w:val="0"/>
        <w:spacing w:line="360" w:lineRule="auto"/>
        <w:ind w:firstLine="480"/>
        <w:rPr>
          <w:rFonts w:ascii="宋体" w:hAnsi="宋体" w:eastAsia="宋体" w:cs="宋体"/>
          <w:sz w:val="24"/>
          <w:szCs w:val="24"/>
        </w:rPr>
      </w:pPr>
      <w:r>
        <w:rPr>
          <w:rFonts w:hint="eastAsia" w:ascii="宋体" w:hAnsi="宋体" w:eastAsia="宋体" w:cs="宋体"/>
          <w:sz w:val="24"/>
          <w:szCs w:val="24"/>
        </w:rPr>
        <w:t>2、供方应在产品使用期限内，承担所提供的货物因自身质量原因产生的责任。</w:t>
      </w:r>
    </w:p>
    <w:p>
      <w:pPr>
        <w:wordWrap w:val="0"/>
        <w:topLinePunct/>
        <w:autoSpaceDE w:val="0"/>
        <w:autoSpaceDN w:val="0"/>
        <w:adjustRightInd w:val="0"/>
        <w:snapToGrid w:val="0"/>
        <w:spacing w:line="360" w:lineRule="auto"/>
        <w:ind w:firstLine="480"/>
        <w:rPr>
          <w:rFonts w:ascii="宋体" w:hAnsi="宋体" w:eastAsia="宋体" w:cs="宋体"/>
          <w:sz w:val="24"/>
          <w:szCs w:val="24"/>
        </w:rPr>
      </w:pPr>
      <w:r>
        <w:rPr>
          <w:rFonts w:hint="eastAsia" w:ascii="宋体" w:hAnsi="宋体" w:eastAsia="宋体" w:cs="宋体"/>
          <w:sz w:val="24"/>
          <w:szCs w:val="24"/>
        </w:rPr>
        <w:t>四、交货时间、地点、方式： 年 月 日前，供方负责将货物按需方规定的地点交货、安装、调试完毕，并具备验收条件。</w:t>
      </w:r>
    </w:p>
    <w:p>
      <w:pPr>
        <w:wordWrap w:val="0"/>
        <w:topLinePunct/>
        <w:autoSpaceDE w:val="0"/>
        <w:autoSpaceDN w:val="0"/>
        <w:adjustRightInd w:val="0"/>
        <w:snapToGrid w:val="0"/>
        <w:spacing w:line="360" w:lineRule="auto"/>
        <w:ind w:firstLine="480"/>
        <w:rPr>
          <w:rFonts w:ascii="宋体" w:hAnsi="宋体" w:eastAsia="宋体" w:cs="宋体"/>
          <w:sz w:val="24"/>
          <w:szCs w:val="24"/>
        </w:rPr>
      </w:pPr>
      <w:r>
        <w:rPr>
          <w:rFonts w:hint="eastAsia" w:ascii="宋体" w:hAnsi="宋体" w:eastAsia="宋体" w:cs="宋体"/>
          <w:sz w:val="24"/>
          <w:szCs w:val="24"/>
        </w:rPr>
        <w:t>五、货物标志、包装、运输：按招标文件办理。供方将货物直接运至规定的地点，运费自理。</w:t>
      </w:r>
    </w:p>
    <w:p>
      <w:pPr>
        <w:wordWrap w:val="0"/>
        <w:topLinePunct/>
        <w:autoSpaceDE w:val="0"/>
        <w:autoSpaceDN w:val="0"/>
        <w:adjustRightInd w:val="0"/>
        <w:snapToGrid w:val="0"/>
        <w:spacing w:line="360" w:lineRule="auto"/>
        <w:ind w:firstLine="480"/>
        <w:rPr>
          <w:rFonts w:ascii="宋体" w:hAnsi="宋体" w:eastAsia="宋体" w:cs="宋体"/>
          <w:sz w:val="24"/>
          <w:szCs w:val="24"/>
        </w:rPr>
      </w:pPr>
      <w:r>
        <w:rPr>
          <w:rFonts w:hint="eastAsia" w:ascii="宋体" w:hAnsi="宋体" w:eastAsia="宋体" w:cs="宋体"/>
          <w:sz w:val="24"/>
          <w:szCs w:val="24"/>
        </w:rPr>
        <w:t>六、技术资料及技术服务：供方在交货时应执行招标文件中有关技术资料、技术服务的规定，向需方交付技术资料并进行技术培训。</w:t>
      </w:r>
    </w:p>
    <w:p>
      <w:pPr>
        <w:wordWrap w:val="0"/>
        <w:topLinePunct/>
        <w:autoSpaceDE w:val="0"/>
        <w:autoSpaceDN w:val="0"/>
        <w:adjustRightInd w:val="0"/>
        <w:snapToGrid w:val="0"/>
        <w:spacing w:line="360" w:lineRule="auto"/>
        <w:ind w:firstLine="480"/>
        <w:rPr>
          <w:rFonts w:ascii="宋体" w:hAnsi="宋体" w:eastAsia="宋体" w:cs="宋体"/>
          <w:sz w:val="24"/>
          <w:szCs w:val="24"/>
        </w:rPr>
      </w:pPr>
      <w:r>
        <w:rPr>
          <w:rFonts w:hint="eastAsia" w:ascii="宋体" w:hAnsi="宋体" w:eastAsia="宋体" w:cs="宋体"/>
          <w:sz w:val="24"/>
          <w:szCs w:val="24"/>
        </w:rPr>
        <w:t>七、货物验收：验收标准按招标文件规定执行。需方有权对供方所交货物抽样做试运行实验、实验室检查。</w:t>
      </w:r>
    </w:p>
    <w:p>
      <w:pPr>
        <w:wordWrap w:val="0"/>
        <w:topLinePunct/>
        <w:autoSpaceDE w:val="0"/>
        <w:autoSpaceDN w:val="0"/>
        <w:adjustRightInd w:val="0"/>
        <w:snapToGrid w:val="0"/>
        <w:spacing w:line="360" w:lineRule="auto"/>
        <w:ind w:firstLine="480"/>
        <w:rPr>
          <w:rFonts w:ascii="宋体" w:hAnsi="宋体" w:eastAsia="宋体" w:cs="宋体"/>
          <w:sz w:val="24"/>
          <w:szCs w:val="24"/>
        </w:rPr>
      </w:pPr>
      <w:r>
        <w:rPr>
          <w:rFonts w:hint="eastAsia" w:ascii="宋体" w:hAnsi="宋体" w:eastAsia="宋体" w:cs="宋体"/>
          <w:sz w:val="24"/>
          <w:szCs w:val="24"/>
        </w:rPr>
        <w:t>八、售后服务：按招标文件及投标文件相应条款执行。</w:t>
      </w:r>
    </w:p>
    <w:p>
      <w:pPr>
        <w:wordWrap w:val="0"/>
        <w:topLinePunct/>
        <w:autoSpaceDE w:val="0"/>
        <w:autoSpaceDN w:val="0"/>
        <w:adjustRightInd w:val="0"/>
        <w:snapToGrid w:val="0"/>
        <w:spacing w:line="360" w:lineRule="auto"/>
        <w:ind w:firstLine="480"/>
        <w:rPr>
          <w:rFonts w:ascii="宋体" w:hAnsi="宋体" w:eastAsia="宋体" w:cs="宋体"/>
          <w:sz w:val="24"/>
          <w:szCs w:val="24"/>
        </w:rPr>
      </w:pPr>
      <w:r>
        <w:rPr>
          <w:rFonts w:hint="eastAsia" w:ascii="宋体" w:hAnsi="宋体" w:eastAsia="宋体" w:cs="宋体"/>
          <w:sz w:val="24"/>
          <w:szCs w:val="24"/>
        </w:rPr>
        <w:t>九、结算方式：设备到货经验收合格后付总价的   %，剩余    %满一年无质量问题一次付清。</w:t>
      </w:r>
    </w:p>
    <w:p>
      <w:pPr>
        <w:wordWrap w:val="0"/>
        <w:topLinePunct/>
        <w:autoSpaceDE w:val="0"/>
        <w:autoSpaceDN w:val="0"/>
        <w:adjustRightInd w:val="0"/>
        <w:snapToGrid w:val="0"/>
        <w:spacing w:line="360" w:lineRule="auto"/>
        <w:ind w:firstLine="480"/>
        <w:rPr>
          <w:rFonts w:ascii="宋体" w:hAnsi="宋体" w:eastAsia="宋体" w:cs="宋体"/>
          <w:sz w:val="24"/>
          <w:szCs w:val="24"/>
        </w:rPr>
      </w:pPr>
      <w:r>
        <w:rPr>
          <w:rFonts w:hint="eastAsia" w:ascii="宋体" w:hAnsi="宋体" w:eastAsia="宋体" w:cs="宋体"/>
          <w:sz w:val="24"/>
          <w:szCs w:val="24"/>
        </w:rPr>
        <w:t>十、法律责任</w:t>
      </w:r>
    </w:p>
    <w:p>
      <w:pPr>
        <w:wordWrap w:val="0"/>
        <w:topLinePunct/>
        <w:autoSpaceDE w:val="0"/>
        <w:autoSpaceDN w:val="0"/>
        <w:adjustRightInd w:val="0"/>
        <w:snapToGrid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    1、供方所交的货物品种、品牌、型号、规格、质量不符合招、投标文件及本合同规定，需方有权拒收，供方应在本合同规定的交货期内负责更换并承担因更换而支付的费用。因更换而造成的逾期交货，则按逾期交货处理。</w:t>
      </w:r>
    </w:p>
    <w:p>
      <w:pPr>
        <w:wordWrap w:val="0"/>
        <w:topLinePunct/>
        <w:autoSpaceDE w:val="0"/>
        <w:autoSpaceDN w:val="0"/>
        <w:adjustRightInd w:val="0"/>
        <w:snapToGrid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    2、供方逾期交付货物，应向需方每日支付逾期交货部分货款总值5%的违约金；在合同规定的交货期满15日仍未全部交货，按不能交货处理。仅支付已验收货物的货款，供方应承担由此发生的全部费用。</w:t>
      </w:r>
    </w:p>
    <w:p>
      <w:pPr>
        <w:wordWrap w:val="0"/>
        <w:topLinePunct/>
        <w:autoSpaceDE w:val="0"/>
        <w:autoSpaceDN w:val="0"/>
        <w:adjustRightInd w:val="0"/>
        <w:snapToGrid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    3、供方在本合同规定的交货期内不能交货，应向需方支付全部合同金额5%的违约金，需方有权终止合同。</w:t>
      </w:r>
    </w:p>
    <w:p>
      <w:pPr>
        <w:wordWrap w:val="0"/>
        <w:topLinePunct/>
        <w:autoSpaceDE w:val="0"/>
        <w:autoSpaceDN w:val="0"/>
        <w:adjustRightInd w:val="0"/>
        <w:snapToGrid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    4、需方无正当理由拒收设备，应向供方支付无正当理由拒收设备金额5%的违约金。 </w:t>
      </w:r>
    </w:p>
    <w:p>
      <w:pPr>
        <w:wordWrap w:val="0"/>
        <w:topLinePunct/>
        <w:autoSpaceDE w:val="0"/>
        <w:autoSpaceDN w:val="0"/>
        <w:adjustRightInd w:val="0"/>
        <w:snapToGrid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    5、因供方原因造成逾期付款，需方不承担责任。</w:t>
      </w:r>
    </w:p>
    <w:p>
      <w:pPr>
        <w:wordWrap w:val="0"/>
        <w:topLinePunct/>
        <w:autoSpaceDE w:val="0"/>
        <w:autoSpaceDN w:val="0"/>
        <w:adjustRightInd w:val="0"/>
        <w:snapToGrid w:val="0"/>
        <w:spacing w:line="360" w:lineRule="auto"/>
        <w:ind w:firstLine="480"/>
        <w:rPr>
          <w:rFonts w:ascii="宋体" w:hAnsi="宋体" w:eastAsia="宋体" w:cs="宋体"/>
          <w:sz w:val="24"/>
          <w:szCs w:val="24"/>
        </w:rPr>
      </w:pPr>
      <w:r>
        <w:rPr>
          <w:rFonts w:hint="eastAsia" w:ascii="宋体" w:hAnsi="宋体" w:eastAsia="宋体" w:cs="宋体"/>
          <w:sz w:val="24"/>
          <w:szCs w:val="24"/>
        </w:rPr>
        <w:t>十一、质量鉴定：因质量问题发生争议，由许昌市技术监督局或其指定的机构进行质量鉴定，该鉴定结论是终局的，供需双方均应当接受鉴定结论。</w:t>
      </w:r>
    </w:p>
    <w:p>
      <w:pPr>
        <w:wordWrap w:val="0"/>
        <w:topLinePunct/>
        <w:autoSpaceDE w:val="0"/>
        <w:autoSpaceDN w:val="0"/>
        <w:adjustRightInd w:val="0"/>
        <w:snapToGrid w:val="0"/>
        <w:spacing w:line="360" w:lineRule="auto"/>
        <w:ind w:firstLine="480"/>
        <w:rPr>
          <w:rFonts w:ascii="宋体" w:hAnsi="宋体" w:eastAsia="宋体" w:cs="宋体"/>
          <w:sz w:val="24"/>
          <w:szCs w:val="24"/>
        </w:rPr>
      </w:pPr>
      <w:r>
        <w:rPr>
          <w:rFonts w:hint="eastAsia" w:ascii="宋体" w:hAnsi="宋体" w:eastAsia="宋体" w:cs="宋体"/>
          <w:sz w:val="24"/>
          <w:szCs w:val="24"/>
        </w:rPr>
        <w:t>十二、合同生效及其它：本合同经双方法定代表人或委托代理人签字并加盖公章后生效。本合同一式　份，供需双方各一份、相关部门　份。</w:t>
      </w:r>
    </w:p>
    <w:p>
      <w:pPr>
        <w:wordWrap w:val="0"/>
        <w:topLinePunct/>
        <w:autoSpaceDE w:val="0"/>
        <w:autoSpaceDN w:val="0"/>
        <w:adjustRightInd w:val="0"/>
        <w:snapToGrid w:val="0"/>
        <w:spacing w:line="360" w:lineRule="auto"/>
        <w:ind w:firstLine="480"/>
        <w:rPr>
          <w:rFonts w:ascii="宋体" w:hAnsi="宋体" w:eastAsia="宋体" w:cs="宋体"/>
          <w:sz w:val="24"/>
          <w:szCs w:val="24"/>
        </w:rPr>
      </w:pPr>
      <w:r>
        <w:rPr>
          <w:rFonts w:hint="eastAsia" w:ascii="宋体" w:hAnsi="宋体" w:eastAsia="宋体" w:cs="宋体"/>
          <w:sz w:val="24"/>
          <w:szCs w:val="24"/>
        </w:rPr>
        <w:t>供方：                              需方：</w:t>
      </w:r>
    </w:p>
    <w:p>
      <w:pPr>
        <w:wordWrap w:val="0"/>
        <w:topLinePunct/>
        <w:autoSpaceDE w:val="0"/>
        <w:autoSpaceDN w:val="0"/>
        <w:adjustRightInd w:val="0"/>
        <w:snapToGrid w:val="0"/>
        <w:spacing w:line="360" w:lineRule="auto"/>
        <w:ind w:firstLine="480"/>
        <w:rPr>
          <w:rFonts w:ascii="宋体" w:hAnsi="宋体" w:eastAsia="宋体" w:cs="宋体"/>
          <w:sz w:val="24"/>
          <w:szCs w:val="24"/>
        </w:rPr>
      </w:pPr>
      <w:r>
        <w:rPr>
          <w:rFonts w:hint="eastAsia" w:ascii="宋体" w:hAnsi="宋体" w:eastAsia="宋体" w:cs="宋体"/>
          <w:sz w:val="24"/>
          <w:szCs w:val="24"/>
        </w:rPr>
        <w:t>地址：                              地址：</w:t>
      </w:r>
    </w:p>
    <w:p>
      <w:pPr>
        <w:wordWrap w:val="0"/>
        <w:topLinePunct/>
        <w:autoSpaceDE w:val="0"/>
        <w:autoSpaceDN w:val="0"/>
        <w:adjustRightInd w:val="0"/>
        <w:snapToGrid w:val="0"/>
        <w:spacing w:line="360" w:lineRule="auto"/>
        <w:ind w:firstLine="480"/>
        <w:rPr>
          <w:rFonts w:ascii="宋体" w:hAnsi="宋体" w:eastAsia="宋体" w:cs="宋体"/>
          <w:sz w:val="24"/>
          <w:szCs w:val="24"/>
        </w:rPr>
      </w:pPr>
      <w:r>
        <w:rPr>
          <w:rFonts w:hint="eastAsia" w:ascii="宋体" w:hAnsi="宋体" w:eastAsia="宋体" w:cs="宋体"/>
          <w:sz w:val="24"/>
          <w:szCs w:val="24"/>
        </w:rPr>
        <w:t>法定代表人：                        法定代表人：</w:t>
      </w:r>
    </w:p>
    <w:p>
      <w:pPr>
        <w:wordWrap w:val="0"/>
        <w:topLinePunct/>
        <w:autoSpaceDE w:val="0"/>
        <w:autoSpaceDN w:val="0"/>
        <w:adjustRightInd w:val="0"/>
        <w:snapToGrid w:val="0"/>
        <w:spacing w:line="360" w:lineRule="auto"/>
        <w:ind w:firstLine="480"/>
        <w:rPr>
          <w:rFonts w:ascii="宋体" w:hAnsi="宋体" w:eastAsia="宋体" w:cs="宋体"/>
          <w:sz w:val="24"/>
          <w:szCs w:val="24"/>
        </w:rPr>
      </w:pPr>
      <w:r>
        <w:rPr>
          <w:rFonts w:hint="eastAsia" w:ascii="宋体" w:hAnsi="宋体" w:eastAsia="宋体" w:cs="宋体"/>
          <w:sz w:val="24"/>
          <w:szCs w:val="24"/>
        </w:rPr>
        <w:t>委托代理人：                        委托代理人：</w:t>
      </w:r>
    </w:p>
    <w:p>
      <w:pPr>
        <w:wordWrap w:val="0"/>
        <w:topLinePunct/>
        <w:autoSpaceDE w:val="0"/>
        <w:autoSpaceDN w:val="0"/>
        <w:adjustRightInd w:val="0"/>
        <w:snapToGrid w:val="0"/>
        <w:spacing w:line="360" w:lineRule="auto"/>
        <w:ind w:firstLine="480"/>
        <w:rPr>
          <w:rFonts w:ascii="宋体" w:hAnsi="宋体" w:eastAsia="宋体" w:cs="宋体"/>
          <w:sz w:val="24"/>
          <w:szCs w:val="24"/>
        </w:rPr>
      </w:pPr>
      <w:r>
        <w:rPr>
          <w:rFonts w:hint="eastAsia" w:ascii="宋体" w:hAnsi="宋体" w:eastAsia="宋体" w:cs="宋体"/>
          <w:sz w:val="24"/>
          <w:szCs w:val="24"/>
        </w:rPr>
        <w:t>电话：                              电话：</w:t>
      </w:r>
    </w:p>
    <w:p>
      <w:pPr>
        <w:wordWrap w:val="0"/>
        <w:topLinePunct/>
        <w:autoSpaceDE w:val="0"/>
        <w:autoSpaceDN w:val="0"/>
        <w:adjustRightInd w:val="0"/>
        <w:snapToGrid w:val="0"/>
        <w:spacing w:line="360" w:lineRule="auto"/>
        <w:ind w:firstLine="480"/>
        <w:rPr>
          <w:rFonts w:ascii="宋体" w:hAnsi="宋体" w:eastAsia="宋体" w:cs="宋体"/>
          <w:sz w:val="24"/>
          <w:szCs w:val="24"/>
        </w:rPr>
      </w:pPr>
      <w:r>
        <w:rPr>
          <w:rFonts w:hint="eastAsia" w:ascii="宋体" w:hAnsi="宋体" w:eastAsia="宋体" w:cs="宋体"/>
          <w:sz w:val="24"/>
          <w:szCs w:val="24"/>
        </w:rPr>
        <w:t>开户银行：                          开户银行：</w:t>
      </w:r>
    </w:p>
    <w:p>
      <w:pPr>
        <w:wordWrap w:val="0"/>
        <w:topLinePunct/>
        <w:autoSpaceDE w:val="0"/>
        <w:autoSpaceDN w:val="0"/>
        <w:adjustRightInd w:val="0"/>
        <w:snapToGrid w:val="0"/>
        <w:spacing w:line="360" w:lineRule="auto"/>
        <w:ind w:firstLine="480"/>
        <w:rPr>
          <w:rFonts w:ascii="宋体" w:hAnsi="宋体" w:eastAsia="宋体" w:cs="宋体"/>
          <w:sz w:val="24"/>
          <w:szCs w:val="24"/>
        </w:rPr>
      </w:pPr>
      <w:r>
        <w:rPr>
          <w:rFonts w:hint="eastAsia" w:ascii="宋体" w:hAnsi="宋体" w:eastAsia="宋体" w:cs="宋体"/>
          <w:sz w:val="24"/>
          <w:szCs w:val="24"/>
        </w:rPr>
        <w:t>帐号：                              帐号：</w:t>
      </w:r>
    </w:p>
    <w:p>
      <w:pPr>
        <w:wordWrap w:val="0"/>
        <w:topLinePunct/>
        <w:autoSpaceDE w:val="0"/>
        <w:autoSpaceDN w:val="0"/>
        <w:adjustRightInd w:val="0"/>
        <w:snapToGrid w:val="0"/>
        <w:spacing w:line="360" w:lineRule="auto"/>
        <w:ind w:firstLine="480"/>
        <w:rPr>
          <w:rFonts w:ascii="宋体" w:hAnsi="宋体" w:eastAsia="宋体" w:cs="宋体"/>
          <w:sz w:val="24"/>
          <w:szCs w:val="24"/>
        </w:rPr>
      </w:pPr>
      <w:r>
        <w:rPr>
          <w:rFonts w:hint="eastAsia" w:ascii="宋体" w:hAnsi="宋体" w:eastAsia="宋体" w:cs="宋体"/>
          <w:sz w:val="24"/>
          <w:szCs w:val="24"/>
        </w:rPr>
        <w:t>税务登记证号：                      签定时间：</w:t>
      </w:r>
    </w:p>
    <w:p>
      <w:pPr>
        <w:pStyle w:val="19"/>
        <w:spacing w:line="360" w:lineRule="auto"/>
        <w:jc w:val="center"/>
        <w:rPr>
          <w:rFonts w:ascii="宋体" w:hAnsi="宋体" w:cs="宋体"/>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第八章 投标文件有关格式</w:t>
      </w: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pStyle w:val="47"/>
        <w:numPr>
          <w:ilvl w:val="0"/>
          <w:numId w:val="0"/>
        </w:numPr>
        <w:tabs>
          <w:tab w:val="left" w:pos="660"/>
        </w:tabs>
        <w:snapToGrid w:val="0"/>
        <w:spacing w:before="0" w:line="400" w:lineRule="exact"/>
        <w:rPr>
          <w:rFonts w:cs="黑体" w:asciiTheme="minorEastAsia" w:hAnsiTheme="minorEastAsia" w:eastAsiaTheme="minorEastAsia"/>
          <w:color w:val="auto"/>
          <w:kern w:val="2"/>
          <w:sz w:val="36"/>
          <w:szCs w:val="36"/>
          <w:lang w:val="zh-CN"/>
        </w:rPr>
      </w:pPr>
      <w:bookmarkStart w:id="1" w:name="_Toc184023138"/>
      <w:bookmarkStart w:id="2" w:name="_Toc186274126"/>
      <w:bookmarkStart w:id="3" w:name="_Toc174185203"/>
      <w:r>
        <w:rPr>
          <w:rFonts w:hint="eastAsia" w:cs="黑体" w:asciiTheme="minorEastAsia" w:hAnsiTheme="minorEastAsia" w:eastAsiaTheme="minorEastAsia"/>
          <w:color w:val="auto"/>
          <w:kern w:val="2"/>
          <w:sz w:val="36"/>
          <w:szCs w:val="36"/>
          <w:lang w:val="zh-CN"/>
        </w:rPr>
        <w:t>一、投标人应答索引表</w:t>
      </w:r>
      <w:bookmarkEnd w:id="1"/>
      <w:bookmarkEnd w:id="2"/>
      <w:bookmarkEnd w:id="3"/>
    </w:p>
    <w:tbl>
      <w:tblPr>
        <w:tblStyle w:val="24"/>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序号</w:t>
            </w:r>
          </w:p>
        </w:tc>
        <w:tc>
          <w:tcPr>
            <w:tcW w:w="3751" w:type="dxa"/>
            <w:gridSpan w:val="4"/>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项目</w:t>
            </w:r>
          </w:p>
        </w:tc>
        <w:tc>
          <w:tcPr>
            <w:tcW w:w="1559"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投标人应答</w:t>
            </w:r>
          </w:p>
          <w:p>
            <w:pPr>
              <w:snapToGrid w:val="0"/>
              <w:spacing w:line="400" w:lineRule="exact"/>
              <w:jc w:val="center"/>
              <w:rPr>
                <w:rFonts w:ascii="宋体" w:hAnsi="宋体" w:cs="微软雅黑"/>
                <w:b/>
                <w:sz w:val="24"/>
                <w:szCs w:val="24"/>
              </w:rPr>
            </w:pPr>
            <w:r>
              <w:rPr>
                <w:rFonts w:hint="eastAsia" w:ascii="宋体" w:hAnsi="宋体" w:cs="微软雅黑"/>
                <w:b/>
                <w:sz w:val="24"/>
                <w:szCs w:val="24"/>
              </w:rPr>
              <w:t>（有/没有）</w:t>
            </w:r>
          </w:p>
        </w:tc>
        <w:tc>
          <w:tcPr>
            <w:tcW w:w="1560"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投标文件中所在页码</w:t>
            </w:r>
          </w:p>
        </w:tc>
        <w:tc>
          <w:tcPr>
            <w:tcW w:w="2018"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4"/>
            <w:vAlign w:val="center"/>
          </w:tcPr>
          <w:p>
            <w:pPr>
              <w:pStyle w:val="13"/>
              <w:kinsoku w:val="0"/>
              <w:overflowPunct w:val="0"/>
              <w:autoSpaceDE w:val="0"/>
              <w:autoSpaceDN w:val="0"/>
              <w:spacing w:line="320" w:lineRule="exact"/>
              <w:rPr>
                <w:rFonts w:hAnsi="宋体" w:cs="微软雅黑"/>
                <w:bCs/>
                <w:kern w:val="0"/>
              </w:rPr>
            </w:pPr>
            <w:r>
              <w:rPr>
                <w:rFonts w:hint="eastAsia" w:hAnsi="宋体"/>
                <w:kern w:val="0"/>
              </w:rPr>
              <w:t>投标人应答索引表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4"/>
            <w:vAlign w:val="center"/>
          </w:tcPr>
          <w:p>
            <w:pPr>
              <w:pStyle w:val="13"/>
              <w:kinsoku w:val="0"/>
              <w:overflowPunct w:val="0"/>
              <w:autoSpaceDE w:val="0"/>
              <w:autoSpaceDN w:val="0"/>
              <w:spacing w:line="320" w:lineRule="exact"/>
              <w:rPr>
                <w:rFonts w:hAnsi="宋体"/>
                <w:kern w:val="0"/>
              </w:rPr>
            </w:pPr>
            <w:r>
              <w:rPr>
                <w:rFonts w:hint="eastAsia" w:hAnsi="宋体"/>
                <w:kern w:val="0"/>
              </w:rPr>
              <w:t>开标一览表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4"/>
            <w:vAlign w:val="center"/>
          </w:tcPr>
          <w:p>
            <w:pPr>
              <w:pStyle w:val="13"/>
              <w:kinsoku w:val="0"/>
              <w:overflowPunct w:val="0"/>
              <w:autoSpaceDE w:val="0"/>
              <w:autoSpaceDN w:val="0"/>
              <w:spacing w:line="320" w:lineRule="exact"/>
              <w:rPr>
                <w:rFonts w:hAnsi="宋体" w:cs="微软雅黑"/>
                <w:bCs/>
                <w:kern w:val="0"/>
              </w:rPr>
            </w:pPr>
            <w:r>
              <w:rPr>
                <w:rFonts w:hint="eastAsia" w:hAnsi="宋体"/>
                <w:kern w:val="0"/>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4"/>
            <w:vAlign w:val="center"/>
          </w:tcPr>
          <w:p>
            <w:pPr>
              <w:pStyle w:val="13"/>
              <w:kinsoku w:val="0"/>
              <w:overflowPunct w:val="0"/>
              <w:autoSpaceDE w:val="0"/>
              <w:autoSpaceDN w:val="0"/>
              <w:spacing w:line="320" w:lineRule="exact"/>
              <w:rPr>
                <w:rFonts w:hAnsi="宋体"/>
                <w:kern w:val="0"/>
              </w:rPr>
            </w:pPr>
            <w:r>
              <w:rPr>
                <w:rFonts w:hint="eastAsia" w:asciiTheme="majorEastAsia" w:hAnsiTheme="majorEastAsia" w:eastAsiaTheme="majorEastAsia" w:cstheme="majorEastAsia"/>
                <w:bCs/>
                <w:szCs w:val="24"/>
                <w:lang w:val="zh-CN"/>
              </w:rPr>
              <w:t>法定代表人</w:t>
            </w:r>
            <w:r>
              <w:rPr>
                <w:rFonts w:asciiTheme="majorEastAsia" w:hAnsiTheme="majorEastAsia" w:eastAsiaTheme="majorEastAsia" w:cstheme="majorEastAsia"/>
                <w:bCs/>
                <w:szCs w:val="24"/>
                <w:lang w:val="zh-CN"/>
              </w:rPr>
              <w:t>资</w:t>
            </w:r>
            <w:r>
              <w:rPr>
                <w:rFonts w:hint="eastAsia" w:asciiTheme="majorEastAsia" w:hAnsiTheme="majorEastAsia" w:eastAsiaTheme="majorEastAsia" w:cstheme="majorEastAsia"/>
                <w:bCs/>
                <w:szCs w:val="24"/>
                <w:lang w:val="zh-CN"/>
              </w:rPr>
              <w:t>格</w:t>
            </w:r>
            <w:r>
              <w:rPr>
                <w:rFonts w:asciiTheme="majorEastAsia" w:hAnsiTheme="majorEastAsia" w:eastAsiaTheme="majorEastAsia" w:cstheme="majorEastAsia"/>
                <w:bCs/>
                <w:szCs w:val="24"/>
                <w:lang w:val="zh-CN"/>
              </w:rPr>
              <w:t>证</w:t>
            </w:r>
            <w:r>
              <w:rPr>
                <w:rFonts w:hint="eastAsia" w:asciiTheme="majorEastAsia" w:hAnsiTheme="majorEastAsia" w:eastAsiaTheme="majorEastAsia" w:cstheme="majorEastAsia"/>
                <w:bCs/>
                <w:szCs w:val="24"/>
                <w:lang w:val="zh-CN"/>
              </w:rPr>
              <w:t>明</w:t>
            </w:r>
            <w:r>
              <w:rPr>
                <w:rFonts w:asciiTheme="majorEastAsia" w:hAnsiTheme="majorEastAsia" w:eastAsiaTheme="majorEastAsia" w:cstheme="majorEastAsia"/>
                <w:bCs/>
                <w:szCs w:val="24"/>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4"/>
            <w:vAlign w:val="center"/>
          </w:tcPr>
          <w:p>
            <w:pPr>
              <w:pStyle w:val="13"/>
              <w:kinsoku w:val="0"/>
              <w:overflowPunct w:val="0"/>
              <w:autoSpaceDE w:val="0"/>
              <w:autoSpaceDN w:val="0"/>
              <w:spacing w:line="320" w:lineRule="exact"/>
              <w:rPr>
                <w:rFonts w:hAnsi="宋体"/>
                <w:kern w:val="0"/>
              </w:rPr>
            </w:pPr>
            <w:r>
              <w:rPr>
                <w:rFonts w:hint="eastAsia" w:hAnsi="宋体"/>
                <w:kern w:val="0"/>
              </w:rPr>
              <w:t>法定代表人授权书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4"/>
            <w:vAlign w:val="center"/>
          </w:tcPr>
          <w:p>
            <w:pPr>
              <w:pStyle w:val="13"/>
              <w:kinsoku w:val="0"/>
              <w:overflowPunct w:val="0"/>
              <w:autoSpaceDE w:val="0"/>
              <w:autoSpaceDN w:val="0"/>
              <w:spacing w:line="320" w:lineRule="exact"/>
              <w:rPr>
                <w:rFonts w:hAnsi="宋体"/>
                <w:kern w:val="0"/>
              </w:rPr>
            </w:pPr>
            <w:r>
              <w:rPr>
                <w:rFonts w:hint="eastAsia" w:hAnsi="宋体"/>
                <w:kern w:val="0"/>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774" w:type="dxa"/>
            <w:vMerge w:val="restart"/>
            <w:tcBorders>
              <w:right w:val="single" w:color="auto" w:sz="6" w:space="0"/>
            </w:tcBorders>
            <w:vAlign w:val="center"/>
          </w:tcPr>
          <w:p>
            <w:pPr>
              <w:pStyle w:val="13"/>
              <w:kinsoku w:val="0"/>
              <w:overflowPunct w:val="0"/>
              <w:autoSpaceDE w:val="0"/>
              <w:autoSpaceDN w:val="0"/>
              <w:spacing w:line="320" w:lineRule="exact"/>
              <w:jc w:val="center"/>
              <w:rPr>
                <w:rFonts w:hAnsi="宋体" w:cs="微软雅黑"/>
                <w:bCs/>
                <w:kern w:val="0"/>
              </w:rPr>
            </w:pPr>
            <w:r>
              <w:rPr>
                <w:rFonts w:hint="eastAsia" w:hAnsi="宋体"/>
                <w:kern w:val="0"/>
                <w:szCs w:val="24"/>
              </w:rPr>
              <w:t>纳税证明</w:t>
            </w:r>
          </w:p>
        </w:tc>
        <w:tc>
          <w:tcPr>
            <w:tcW w:w="2977" w:type="dxa"/>
            <w:gridSpan w:val="3"/>
            <w:tcBorders>
              <w:left w:val="single" w:color="auto" w:sz="6" w:space="0"/>
            </w:tcBorders>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税务登记证</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kern w:val="0"/>
                <w:szCs w:val="24"/>
              </w:rPr>
            </w:pPr>
          </w:p>
        </w:tc>
        <w:tc>
          <w:tcPr>
            <w:tcW w:w="2977" w:type="dxa"/>
            <w:gridSpan w:val="3"/>
            <w:tcBorders>
              <w:left w:val="single" w:color="auto" w:sz="6" w:space="0"/>
            </w:tcBorders>
            <w:vAlign w:val="center"/>
          </w:tcPr>
          <w:p>
            <w:pPr>
              <w:pStyle w:val="13"/>
              <w:kinsoku w:val="0"/>
              <w:overflowPunct w:val="0"/>
              <w:autoSpaceDE w:val="0"/>
              <w:autoSpaceDN w:val="0"/>
              <w:spacing w:line="320" w:lineRule="exact"/>
              <w:rPr>
                <w:rFonts w:hAnsi="宋体"/>
                <w:kern w:val="0"/>
                <w:szCs w:val="24"/>
              </w:rPr>
            </w:pPr>
            <w:r>
              <w:rPr>
                <w:rFonts w:hint="eastAsia" w:asciiTheme="minorEastAsia" w:hAnsiTheme="minorEastAsia"/>
                <w:bCs/>
                <w:szCs w:val="24"/>
              </w:rPr>
              <w:t>纳税凭据复印件</w:t>
            </w:r>
          </w:p>
        </w:tc>
        <w:tc>
          <w:tcPr>
            <w:tcW w:w="1559" w:type="dxa"/>
            <w:vAlign w:val="center"/>
          </w:tcPr>
          <w:p>
            <w:pPr>
              <w:pStyle w:val="13"/>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 w:val="24"/>
                <w:szCs w:val="24"/>
              </w:rPr>
            </w:pPr>
            <w:r>
              <w:rPr>
                <w:rFonts w:hint="eastAsia" w:ascii="宋体" w:hAnsi="宋体" w:cs="微软雅黑"/>
                <w:sz w:val="24"/>
                <w:szCs w:val="24"/>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经审计财务报告</w:t>
            </w: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3"/>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3"/>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3"/>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4"/>
            <w:vAlign w:val="center"/>
          </w:tcPr>
          <w:p>
            <w:pPr>
              <w:snapToGrid w:val="0"/>
              <w:spacing w:line="400" w:lineRule="exact"/>
              <w:rPr>
                <w:rFonts w:ascii="宋体" w:hAnsi="宋体" w:cs="微软雅黑"/>
                <w:sz w:val="24"/>
                <w:szCs w:val="24"/>
              </w:rPr>
            </w:pPr>
            <w:r>
              <w:rPr>
                <w:rFonts w:hint="eastAsia" w:asciiTheme="minorEastAsia" w:hAnsiTheme="minorEastAsia"/>
                <w:bCs/>
                <w:sz w:val="24"/>
                <w:szCs w:val="24"/>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 w:val="24"/>
                <w:szCs w:val="24"/>
              </w:rPr>
            </w:pPr>
            <w:r>
              <w:rPr>
                <w:rFonts w:hint="eastAsia" w:ascii="宋体" w:hAnsi="宋体" w:cs="微软雅黑"/>
                <w:sz w:val="24"/>
                <w:szCs w:val="24"/>
              </w:rPr>
              <w:t>证明或承诺函</w:t>
            </w:r>
          </w:p>
        </w:tc>
        <w:tc>
          <w:tcPr>
            <w:tcW w:w="709" w:type="dxa"/>
            <w:gridSpan w:val="2"/>
            <w:vMerge w:val="restart"/>
            <w:tcBorders>
              <w:left w:val="single" w:color="auto" w:sz="6" w:space="0"/>
              <w:righ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证明材料</w:t>
            </w: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设备购置发票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技术人员职称证书</w:t>
            </w:r>
          </w:p>
        </w:tc>
        <w:tc>
          <w:tcPr>
            <w:tcW w:w="1559" w:type="dxa"/>
            <w:vAlign w:val="center"/>
          </w:tcPr>
          <w:p>
            <w:pPr>
              <w:pStyle w:val="13"/>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用工合同</w:t>
            </w:r>
          </w:p>
        </w:tc>
        <w:tc>
          <w:tcPr>
            <w:tcW w:w="1559" w:type="dxa"/>
            <w:vAlign w:val="center"/>
          </w:tcPr>
          <w:p>
            <w:pPr>
              <w:pStyle w:val="13"/>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p>
        </w:tc>
        <w:tc>
          <w:tcPr>
            <w:tcW w:w="2977" w:type="dxa"/>
            <w:gridSpan w:val="3"/>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r>
              <w:rPr>
                <w:rFonts w:hint="eastAsia" w:asciiTheme="minorEastAsia" w:hAnsiTheme="minorEastAsia"/>
                <w:bCs/>
                <w:szCs w:val="24"/>
              </w:rPr>
              <w:t>投标人相关承诺函或声明</w:t>
            </w:r>
          </w:p>
        </w:tc>
        <w:tc>
          <w:tcPr>
            <w:tcW w:w="1559" w:type="dxa"/>
            <w:vAlign w:val="center"/>
          </w:tcPr>
          <w:p>
            <w:pPr>
              <w:pStyle w:val="13"/>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4"/>
            <w:vAlign w:val="center"/>
          </w:tcPr>
          <w:p>
            <w:pPr>
              <w:pStyle w:val="13"/>
              <w:kinsoku w:val="0"/>
              <w:overflowPunct w:val="0"/>
              <w:autoSpaceDE w:val="0"/>
              <w:autoSpaceDN w:val="0"/>
              <w:spacing w:line="320" w:lineRule="exact"/>
              <w:rPr>
                <w:rFonts w:hAnsi="宋体" w:cs="微软雅黑"/>
                <w:bCs/>
                <w:kern w:val="0"/>
              </w:rPr>
            </w:pPr>
            <w:r>
              <w:rPr>
                <w:rFonts w:hint="eastAsia" w:hAnsi="宋体"/>
                <w:kern w:val="0"/>
              </w:rPr>
              <w:t>没有重大违法记录的声明</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4"/>
            <w:vAlign w:val="center"/>
          </w:tcPr>
          <w:p>
            <w:pPr>
              <w:pStyle w:val="13"/>
              <w:kinsoku w:val="0"/>
              <w:overflowPunct w:val="0"/>
              <w:autoSpaceDE w:val="0"/>
              <w:autoSpaceDN w:val="0"/>
              <w:spacing w:line="320" w:lineRule="exact"/>
              <w:rPr>
                <w:rFonts w:hAnsi="宋体"/>
                <w:kern w:val="0"/>
              </w:rPr>
            </w:pPr>
            <w:r>
              <w:rPr>
                <w:rFonts w:hint="eastAsia" w:hAnsi="宋体" w:cs="微软雅黑"/>
                <w:bCs/>
                <w:kern w:val="0"/>
              </w:rPr>
              <w:t>投标人须具备的特殊资质证书</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4"/>
            <w:vAlign w:val="center"/>
          </w:tcPr>
          <w:p>
            <w:pPr>
              <w:pStyle w:val="13"/>
              <w:kinsoku w:val="0"/>
              <w:overflowPunct w:val="0"/>
              <w:autoSpaceDE w:val="0"/>
              <w:autoSpaceDN w:val="0"/>
              <w:spacing w:line="320" w:lineRule="exact"/>
              <w:rPr>
                <w:rFonts w:hAnsi="宋体" w:cs="微软雅黑"/>
                <w:bCs/>
                <w:kern w:val="0"/>
              </w:rPr>
            </w:pPr>
            <w:r>
              <w:rPr>
                <w:rFonts w:hint="eastAsia" w:asciiTheme="majorEastAsia" w:hAnsiTheme="majorEastAsia" w:eastAsiaTheme="majorEastAsia" w:cstheme="majorEastAsia"/>
                <w:bCs/>
                <w:szCs w:val="24"/>
                <w:lang w:val="zh-CN"/>
              </w:rPr>
              <w:t>投标保证金缴纳回执</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 w:val="24"/>
                <w:szCs w:val="24"/>
                <w:lang w:val="zh-CN"/>
              </w:rPr>
            </w:pPr>
            <w:r>
              <w:rPr>
                <w:rFonts w:hint="eastAsia" w:asciiTheme="majorEastAsia" w:hAnsiTheme="majorEastAsia" w:eastAsiaTheme="majorEastAsia" w:cstheme="majorEastAsia"/>
                <w:bCs/>
                <w:sz w:val="24"/>
                <w:szCs w:val="24"/>
                <w:lang w:val="zh-CN"/>
              </w:rPr>
              <w:t>14</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Cs w:val="24"/>
                <w:lang w:val="zh-CN"/>
              </w:rPr>
            </w:pPr>
            <w:r>
              <w:rPr>
                <w:rFonts w:hint="eastAsia" w:asciiTheme="majorEastAsia" w:hAnsiTheme="majorEastAsia" w:eastAsiaTheme="majorEastAsia" w:cstheme="majorEastAsia"/>
                <w:bCs/>
                <w:szCs w:val="24"/>
                <w:lang w:val="zh-CN"/>
              </w:rPr>
              <w:t>联合体协议</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15</w:t>
            </w:r>
          </w:p>
        </w:tc>
        <w:tc>
          <w:tcPr>
            <w:tcW w:w="3751" w:type="dxa"/>
            <w:gridSpan w:val="4"/>
            <w:tcBorders>
              <w:top w:val="double" w:color="auto" w:sz="4" w:space="0"/>
            </w:tcBorders>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投标分项报价表</w:t>
            </w:r>
          </w:p>
        </w:tc>
        <w:tc>
          <w:tcPr>
            <w:tcW w:w="1559" w:type="dxa"/>
            <w:tcBorders>
              <w:top w:val="double" w:color="auto" w:sz="4" w:space="0"/>
            </w:tcBorders>
            <w:vAlign w:val="center"/>
          </w:tcPr>
          <w:p>
            <w:pPr>
              <w:jc w:val="cente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16</w:t>
            </w:r>
          </w:p>
        </w:tc>
        <w:tc>
          <w:tcPr>
            <w:tcW w:w="3751" w:type="dxa"/>
            <w:gridSpan w:val="4"/>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技术规格偏离表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4"/>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技术方案（实施方案）</w:t>
            </w:r>
          </w:p>
        </w:tc>
        <w:tc>
          <w:tcPr>
            <w:tcW w:w="1559" w:type="dxa"/>
            <w:vAlign w:val="center"/>
          </w:tcPr>
          <w:p>
            <w:pPr>
              <w:jc w:val="cente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4"/>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售后服务方案</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4"/>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业绩情况表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4"/>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强制节能产品政府采购清单情况</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4"/>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优先采购节能产品政府采购清单情况</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4"/>
            <w:vAlign w:val="center"/>
          </w:tcPr>
          <w:p>
            <w:pPr>
              <w:pStyle w:val="13"/>
              <w:kinsoku w:val="0"/>
              <w:overflowPunct w:val="0"/>
              <w:autoSpaceDE w:val="0"/>
              <w:autoSpaceDN w:val="0"/>
              <w:spacing w:line="320" w:lineRule="exact"/>
              <w:rPr>
                <w:rFonts w:hAnsi="宋体" w:cs="微软雅黑"/>
                <w:bCs/>
                <w:kern w:val="0"/>
              </w:rPr>
            </w:pPr>
            <w:r>
              <w:rPr>
                <w:rFonts w:hint="eastAsia" w:ascii="宋体" w:hAnsi="宋体"/>
                <w:color w:val="000000"/>
                <w:szCs w:val="24"/>
                <w:lang w:val="en-GB"/>
              </w:rPr>
              <w:t>环境标志产品政府采购清单情况</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4"/>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中小企业声明函</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4"/>
            <w:vAlign w:val="center"/>
          </w:tcPr>
          <w:p>
            <w:pPr>
              <w:pStyle w:val="13"/>
              <w:kinsoku w:val="0"/>
              <w:overflowPunct w:val="0"/>
              <w:autoSpaceDE w:val="0"/>
              <w:autoSpaceDN w:val="0"/>
              <w:spacing w:line="320" w:lineRule="exact"/>
              <w:rPr>
                <w:rFonts w:hAnsi="宋体" w:cs="微软雅黑"/>
                <w:bCs/>
                <w:kern w:val="0"/>
              </w:rPr>
            </w:pPr>
            <w:r>
              <w:rPr>
                <w:rFonts w:hint="eastAsia" w:cs="仿宋_GB2312" w:asciiTheme="minorEastAsia" w:hAnsiTheme="minorEastAsia" w:eastAsiaTheme="minorEastAsia"/>
                <w:szCs w:val="24"/>
                <w:lang w:val="zh-CN"/>
              </w:rPr>
              <w:t>残疾人福利性单位声明函</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3751" w:type="dxa"/>
            <w:gridSpan w:val="4"/>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监狱企业证明文件</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89"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1058" w:type="dxa"/>
            <w:gridSpan w:val="2"/>
            <w:tcBorders>
              <w:right w:val="single" w:color="auto" w:sz="4" w:space="0"/>
            </w:tcBorders>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CCC强制性产品认证</w:t>
            </w: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hAnsi="宋体" w:cs="微软雅黑"/>
                <w:bCs/>
                <w:kern w:val="0"/>
              </w:rPr>
            </w:pPr>
            <w:r>
              <w:rPr>
                <w:rFonts w:hint="eastAsia" w:asciiTheme="majorEastAsia" w:hAnsiTheme="majorEastAsia" w:eastAsiaTheme="majorEastAsia" w:cstheme="majorEastAsia"/>
                <w:bCs/>
                <w:szCs w:val="24"/>
                <w:lang w:val="zh-CN"/>
              </w:rPr>
              <w:t>所投产品符合国家强制性要求承诺函</w:t>
            </w:r>
          </w:p>
        </w:tc>
        <w:tc>
          <w:tcPr>
            <w:tcW w:w="1559" w:type="dxa"/>
            <w:vAlign w:val="center"/>
          </w:tcPr>
          <w:p>
            <w:pPr>
              <w:pStyle w:val="13"/>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1058" w:type="dxa"/>
            <w:gridSpan w:val="2"/>
            <w:vMerge w:val="restart"/>
            <w:tcBorders>
              <w:right w:val="single" w:color="auto" w:sz="4" w:space="0"/>
            </w:tcBorders>
            <w:vAlign w:val="center"/>
          </w:tcPr>
          <w:p>
            <w:pPr>
              <w:pStyle w:val="13"/>
              <w:kinsoku w:val="0"/>
              <w:overflowPunct w:val="0"/>
              <w:autoSpaceDE w:val="0"/>
              <w:autoSpaceDN w:val="0"/>
              <w:spacing w:line="320" w:lineRule="exact"/>
              <w:rPr>
                <w:rFonts w:cs="宋体" w:asciiTheme="minorEastAsia" w:hAnsiTheme="minorEastAsia"/>
                <w:kern w:val="0"/>
                <w:szCs w:val="24"/>
              </w:rPr>
            </w:pPr>
            <w:r>
              <w:rPr>
                <w:rFonts w:cs="宋体" w:asciiTheme="minorEastAsia" w:hAnsiTheme="minorEastAsia"/>
                <w:kern w:val="0"/>
                <w:szCs w:val="24"/>
              </w:rPr>
              <w:t>信息安全产品强制性认证</w:t>
            </w: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Cs w:val="24"/>
                <w:lang w:val="zh-CN"/>
              </w:rPr>
            </w:pPr>
            <w:r>
              <w:rPr>
                <w:rFonts w:hint="eastAsia" w:cs="宋体" w:asciiTheme="minorEastAsia" w:hAnsiTheme="minorEastAsia"/>
                <w:kern w:val="0"/>
                <w:szCs w:val="24"/>
              </w:rPr>
              <w:t>认证机构颁发的认证证书</w:t>
            </w:r>
          </w:p>
        </w:tc>
        <w:tc>
          <w:tcPr>
            <w:tcW w:w="1559" w:type="dxa"/>
            <w:vAlign w:val="center"/>
          </w:tcPr>
          <w:p>
            <w:pPr>
              <w:pStyle w:val="13"/>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1058" w:type="dxa"/>
            <w:gridSpan w:val="2"/>
            <w:vMerge w:val="continue"/>
            <w:tcBorders>
              <w:righ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Cs w:val="24"/>
                <w:lang w:val="zh-CN"/>
              </w:rPr>
            </w:pP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Cs w:val="24"/>
                <w:lang w:val="zh-CN"/>
              </w:rPr>
            </w:pPr>
            <w:r>
              <w:rPr>
                <w:rFonts w:hint="eastAsia" w:cs="宋体" w:asciiTheme="minorEastAsia" w:hAnsiTheme="minorEastAsia"/>
                <w:kern w:val="0"/>
                <w:szCs w:val="24"/>
              </w:rPr>
              <w:t>中国信息安全认证中心官网产品查询结果截图</w:t>
            </w:r>
          </w:p>
        </w:tc>
        <w:tc>
          <w:tcPr>
            <w:tcW w:w="1559" w:type="dxa"/>
            <w:vAlign w:val="center"/>
          </w:tcPr>
          <w:p>
            <w:pPr>
              <w:pStyle w:val="13"/>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28</w:t>
            </w:r>
          </w:p>
        </w:tc>
        <w:tc>
          <w:tcPr>
            <w:tcW w:w="3751" w:type="dxa"/>
            <w:gridSpan w:val="4"/>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其它资料</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p>
        </w:tc>
        <w:tc>
          <w:tcPr>
            <w:tcW w:w="3751" w:type="dxa"/>
            <w:gridSpan w:val="4"/>
            <w:vAlign w:val="center"/>
          </w:tcPr>
          <w:p>
            <w:pPr>
              <w:pStyle w:val="13"/>
              <w:kinsoku w:val="0"/>
              <w:overflowPunct w:val="0"/>
              <w:autoSpaceDE w:val="0"/>
              <w:autoSpaceDN w:val="0"/>
              <w:spacing w:line="320" w:lineRule="exact"/>
              <w:rPr>
                <w:rFonts w:hAnsi="宋体" w:cs="微软雅黑"/>
                <w:bCs/>
                <w:kern w:val="0"/>
              </w:rPr>
            </w:pP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r>
        <w:rPr>
          <w:rFonts w:hint="eastAsia" w:asciiTheme="majorEastAsia" w:hAnsiTheme="majorEastAsia" w:eastAsiaTheme="majorEastAsia"/>
          <w:b/>
          <w:snapToGrid w:val="0"/>
          <w:kern w:val="0"/>
          <w:sz w:val="36"/>
          <w:szCs w:val="36"/>
        </w:rPr>
        <w:t>二、开标一览表</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spacing w:line="360" w:lineRule="auto"/>
        <w:contextualSpacing/>
        <w:rPr>
          <w:rFonts w:asciiTheme="minorEastAsia" w:hAnsiTheme="minorEastAsia"/>
          <w:color w:val="000000"/>
          <w:sz w:val="24"/>
          <w:szCs w:val="24"/>
        </w:rPr>
      </w:pPr>
      <w:r>
        <w:rPr>
          <w:rFonts w:hint="eastAsia" w:asciiTheme="minorEastAsia" w:hAnsiTheme="minorEastAsia"/>
          <w:color w:val="000000"/>
          <w:sz w:val="24"/>
          <w:szCs w:val="24"/>
        </w:rPr>
        <w:t xml:space="preserve">项目名称：                                             </w:t>
      </w:r>
      <w:r>
        <w:rPr>
          <w:rFonts w:hint="eastAsia" w:cs="Arial" w:asciiTheme="minorEastAsia" w:hAnsiTheme="minorEastAsia"/>
          <w:sz w:val="24"/>
          <w:szCs w:val="24"/>
        </w:rPr>
        <w:t>单位：元（人民币）</w:t>
      </w:r>
    </w:p>
    <w:tbl>
      <w:tblPr>
        <w:tblStyle w:val="24"/>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交付日期（天）</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 w:val="24"/>
                <w:szCs w:val="24"/>
                <w:lang w:val="zh-CN"/>
              </w:rPr>
            </w:pPr>
            <w:r>
              <w:rPr>
                <w:rFonts w:hint="eastAsia" w:cs="宋体" w:asciiTheme="minorEastAsia" w:hAnsiTheme="minorEastAsia"/>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r>
              <w:rPr>
                <w:rFonts w:cs="Arial" w:asciiTheme="minorEastAsia" w:hAnsiTheme="minorEastAsia"/>
                <w:sz w:val="24"/>
                <w:szCs w:val="24"/>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 w:val="24"/>
                <w:szCs w:val="24"/>
                <w:lang w:val="zh-CN"/>
              </w:rPr>
            </w:pPr>
            <w:r>
              <w:rPr>
                <w:rFonts w:hint="eastAsia" w:cs="宋体" w:asciiTheme="minorEastAsia" w:hAnsiTheme="minorEastAsia"/>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投标人名称：</w:t>
      </w:r>
      <w:r>
        <w:rPr>
          <w:rFonts w:hint="eastAsia" w:cs="宋体" w:asciiTheme="minorEastAsia" w:hAnsiTheme="minorEastAsia"/>
          <w:sz w:val="24"/>
          <w:szCs w:val="24"/>
          <w:u w:val="single"/>
          <w:lang w:val="zh-CN"/>
        </w:rPr>
        <w:t xml:space="preserve">     （全称）   </w:t>
      </w:r>
      <w:r>
        <w:rPr>
          <w:rFonts w:hint="eastAsia" w:cs="宋体" w:asciiTheme="minorEastAsia" w:hAnsiTheme="minorEastAsia"/>
          <w:sz w:val="24"/>
          <w:szCs w:val="24"/>
          <w:lang w:val="zh-CN"/>
        </w:rPr>
        <w:t>（公章）：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日期：年月日</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注：交付日期指完成该项目的最终时间（日历天）。</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asciiTheme="majorEastAsia" w:hAnsiTheme="majorEastAsia" w:eastAsiaTheme="majorEastAsia"/>
          <w:b/>
          <w:snapToGrid w:val="0"/>
          <w:kern w:val="0"/>
          <w:sz w:val="36"/>
          <w:szCs w:val="36"/>
        </w:rPr>
      </w:pPr>
      <w:r>
        <w:rPr>
          <w:rFonts w:hint="eastAsia" w:cs="黑体" w:asciiTheme="minorEastAsia" w:hAnsiTheme="minorEastAsia"/>
          <w:b/>
          <w:bCs/>
          <w:sz w:val="44"/>
          <w:szCs w:val="44"/>
          <w:lang w:val="zh-CN"/>
        </w:rPr>
        <w:t>三、资格审查证明材料</w:t>
      </w:r>
    </w:p>
    <w:p>
      <w:pPr>
        <w:pStyle w:val="13"/>
        <w:spacing w:line="360" w:lineRule="auto"/>
        <w:jc w:val="center"/>
        <w:rPr>
          <w:rFonts w:asciiTheme="majorEastAsia" w:hAnsiTheme="majorEastAsia" w:eastAsiaTheme="majorEastAsia"/>
          <w:b/>
          <w:snapToGrid w:val="0"/>
          <w:kern w:val="0"/>
          <w:sz w:val="36"/>
          <w:szCs w:val="36"/>
        </w:rPr>
      </w:pPr>
      <w:r>
        <w:rPr>
          <w:rFonts w:hint="eastAsia" w:asciiTheme="majorEastAsia" w:hAnsiTheme="majorEastAsia" w:eastAsiaTheme="majorEastAsia"/>
          <w:b/>
          <w:snapToGrid w:val="0"/>
          <w:kern w:val="0"/>
          <w:sz w:val="36"/>
          <w:szCs w:val="36"/>
        </w:rPr>
        <w:t>3.1 投 标 函</w:t>
      </w:r>
    </w:p>
    <w:p>
      <w:pPr>
        <w:adjustRightInd w:val="0"/>
        <w:spacing w:line="360" w:lineRule="auto"/>
        <w:contextualSpacing/>
        <w:rPr>
          <w:rFonts w:asciiTheme="minorEastAsia" w:hAnsiTheme="minorEastAsia"/>
          <w:b/>
          <w:snapToGrid w:val="0"/>
          <w:kern w:val="0"/>
          <w:sz w:val="24"/>
          <w:szCs w:val="24"/>
        </w:rPr>
      </w:pPr>
      <w:r>
        <w:rPr>
          <w:rFonts w:hint="eastAsia" w:asciiTheme="minorEastAsia" w:hAnsiTheme="minorEastAsia"/>
          <w:snapToGrid w:val="0"/>
          <w:kern w:val="0"/>
          <w:sz w:val="24"/>
          <w:szCs w:val="24"/>
        </w:rPr>
        <w:t>致：</w:t>
      </w:r>
      <w:r>
        <w:rPr>
          <w:rFonts w:hint="eastAsia" w:asciiTheme="minorEastAsia" w:hAnsiTheme="minorEastAsia"/>
          <w:b/>
          <w:snapToGrid w:val="0"/>
          <w:kern w:val="0"/>
          <w:sz w:val="24"/>
          <w:szCs w:val="24"/>
        </w:rPr>
        <w:t>（采购人）</w:t>
      </w:r>
    </w:p>
    <w:p>
      <w:pPr>
        <w:adjustRightInd w:val="0"/>
        <w:spacing w:line="360" w:lineRule="auto"/>
        <w:ind w:firstLine="480" w:firstLineChars="200"/>
        <w:contextualSpacing/>
        <w:outlineLvl w:val="0"/>
        <w:rPr>
          <w:rFonts w:asciiTheme="minorEastAsia" w:hAnsiTheme="minorEastAsia"/>
          <w:snapToGrid w:val="0"/>
          <w:kern w:val="0"/>
          <w:sz w:val="24"/>
          <w:szCs w:val="24"/>
        </w:rPr>
      </w:pPr>
      <w:r>
        <w:rPr>
          <w:rFonts w:hint="eastAsia" w:asciiTheme="minorEastAsia" w:hAnsiTheme="minorEastAsia"/>
          <w:snapToGrid w:val="0"/>
          <w:kern w:val="0"/>
          <w:sz w:val="24"/>
          <w:szCs w:val="24"/>
        </w:rPr>
        <w:t>根据贵方_</w:t>
      </w:r>
      <w:r>
        <w:rPr>
          <w:rFonts w:hint="eastAsia" w:asciiTheme="minorEastAsia" w:hAnsiTheme="minorEastAsia"/>
          <w:snapToGrid w:val="0"/>
          <w:kern w:val="0"/>
          <w:sz w:val="24"/>
          <w:szCs w:val="24"/>
          <w:u w:val="single"/>
        </w:rPr>
        <w:t xml:space="preserve">_    </w:t>
      </w:r>
      <w:r>
        <w:rPr>
          <w:rFonts w:hint="eastAsia" w:asciiTheme="minorEastAsia" w:hAnsiTheme="minorEastAsia"/>
          <w:snapToGrid w:val="0"/>
          <w:kern w:val="0"/>
          <w:sz w:val="24"/>
          <w:szCs w:val="24"/>
        </w:rPr>
        <w:t>_（项目名称、招标编号）采购的招标公告及投标邀请，_______（姓名和职务）被正式授权并代表投标人（投标人名称、地址）提交。</w:t>
      </w:r>
    </w:p>
    <w:p>
      <w:pPr>
        <w:pStyle w:val="13"/>
        <w:adjustRightInd w:val="0"/>
        <w:spacing w:line="360" w:lineRule="auto"/>
        <w:ind w:firstLine="480" w:firstLineChars="200"/>
        <w:contextualSpacing/>
        <w:rPr>
          <w:rFonts w:asciiTheme="minorEastAsia" w:hAnsiTheme="minorEastAsia" w:eastAsiaTheme="minorEastAsia"/>
          <w:snapToGrid w:val="0"/>
          <w:kern w:val="0"/>
          <w:szCs w:val="24"/>
        </w:rPr>
      </w:pPr>
      <w:r>
        <w:rPr>
          <w:rFonts w:hint="eastAsia" w:asciiTheme="minorEastAsia" w:hAnsiTheme="minorEastAsia" w:eastAsiaTheme="minorEastAsia"/>
          <w:snapToGrid w:val="0"/>
          <w:kern w:val="0"/>
          <w:szCs w:val="24"/>
        </w:rPr>
        <w:t>我方确认收到贵方提供的（项目名称、招标编号）招标文件的全部内容。</w:t>
      </w:r>
    </w:p>
    <w:p>
      <w:pPr>
        <w:pStyle w:val="13"/>
        <w:adjustRightInd w:val="0"/>
        <w:spacing w:line="360" w:lineRule="auto"/>
        <w:ind w:firstLine="480" w:firstLineChars="200"/>
        <w:contextualSpacing/>
        <w:rPr>
          <w:rFonts w:asciiTheme="minorEastAsia" w:hAnsiTheme="minorEastAsia" w:eastAsiaTheme="minorEastAsia"/>
          <w:snapToGrid w:val="0"/>
          <w:kern w:val="0"/>
          <w:szCs w:val="24"/>
        </w:rPr>
      </w:pPr>
      <w:r>
        <w:rPr>
          <w:rFonts w:hint="eastAsia" w:asciiTheme="minorEastAsia" w:hAnsiTheme="minorEastAsia" w:eastAsiaTheme="minorEastAsia"/>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Theme="minorEastAsia" w:hAnsiTheme="minorEastAsia" w:eastAsiaTheme="minorEastAsia"/>
          <w:szCs w:val="24"/>
        </w:rPr>
        <w:t>已完全理解并接受招标文件的各项规定和要求及资金支付规定，对招标文件的合理性、合法性不再有异议。</w:t>
      </w:r>
    </w:p>
    <w:p>
      <w:pPr>
        <w:adjustRightInd w:val="0"/>
        <w:spacing w:line="360" w:lineRule="auto"/>
        <w:ind w:firstLine="480" w:firstLineChars="200"/>
        <w:contextualSpacing/>
        <w:rPr>
          <w:rFonts w:asciiTheme="minorEastAsia" w:hAnsiTheme="minorEastAsia"/>
          <w:snapToGrid w:val="0"/>
          <w:kern w:val="0"/>
          <w:sz w:val="24"/>
          <w:szCs w:val="24"/>
        </w:rPr>
      </w:pPr>
      <w:r>
        <w:rPr>
          <w:rFonts w:hint="eastAsia" w:asciiTheme="minorEastAsia" w:hAnsiTheme="minorEastAsia"/>
          <w:i/>
          <w:snapToGrid w:val="0"/>
          <w:kern w:val="0"/>
          <w:sz w:val="24"/>
          <w:szCs w:val="24"/>
          <w:u w:val="single"/>
        </w:rPr>
        <w:t xml:space="preserve">(投标人名称)     </w:t>
      </w:r>
      <w:r>
        <w:rPr>
          <w:rFonts w:hint="eastAsia" w:asciiTheme="minorEastAsia" w:hAnsiTheme="minorEastAsia"/>
          <w:snapToGrid w:val="0"/>
          <w:kern w:val="0"/>
          <w:sz w:val="24"/>
          <w:szCs w:val="24"/>
        </w:rPr>
        <w:t>作为投标人正式授权</w:t>
      </w:r>
      <w:r>
        <w:rPr>
          <w:rFonts w:hint="eastAsia" w:asciiTheme="minorEastAsia" w:hAnsiTheme="minorEastAsia"/>
          <w:i/>
          <w:snapToGrid w:val="0"/>
          <w:kern w:val="0"/>
          <w:sz w:val="24"/>
          <w:szCs w:val="24"/>
          <w:u w:val="single"/>
        </w:rPr>
        <w:t xml:space="preserve">(授权代表全名, 职务)       </w:t>
      </w:r>
      <w:r>
        <w:rPr>
          <w:rFonts w:hint="eastAsia" w:asciiTheme="minorEastAsia" w:hAnsiTheme="minorEastAsia"/>
          <w:snapToGrid w:val="0"/>
          <w:kern w:val="0"/>
          <w:sz w:val="24"/>
          <w:szCs w:val="24"/>
        </w:rPr>
        <w:t>代表我方全权处理有关本投标的一切事宜。</w:t>
      </w:r>
    </w:p>
    <w:p>
      <w:pPr>
        <w:adjustRightInd w:val="0"/>
        <w:spacing w:line="360" w:lineRule="auto"/>
        <w:ind w:firstLine="480" w:firstLineChars="200"/>
        <w:contextualSpacing/>
        <w:rPr>
          <w:rFonts w:asciiTheme="minorEastAsia" w:hAnsiTheme="minorEastAsia"/>
          <w:snapToGrid w:val="0"/>
          <w:kern w:val="0"/>
          <w:sz w:val="24"/>
          <w:szCs w:val="24"/>
        </w:rPr>
      </w:pPr>
      <w:r>
        <w:rPr>
          <w:rFonts w:hint="eastAsia" w:asciiTheme="minorEastAsia" w:hAnsiTheme="minorEastAsia"/>
          <w:snapToGrid w:val="0"/>
          <w:kern w:val="0"/>
          <w:sz w:val="24"/>
          <w:szCs w:val="24"/>
        </w:rPr>
        <w:t>在此提交的投标文件，正本一份，副本份。</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我方已完全明白招标文件的所有条款要求，并申明如下：</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一、按招标文件提供的全部货物与相关服务的投标总价详见《开标一览表》。</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二、本投标文件的有效期为投标截止时间起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19"/>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三、我方明白并同意，在规定的开标日之后，投标有效期之内撤销投标的，则贵方将不予退还投标保证金。</w:t>
      </w:r>
    </w:p>
    <w:p>
      <w:pPr>
        <w:pStyle w:val="19"/>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四、我方同意按照贵方可能提出的要求而提供与投标有关的任何其它数据、信息或资料。</w:t>
      </w:r>
    </w:p>
    <w:p>
      <w:pPr>
        <w:pStyle w:val="19"/>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五、我方理解贵方不一定接受最低投标价或任何贵方可能收到的投标。</w:t>
      </w:r>
    </w:p>
    <w:p>
      <w:pPr>
        <w:pStyle w:val="19"/>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六、我方如果中标，将保证履行招标文件及其澄清、修改文件（如果有）中的全部责任和义务，按质、按量、按期完成《项目需求》及《合同书》中的全部任务。</w:t>
      </w:r>
    </w:p>
    <w:p>
      <w:pPr>
        <w:pStyle w:val="19"/>
        <w:adjustRightInd w:val="0"/>
        <w:spacing w:line="360" w:lineRule="auto"/>
        <w:ind w:firstLine="480" w:firstLineChars="200"/>
        <w:contextualSpacing/>
        <w:rPr>
          <w:rFonts w:cs="宋体" w:asciiTheme="minorEastAsia" w:hAnsiTheme="minorEastAsia" w:eastAsiaTheme="minorEastAsia"/>
        </w:rPr>
      </w:pPr>
      <w:r>
        <w:rPr>
          <w:rFonts w:hint="eastAsia" w:cs="Courier New" w:asciiTheme="minorEastAsia" w:hAnsiTheme="minorEastAsia" w:eastAsiaTheme="minorEastAsia"/>
        </w:rPr>
        <w:t>七、我方在此保证所提交的所有文件和全部说明是真实的和正确的。</w:t>
      </w:r>
    </w:p>
    <w:p>
      <w:pPr>
        <w:pStyle w:val="13"/>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zCs w:val="24"/>
        </w:rPr>
        <w:t xml:space="preserve">八、我方投标报价已包含应向知识产权所有权人支付的所有相关税费，并保证采购人在中国使用我方提供的货物时，如有第三方提出侵犯其知识产权主张的，责任由我方承担。 </w:t>
      </w:r>
    </w:p>
    <w:p>
      <w:pPr>
        <w:pStyle w:val="13"/>
        <w:adjustRightInd w:val="0"/>
        <w:spacing w:line="360" w:lineRule="auto"/>
        <w:ind w:firstLine="480" w:firstLineChars="200"/>
        <w:contextualSpacing/>
        <w:rPr>
          <w:rFonts w:cs="Arial" w:asciiTheme="minorEastAsia" w:hAnsiTheme="minorEastAsia" w:eastAsiaTheme="minorEastAsia"/>
          <w:szCs w:val="24"/>
        </w:rPr>
      </w:pPr>
      <w:r>
        <w:rPr>
          <w:rFonts w:hint="eastAsia" w:cs="Arial" w:asciiTheme="minorEastAsia" w:hAnsiTheme="minorEastAsia" w:eastAsiaTheme="minorEastAsia"/>
          <w:szCs w:val="24"/>
        </w:rPr>
        <w:t>九、我方具备《政府采购法》第二十二条规定的条件；承诺如下：</w:t>
      </w:r>
    </w:p>
    <w:p>
      <w:pPr>
        <w:pStyle w:val="13"/>
        <w:adjustRightInd w:val="0"/>
        <w:spacing w:line="360" w:lineRule="auto"/>
        <w:ind w:firstLine="480" w:firstLineChars="200"/>
        <w:contextualSpacing/>
        <w:rPr>
          <w:rFonts w:cs="Arial" w:asciiTheme="minorEastAsia" w:hAnsiTheme="minorEastAsia" w:eastAsiaTheme="minorEastAsia"/>
          <w:szCs w:val="24"/>
        </w:rPr>
      </w:pPr>
      <w:r>
        <w:rPr>
          <w:rFonts w:hint="eastAsia" w:cs="Arial" w:asciiTheme="minorEastAsia" w:hAnsiTheme="minorEastAsia" w:eastAsiaTheme="minorEastAsia"/>
          <w:szCs w:val="24"/>
        </w:rPr>
        <w:t>（1）具有独立承担民事责任能力的在中华人民共和国境内注册的法人或其他组织或自然人，有效的营业执照（或事业法人登记证或身份证等相关证明）。</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（2）我方已依法缴纳了各项税费及社会保险费用，如有需要，可随时向采购人提供近三个月内的相关缴费证明，以便核查。</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（3）我方已依法建立健全的财务会计制度，如有需要，可随时向采购人提供相关证明材料，以便核查。</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（4）参加政府采购活动前三年内，在经营活动中没有重大违法记录。</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（5）符合法律、行政法规规定的其他条件。</w:t>
      </w:r>
    </w:p>
    <w:p>
      <w:pPr>
        <w:adjustRightInd w:val="0"/>
        <w:spacing w:line="360" w:lineRule="auto"/>
        <w:ind w:firstLine="504" w:firstLineChars="210"/>
        <w:contextualSpacing/>
        <w:rPr>
          <w:rFonts w:cs="Arial" w:asciiTheme="minorEastAsia" w:hAnsiTheme="minorEastAsia"/>
          <w:sz w:val="24"/>
          <w:szCs w:val="24"/>
        </w:rPr>
      </w:pPr>
      <w:r>
        <w:rPr>
          <w:rFonts w:hint="eastAsia" w:cs="宋体" w:asciiTheme="minorEastAsia" w:hAnsiTheme="minorEastAsia"/>
          <w:sz w:val="24"/>
          <w:szCs w:val="24"/>
        </w:rPr>
        <w:t>以上内容如有虚假或与事实不符的，评审委员会可将</w:t>
      </w:r>
      <w:r>
        <w:rPr>
          <w:rFonts w:hint="eastAsia" w:cs="Arial" w:asciiTheme="minorEastAsia" w:hAnsiTheme="minorEastAsia"/>
          <w:sz w:val="24"/>
          <w:szCs w:val="24"/>
        </w:rPr>
        <w:t>我方做无效投标处理，我方愿意承担相应的法律责任。</w:t>
      </w:r>
    </w:p>
    <w:p>
      <w:pPr>
        <w:pStyle w:val="13"/>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zCs w:val="24"/>
        </w:rPr>
        <w:t>十、我方具备履行合同所必需的设备和专业技术能力。</w:t>
      </w:r>
    </w:p>
    <w:p>
      <w:pPr>
        <w:pStyle w:val="13"/>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napToGrid w:val="0"/>
          <w:kern w:val="0"/>
          <w:szCs w:val="24"/>
        </w:rPr>
        <w:t>十一、</w:t>
      </w:r>
      <w:r>
        <w:rPr>
          <w:rFonts w:hint="eastAsia" w:asciiTheme="minorEastAsia" w:hAnsiTheme="minorEastAsia" w:eastAsiaTheme="minorEastAsia"/>
          <w:szCs w:val="24"/>
        </w:rPr>
        <w:t>我方对在本函及投标文件中所作的所有承诺承担法律责任。</w:t>
      </w:r>
    </w:p>
    <w:p>
      <w:pPr>
        <w:pStyle w:val="13"/>
        <w:adjustRightInd w:val="0"/>
        <w:snapToGrid w:val="0"/>
        <w:spacing w:line="360" w:lineRule="auto"/>
        <w:rPr>
          <w:rFonts w:asciiTheme="minorEastAsia" w:hAnsiTheme="minorEastAsia" w:eastAsiaTheme="minorEastAsia"/>
          <w:szCs w:val="24"/>
        </w:rPr>
      </w:pPr>
    </w:p>
    <w:p>
      <w:pPr>
        <w:pStyle w:val="13"/>
        <w:adjustRightInd w:val="0"/>
        <w:snapToGrid w:val="0"/>
        <w:spacing w:line="360" w:lineRule="auto"/>
        <w:rPr>
          <w:rFonts w:asciiTheme="minorEastAsia" w:hAnsiTheme="minorEastAsia" w:eastAsiaTheme="minorEastAsia"/>
          <w:szCs w:val="24"/>
        </w:rPr>
      </w:pPr>
      <w:r>
        <w:rPr>
          <w:rFonts w:hint="eastAsia" w:asciiTheme="minorEastAsia" w:hAnsiTheme="minorEastAsia" w:eastAsiaTheme="minorEastAsia"/>
          <w:szCs w:val="24"/>
        </w:rPr>
        <w:t>所有与本招标有关的一切正式往来请寄：</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地    址：.  邮政编码：.</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电    话：.  传    真：.</w:t>
      </w:r>
    </w:p>
    <w:p>
      <w:pPr>
        <w:adjustRightInd w:val="0"/>
        <w:snapToGrid w:val="0"/>
        <w:spacing w:line="360" w:lineRule="auto"/>
        <w:rPr>
          <w:rFonts w:cs="宋体" w:asciiTheme="minorEastAsia" w:hAnsiTheme="minorEastAsia"/>
          <w:sz w:val="24"/>
          <w:szCs w:val="24"/>
          <w:u w:val="single"/>
        </w:rPr>
      </w:pPr>
      <w:r>
        <w:rPr>
          <w:rFonts w:hint="eastAsia" w:cs="宋体" w:asciiTheme="minorEastAsia" w:hAnsiTheme="minorEastAsia"/>
          <w:sz w:val="24"/>
          <w:szCs w:val="24"/>
        </w:rPr>
        <w:t>投标人代表姓名：.  职    务：.</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投标人法定代表人（或法定代表人授权代表）签字或盖章：</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投标人名称（盖章）：</w:t>
      </w:r>
    </w:p>
    <w:p>
      <w:pPr>
        <w:adjustRightInd w:val="0"/>
        <w:snapToGrid w:val="0"/>
        <w:spacing w:line="360" w:lineRule="auto"/>
        <w:ind w:firstLine="4920" w:firstLineChars="2050"/>
        <w:rPr>
          <w:rFonts w:cs="宋体" w:asciiTheme="minorEastAsia" w:hAnsiTheme="minorEastAsia"/>
          <w:sz w:val="24"/>
          <w:szCs w:val="24"/>
        </w:rPr>
      </w:pPr>
      <w:r>
        <w:rPr>
          <w:rFonts w:hint="eastAsia" w:cs="宋体" w:asciiTheme="minorEastAsia" w:hAnsiTheme="minorEastAsia"/>
          <w:sz w:val="24"/>
          <w:szCs w:val="24"/>
        </w:rPr>
        <w:t>日期：   年   月   日</w:t>
      </w:r>
    </w:p>
    <w:p>
      <w:pPr>
        <w:spacing w:line="480" w:lineRule="exact"/>
        <w:jc w:val="center"/>
        <w:rPr>
          <w:rFonts w:asciiTheme="majorEastAsia" w:hAnsiTheme="majorEastAsia" w:eastAsiaTheme="majorEastAsia"/>
          <w:b/>
          <w:bCs/>
          <w:color w:val="000000"/>
          <w:sz w:val="36"/>
          <w:szCs w:val="36"/>
        </w:rPr>
      </w:pPr>
      <w:r>
        <w:rPr>
          <w:rFonts w:hint="eastAsia" w:asciiTheme="majorEastAsia" w:hAnsiTheme="majorEastAsia" w:eastAsiaTheme="majorEastAsia"/>
          <w:b/>
          <w:bCs/>
          <w:color w:val="000000"/>
          <w:sz w:val="36"/>
          <w:szCs w:val="36"/>
        </w:rPr>
        <w:t>3.2 法定代表人</w:t>
      </w:r>
      <w:r>
        <w:rPr>
          <w:rFonts w:asciiTheme="majorEastAsia" w:hAnsiTheme="majorEastAsia" w:eastAsiaTheme="majorEastAsia"/>
          <w:b/>
          <w:bCs/>
          <w:color w:val="000000"/>
          <w:sz w:val="36"/>
          <w:szCs w:val="36"/>
        </w:rPr>
        <w:t>资</w:t>
      </w:r>
      <w:r>
        <w:rPr>
          <w:rFonts w:hint="eastAsia" w:asciiTheme="majorEastAsia" w:hAnsiTheme="majorEastAsia" w:eastAsiaTheme="majorEastAsia"/>
          <w:b/>
          <w:bCs/>
          <w:color w:val="000000"/>
          <w:sz w:val="36"/>
          <w:szCs w:val="36"/>
        </w:rPr>
        <w:t>格</w:t>
      </w:r>
      <w:r>
        <w:rPr>
          <w:rFonts w:asciiTheme="majorEastAsia" w:hAnsiTheme="majorEastAsia" w:eastAsiaTheme="majorEastAsia"/>
          <w:b/>
          <w:bCs/>
          <w:color w:val="000000"/>
          <w:sz w:val="36"/>
          <w:szCs w:val="36"/>
        </w:rPr>
        <w:t>证</w:t>
      </w:r>
      <w:r>
        <w:rPr>
          <w:rFonts w:hint="eastAsia" w:asciiTheme="majorEastAsia" w:hAnsiTheme="majorEastAsia" w:eastAsiaTheme="majorEastAsia"/>
          <w:b/>
          <w:bCs/>
          <w:color w:val="000000"/>
          <w:sz w:val="36"/>
          <w:szCs w:val="36"/>
        </w:rPr>
        <w:t>明</w:t>
      </w:r>
      <w:r>
        <w:rPr>
          <w:rFonts w:asciiTheme="majorEastAsia" w:hAnsiTheme="majorEastAsia" w:eastAsiaTheme="majorEastAsia"/>
          <w:b/>
          <w:bCs/>
          <w:color w:val="000000"/>
          <w:sz w:val="36"/>
          <w:szCs w:val="36"/>
        </w:rPr>
        <w:t>书</w:t>
      </w:r>
    </w:p>
    <w:p>
      <w:pPr>
        <w:autoSpaceDE w:val="0"/>
        <w:autoSpaceDN w:val="0"/>
        <w:adjustRightInd w:val="0"/>
        <w:spacing w:line="480" w:lineRule="auto"/>
        <w:ind w:firstLine="616" w:firstLineChars="257"/>
        <w:rPr>
          <w:rFonts w:ascii="宋体" w:hAnsi="宋体"/>
          <w:color w:val="000000"/>
          <w:sz w:val="24"/>
          <w:szCs w:val="24"/>
        </w:rPr>
      </w:pPr>
    </w:p>
    <w:p>
      <w:pPr>
        <w:pStyle w:val="38"/>
        <w:spacing w:line="480" w:lineRule="auto"/>
        <w:ind w:firstLine="540" w:firstLineChars="225"/>
        <w:jc w:val="left"/>
        <w:rPr>
          <w:rFonts w:asciiTheme="minorEastAsia" w:hAnsiTheme="minorEastAsia"/>
          <w:color w:val="000000"/>
          <w:szCs w:val="24"/>
        </w:rPr>
      </w:pPr>
      <w:r>
        <w:rPr>
          <w:rFonts w:asciiTheme="minorEastAsia" w:hAnsiTheme="minorEastAsia"/>
          <w:color w:val="000000"/>
          <w:szCs w:val="24"/>
        </w:rPr>
        <w:t>单</w:t>
      </w:r>
      <w:r>
        <w:rPr>
          <w:rFonts w:hint="eastAsia" w:asciiTheme="minorEastAsia" w:hAnsiTheme="minorEastAsia"/>
          <w:color w:val="000000"/>
          <w:szCs w:val="24"/>
        </w:rPr>
        <w:t>位名</w:t>
      </w:r>
      <w:r>
        <w:rPr>
          <w:rFonts w:asciiTheme="minorEastAsia" w:hAnsiTheme="minorEastAsia"/>
          <w:color w:val="000000"/>
          <w:szCs w:val="24"/>
        </w:rPr>
        <w:t>称</w:t>
      </w:r>
      <w:r>
        <w:rPr>
          <w:rFonts w:hint="eastAsia" w:asciiTheme="minorEastAsia" w:hAnsiTheme="minorEastAsia"/>
          <w:color w:val="000000"/>
          <w:szCs w:val="24"/>
        </w:rPr>
        <w:t>：</w:t>
      </w:r>
    </w:p>
    <w:p>
      <w:pPr>
        <w:pStyle w:val="38"/>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地址：</w:t>
      </w:r>
    </w:p>
    <w:p>
      <w:pPr>
        <w:pStyle w:val="38"/>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姓名：       性</w:t>
      </w:r>
      <w:r>
        <w:rPr>
          <w:rFonts w:asciiTheme="minorEastAsia" w:hAnsiTheme="minorEastAsia"/>
          <w:color w:val="000000"/>
          <w:szCs w:val="24"/>
        </w:rPr>
        <w:t>别</w:t>
      </w:r>
      <w:r>
        <w:rPr>
          <w:rFonts w:hint="eastAsia" w:asciiTheme="minorEastAsia" w:hAnsiTheme="minorEastAsia"/>
          <w:color w:val="000000"/>
          <w:szCs w:val="24"/>
        </w:rPr>
        <w:t>：     年</w:t>
      </w:r>
      <w:r>
        <w:rPr>
          <w:rFonts w:asciiTheme="minorEastAsia" w:hAnsiTheme="minorEastAsia"/>
          <w:color w:val="000000"/>
          <w:szCs w:val="24"/>
        </w:rPr>
        <w:t>龄</w:t>
      </w:r>
      <w:r>
        <w:rPr>
          <w:rFonts w:hint="eastAsia" w:asciiTheme="minorEastAsia" w:hAnsiTheme="minorEastAsia"/>
          <w:color w:val="000000"/>
          <w:szCs w:val="24"/>
        </w:rPr>
        <w:t>：</w:t>
      </w:r>
      <w:r>
        <w:rPr>
          <w:rFonts w:asciiTheme="minorEastAsia" w:hAnsiTheme="minorEastAsia"/>
          <w:color w:val="000000"/>
          <w:szCs w:val="24"/>
        </w:rPr>
        <w:t xml:space="preserve">     职务</w:t>
      </w:r>
      <w:r>
        <w:rPr>
          <w:rFonts w:hint="eastAsia" w:asciiTheme="minorEastAsia" w:hAnsiTheme="minorEastAsia"/>
          <w:color w:val="000000"/>
          <w:szCs w:val="24"/>
        </w:rPr>
        <w:t xml:space="preserve">：        </w:t>
      </w:r>
    </w:p>
    <w:p>
      <w:pPr>
        <w:pStyle w:val="38"/>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本人系</w:t>
      </w:r>
      <w:r>
        <w:rPr>
          <w:rFonts w:hint="eastAsia" w:asciiTheme="minorEastAsia" w:hAnsiTheme="minorEastAsia"/>
          <w:i/>
          <w:snapToGrid w:val="0"/>
          <w:szCs w:val="24"/>
          <w:u w:val="single"/>
        </w:rPr>
        <w:t>投</w:t>
      </w:r>
      <w:r>
        <w:rPr>
          <w:rFonts w:asciiTheme="minorEastAsia" w:hAnsiTheme="minorEastAsia"/>
          <w:i/>
          <w:snapToGrid w:val="0"/>
          <w:szCs w:val="24"/>
          <w:u w:val="single"/>
        </w:rPr>
        <w:t>标</w:t>
      </w:r>
      <w:r>
        <w:rPr>
          <w:rFonts w:hint="eastAsia" w:asciiTheme="minorEastAsia" w:hAnsiTheme="minorEastAsia"/>
          <w:i/>
          <w:snapToGrid w:val="0"/>
          <w:szCs w:val="24"/>
          <w:u w:val="single"/>
        </w:rPr>
        <w:t>人名</w:t>
      </w:r>
      <w:r>
        <w:rPr>
          <w:rFonts w:asciiTheme="minorEastAsia" w:hAnsiTheme="minorEastAsia"/>
          <w:i/>
          <w:snapToGrid w:val="0"/>
          <w:szCs w:val="24"/>
          <w:u w:val="single"/>
        </w:rPr>
        <w:t>称</w:t>
      </w:r>
      <w:r>
        <w:rPr>
          <w:rFonts w:hint="eastAsia" w:asciiTheme="minorEastAsia" w:hAnsiTheme="minorEastAsia"/>
          <w:color w:val="000000"/>
          <w:szCs w:val="24"/>
        </w:rPr>
        <w:t>的法定代表人。就</w:t>
      </w:r>
      <w:r>
        <w:rPr>
          <w:rFonts w:asciiTheme="minorEastAsia" w:hAnsiTheme="minorEastAsia"/>
          <w:color w:val="000000"/>
          <w:szCs w:val="24"/>
        </w:rPr>
        <w:t>参</w:t>
      </w:r>
      <w:r>
        <w:rPr>
          <w:rFonts w:hint="eastAsia" w:asciiTheme="minorEastAsia" w:hAnsiTheme="minorEastAsia"/>
          <w:color w:val="000000"/>
          <w:szCs w:val="24"/>
        </w:rPr>
        <w:t>加贵方招</w:t>
      </w:r>
      <w:r>
        <w:rPr>
          <w:rFonts w:asciiTheme="minorEastAsia" w:hAnsiTheme="minorEastAsia"/>
          <w:color w:val="000000"/>
          <w:szCs w:val="24"/>
        </w:rPr>
        <w:t>标编号为</w:t>
      </w:r>
      <w:r>
        <w:rPr>
          <w:rFonts w:asciiTheme="minorEastAsia" w:hAnsiTheme="minorEastAsia"/>
          <w:i/>
          <w:color w:val="000000"/>
          <w:szCs w:val="24"/>
          <w:u w:val="single"/>
        </w:rPr>
        <w:t>项目编号</w:t>
      </w:r>
      <w:r>
        <w:rPr>
          <w:rFonts w:hint="eastAsia" w:asciiTheme="minorEastAsia" w:hAnsiTheme="minorEastAsia"/>
          <w:color w:val="000000"/>
          <w:szCs w:val="24"/>
        </w:rPr>
        <w:t>的</w:t>
      </w:r>
      <w:r>
        <w:rPr>
          <w:rFonts w:asciiTheme="minorEastAsia" w:hAnsiTheme="minorEastAsia"/>
          <w:i/>
          <w:color w:val="000000"/>
          <w:szCs w:val="24"/>
          <w:u w:val="single"/>
        </w:rPr>
        <w:t>项目</w:t>
      </w:r>
      <w:r>
        <w:rPr>
          <w:rFonts w:hint="eastAsia" w:asciiTheme="minorEastAsia" w:hAnsiTheme="minorEastAsia"/>
          <w:i/>
          <w:color w:val="000000"/>
          <w:szCs w:val="24"/>
          <w:u w:val="single"/>
        </w:rPr>
        <w:t>名</w:t>
      </w:r>
      <w:r>
        <w:rPr>
          <w:rFonts w:asciiTheme="minorEastAsia" w:hAnsiTheme="minorEastAsia"/>
          <w:i/>
          <w:color w:val="000000"/>
          <w:szCs w:val="24"/>
          <w:u w:val="single"/>
        </w:rPr>
        <w:t>称</w:t>
      </w:r>
      <w:r>
        <w:rPr>
          <w:rFonts w:hint="eastAsia" w:asciiTheme="minorEastAsia" w:hAnsiTheme="minorEastAsia"/>
          <w:color w:val="000000"/>
          <w:szCs w:val="24"/>
        </w:rPr>
        <w:t>公</w:t>
      </w:r>
      <w:r>
        <w:rPr>
          <w:rFonts w:asciiTheme="minorEastAsia" w:hAnsiTheme="minorEastAsia"/>
          <w:color w:val="000000"/>
          <w:szCs w:val="24"/>
        </w:rPr>
        <w:t>开</w:t>
      </w:r>
      <w:r>
        <w:rPr>
          <w:rFonts w:hint="eastAsia" w:asciiTheme="minorEastAsia" w:hAnsiTheme="minorEastAsia"/>
          <w:color w:val="000000"/>
          <w:szCs w:val="24"/>
        </w:rPr>
        <w:t>招</w:t>
      </w:r>
      <w:r>
        <w:rPr>
          <w:rFonts w:asciiTheme="minorEastAsia" w:hAnsiTheme="minorEastAsia"/>
          <w:color w:val="000000"/>
          <w:szCs w:val="24"/>
        </w:rPr>
        <w:t>标项目</w:t>
      </w:r>
      <w:r>
        <w:rPr>
          <w:rFonts w:hint="eastAsia" w:asciiTheme="minorEastAsia" w:hAnsiTheme="minorEastAsia"/>
          <w:color w:val="000000"/>
          <w:szCs w:val="24"/>
        </w:rPr>
        <w:t>的投</w:t>
      </w:r>
      <w:r>
        <w:rPr>
          <w:rFonts w:asciiTheme="minorEastAsia" w:hAnsiTheme="minorEastAsia"/>
          <w:color w:val="000000"/>
          <w:szCs w:val="24"/>
        </w:rPr>
        <w:t>标报价</w:t>
      </w:r>
      <w:r>
        <w:rPr>
          <w:rFonts w:hint="eastAsia" w:asciiTheme="minorEastAsia" w:hAnsiTheme="minorEastAsia"/>
          <w:color w:val="000000"/>
          <w:szCs w:val="24"/>
        </w:rPr>
        <w:t>，</w:t>
      </w:r>
      <w:r>
        <w:rPr>
          <w:rFonts w:asciiTheme="minorEastAsia" w:hAnsiTheme="minorEastAsia"/>
          <w:color w:val="000000"/>
          <w:szCs w:val="24"/>
        </w:rPr>
        <w:t>签</w:t>
      </w:r>
      <w:r>
        <w:rPr>
          <w:rFonts w:hint="eastAsia" w:asciiTheme="minorEastAsia" w:hAnsiTheme="minorEastAsia"/>
          <w:color w:val="000000"/>
          <w:szCs w:val="24"/>
        </w:rPr>
        <w:t>署上</w:t>
      </w:r>
      <w:r>
        <w:rPr>
          <w:rFonts w:asciiTheme="minorEastAsia" w:hAnsiTheme="minorEastAsia"/>
          <w:color w:val="000000"/>
          <w:szCs w:val="24"/>
        </w:rPr>
        <w:t>述项目</w:t>
      </w:r>
      <w:r>
        <w:rPr>
          <w:rFonts w:hint="eastAsia" w:asciiTheme="minorEastAsia" w:hAnsiTheme="minorEastAsia"/>
          <w:color w:val="000000"/>
          <w:szCs w:val="24"/>
        </w:rPr>
        <w:t>的投</w:t>
      </w:r>
      <w:r>
        <w:rPr>
          <w:rFonts w:asciiTheme="minorEastAsia" w:hAnsiTheme="minorEastAsia"/>
          <w:color w:val="000000"/>
          <w:szCs w:val="24"/>
        </w:rPr>
        <w:t>标</w:t>
      </w:r>
      <w:r>
        <w:rPr>
          <w:rFonts w:hint="eastAsia" w:asciiTheme="minorEastAsia" w:hAnsiTheme="minorEastAsia"/>
          <w:color w:val="000000"/>
          <w:szCs w:val="24"/>
        </w:rPr>
        <w:t>文件及合同的</w:t>
      </w:r>
      <w:r>
        <w:rPr>
          <w:rFonts w:asciiTheme="minorEastAsia" w:hAnsiTheme="minorEastAsia"/>
          <w:color w:val="000000"/>
          <w:szCs w:val="24"/>
        </w:rPr>
        <w:t>执</w:t>
      </w:r>
      <w:r>
        <w:rPr>
          <w:rFonts w:hint="eastAsia" w:asciiTheme="minorEastAsia" w:hAnsiTheme="minorEastAsia"/>
          <w:color w:val="000000"/>
          <w:szCs w:val="24"/>
        </w:rPr>
        <w:t>行、完成、服</w:t>
      </w:r>
      <w:r>
        <w:rPr>
          <w:rFonts w:asciiTheme="minorEastAsia" w:hAnsiTheme="minorEastAsia"/>
          <w:color w:val="000000"/>
          <w:szCs w:val="24"/>
        </w:rPr>
        <w:t>务</w:t>
      </w:r>
      <w:r>
        <w:rPr>
          <w:rFonts w:hint="eastAsia" w:asciiTheme="minorEastAsia" w:hAnsiTheme="minorEastAsia"/>
          <w:color w:val="000000"/>
          <w:szCs w:val="24"/>
        </w:rPr>
        <w:t>和保修，</w:t>
      </w:r>
      <w:r>
        <w:rPr>
          <w:rFonts w:asciiTheme="minorEastAsia" w:hAnsiTheme="minorEastAsia"/>
          <w:color w:val="000000"/>
          <w:szCs w:val="24"/>
        </w:rPr>
        <w:t>签</w:t>
      </w:r>
      <w:r>
        <w:rPr>
          <w:rFonts w:hint="eastAsia" w:asciiTheme="minorEastAsia" w:hAnsiTheme="minorEastAsia"/>
          <w:color w:val="000000"/>
          <w:szCs w:val="24"/>
        </w:rPr>
        <w:t>署合同和</w:t>
      </w:r>
      <w:r>
        <w:rPr>
          <w:rFonts w:asciiTheme="minorEastAsia" w:hAnsiTheme="minorEastAsia"/>
          <w:color w:val="000000"/>
          <w:szCs w:val="24"/>
        </w:rPr>
        <w:t>处</w:t>
      </w:r>
      <w:r>
        <w:rPr>
          <w:rFonts w:hint="eastAsia" w:asciiTheme="minorEastAsia" w:hAnsiTheme="minorEastAsia"/>
          <w:color w:val="000000"/>
          <w:szCs w:val="24"/>
        </w:rPr>
        <w:t>理与之有</w:t>
      </w:r>
      <w:r>
        <w:rPr>
          <w:rFonts w:asciiTheme="minorEastAsia" w:hAnsiTheme="minorEastAsia"/>
          <w:color w:val="000000"/>
          <w:szCs w:val="24"/>
        </w:rPr>
        <w:t>关的</w:t>
      </w:r>
      <w:r>
        <w:rPr>
          <w:rFonts w:hint="eastAsia" w:asciiTheme="minorEastAsia" w:hAnsiTheme="minorEastAsia"/>
          <w:color w:val="000000"/>
          <w:szCs w:val="24"/>
        </w:rPr>
        <w:t>一切事</w:t>
      </w:r>
      <w:r>
        <w:rPr>
          <w:rFonts w:asciiTheme="minorEastAsia" w:hAnsiTheme="minorEastAsia"/>
          <w:color w:val="000000"/>
          <w:szCs w:val="24"/>
        </w:rPr>
        <w:t>务</w:t>
      </w:r>
      <w:r>
        <w:rPr>
          <w:rFonts w:hint="eastAsia" w:asciiTheme="minorEastAsia" w:hAnsiTheme="minorEastAsia"/>
          <w:color w:val="000000"/>
          <w:szCs w:val="24"/>
        </w:rPr>
        <w:t>。</w:t>
      </w:r>
    </w:p>
    <w:p>
      <w:pPr>
        <w:pStyle w:val="38"/>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特此</w:t>
      </w:r>
      <w:r>
        <w:rPr>
          <w:rFonts w:asciiTheme="minorEastAsia" w:hAnsiTheme="minorEastAsia"/>
          <w:color w:val="000000"/>
          <w:szCs w:val="24"/>
        </w:rPr>
        <w:t>证</w:t>
      </w:r>
      <w:r>
        <w:rPr>
          <w:rFonts w:hint="eastAsia" w:asciiTheme="minorEastAsia" w:hAnsiTheme="minorEastAsia"/>
          <w:color w:val="000000"/>
          <w:szCs w:val="24"/>
        </w:rPr>
        <w:t>明。</w:t>
      </w:r>
    </w:p>
    <w:p>
      <w:pPr>
        <w:pStyle w:val="38"/>
        <w:spacing w:line="480" w:lineRule="auto"/>
        <w:ind w:firstLine="540" w:firstLineChars="225"/>
        <w:jc w:val="left"/>
        <w:rPr>
          <w:rFonts w:asciiTheme="minorEastAsia" w:hAnsiTheme="minorEastAsia"/>
          <w:color w:val="000000"/>
          <w:szCs w:val="24"/>
        </w:rPr>
      </w:pPr>
    </w:p>
    <w:p>
      <w:pPr>
        <w:pStyle w:val="38"/>
        <w:spacing w:line="480" w:lineRule="auto"/>
        <w:ind w:firstLine="540" w:firstLineChars="225"/>
        <w:jc w:val="left"/>
        <w:rPr>
          <w:rFonts w:asciiTheme="minorEastAsia" w:hAnsiTheme="minorEastAsia"/>
          <w:color w:val="000000"/>
          <w:szCs w:val="24"/>
        </w:rPr>
      </w:pPr>
    </w:p>
    <w:p>
      <w:pPr>
        <w:pStyle w:val="38"/>
        <w:spacing w:line="480" w:lineRule="auto"/>
        <w:ind w:left="-538" w:leftChars="-256" w:firstLine="616" w:firstLineChars="257"/>
        <w:jc w:val="center"/>
        <w:rPr>
          <w:rFonts w:asciiTheme="minorEastAsia" w:hAnsiTheme="minorEastAsia"/>
          <w:bCs/>
          <w:color w:val="000000"/>
          <w:szCs w:val="24"/>
        </w:rPr>
      </w:pPr>
      <w:r>
        <w:rPr>
          <w:rFonts w:hint="eastAsia" w:asciiTheme="minorEastAsia" w:hAnsiTheme="minorEastAsia"/>
          <w:bCs/>
          <w:color w:val="000000"/>
          <w:szCs w:val="24"/>
        </w:rPr>
        <w:t>【此</w:t>
      </w:r>
      <w:r>
        <w:rPr>
          <w:rFonts w:asciiTheme="minorEastAsia" w:hAnsiTheme="minorEastAsia"/>
          <w:bCs/>
          <w:color w:val="000000"/>
          <w:szCs w:val="24"/>
        </w:rPr>
        <w:t>处请</w:t>
      </w:r>
      <w:r>
        <w:rPr>
          <w:rFonts w:hint="eastAsia" w:asciiTheme="minorEastAsia" w:hAnsiTheme="minorEastAsia"/>
          <w:bCs/>
          <w:color w:val="000000"/>
          <w:szCs w:val="24"/>
        </w:rPr>
        <w:t>粘</w:t>
      </w:r>
      <w:r>
        <w:rPr>
          <w:rFonts w:asciiTheme="minorEastAsia" w:hAnsiTheme="minorEastAsia"/>
          <w:bCs/>
          <w:color w:val="000000"/>
          <w:szCs w:val="24"/>
        </w:rPr>
        <w:t>贴</w:t>
      </w:r>
      <w:r>
        <w:rPr>
          <w:rFonts w:hint="eastAsia" w:asciiTheme="minorEastAsia" w:hAnsiTheme="minorEastAsia"/>
          <w:bCs/>
          <w:color w:val="000000"/>
          <w:szCs w:val="24"/>
        </w:rPr>
        <w:t>法定代表人身份</w:t>
      </w:r>
      <w:r>
        <w:rPr>
          <w:rFonts w:asciiTheme="minorEastAsia" w:hAnsiTheme="minorEastAsia"/>
          <w:bCs/>
          <w:color w:val="000000"/>
          <w:szCs w:val="24"/>
        </w:rPr>
        <w:t>证复</w:t>
      </w:r>
      <w:r>
        <w:rPr>
          <w:rFonts w:hint="eastAsia" w:asciiTheme="minorEastAsia" w:hAnsiTheme="minorEastAsia"/>
          <w:bCs/>
          <w:color w:val="000000"/>
          <w:szCs w:val="24"/>
        </w:rPr>
        <w:t>印件，需清晰反映身份证有效期限】</w:t>
      </w:r>
    </w:p>
    <w:p>
      <w:pPr>
        <w:pStyle w:val="38"/>
        <w:spacing w:line="480" w:lineRule="auto"/>
        <w:ind w:left="-538" w:leftChars="-256" w:firstLine="616" w:firstLineChars="257"/>
        <w:jc w:val="center"/>
        <w:rPr>
          <w:rFonts w:asciiTheme="minorEastAsia" w:hAnsiTheme="minorEastAsia"/>
          <w:bCs/>
          <w:color w:val="000000"/>
          <w:szCs w:val="24"/>
        </w:rPr>
      </w:pPr>
    </w:p>
    <w:p>
      <w:pPr>
        <w:autoSpaceDE w:val="0"/>
        <w:autoSpaceDN w:val="0"/>
        <w:adjustRightInd w:val="0"/>
        <w:spacing w:line="360" w:lineRule="auto"/>
        <w:ind w:right="-11"/>
        <w:rPr>
          <w:rFonts w:cs="宋体" w:asciiTheme="minorEastAsia" w:hAnsiTheme="minorEastAsia"/>
          <w:sz w:val="24"/>
          <w:szCs w:val="24"/>
          <w:lang w:val="zh-CN"/>
        </w:rPr>
      </w:pPr>
    </w:p>
    <w:p>
      <w:pPr>
        <w:autoSpaceDE w:val="0"/>
        <w:autoSpaceDN w:val="0"/>
        <w:adjustRightInd w:val="0"/>
        <w:spacing w:line="360" w:lineRule="auto"/>
        <w:ind w:right="-11"/>
        <w:rPr>
          <w:rFonts w:cs="宋体" w:asciiTheme="minorEastAsia" w:hAnsiTheme="minorEastAsia"/>
          <w:sz w:val="24"/>
          <w:szCs w:val="24"/>
          <w:lang w:val="zh-CN"/>
        </w:rPr>
      </w:pPr>
    </w:p>
    <w:p>
      <w:pPr>
        <w:autoSpaceDE w:val="0"/>
        <w:autoSpaceDN w:val="0"/>
        <w:adjustRightInd w:val="0"/>
        <w:spacing w:line="360" w:lineRule="auto"/>
        <w:ind w:right="-11"/>
        <w:rPr>
          <w:rFonts w:cs="宋体" w:asciiTheme="minorEastAsia" w:hAnsiTheme="minorEastAsia"/>
          <w:sz w:val="24"/>
          <w:szCs w:val="24"/>
          <w:lang w:val="zh-CN"/>
        </w:rPr>
      </w:pPr>
    </w:p>
    <w:p>
      <w:pPr>
        <w:spacing w:line="480" w:lineRule="auto"/>
        <w:ind w:firstLine="3900" w:firstLineChars="1625"/>
        <w:rPr>
          <w:rFonts w:cs="Arial" w:asciiTheme="minorEastAsia" w:hAnsiTheme="minorEastAsia"/>
          <w:color w:val="000000"/>
          <w:sz w:val="24"/>
          <w:szCs w:val="24"/>
          <w:u w:val="single"/>
        </w:rPr>
      </w:pPr>
      <w:r>
        <w:rPr>
          <w:rFonts w:hint="eastAsia" w:cs="Arial" w:asciiTheme="minorEastAsia" w:hAnsiTheme="minorEastAsia"/>
          <w:color w:val="000000"/>
          <w:sz w:val="24"/>
          <w:szCs w:val="24"/>
        </w:rPr>
        <w:t>投标人名称（并加盖公章）：</w:t>
      </w:r>
    </w:p>
    <w:p>
      <w:pPr>
        <w:pStyle w:val="41"/>
        <w:spacing w:before="60" w:line="480" w:lineRule="auto"/>
        <w:ind w:firstLine="3900" w:firstLineChars="1625"/>
        <w:rPr>
          <w:rFonts w:cs="Arial" w:asciiTheme="minorEastAsia" w:hAnsiTheme="minorEastAsia" w:eastAsiaTheme="minorEastAsia"/>
          <w:color w:val="000000"/>
          <w:szCs w:val="24"/>
        </w:rPr>
      </w:pPr>
      <w:r>
        <w:rPr>
          <w:rFonts w:hint="eastAsia" w:cs="Arial" w:asciiTheme="minorEastAsia" w:hAnsiTheme="minorEastAsia" w:eastAsiaTheme="minorEastAsia"/>
          <w:color w:val="000000"/>
          <w:szCs w:val="24"/>
        </w:rPr>
        <w:t>签署日期：   年   月  日</w:t>
      </w:r>
    </w:p>
    <w:p>
      <w:pPr>
        <w:pStyle w:val="40"/>
        <w:spacing w:line="480" w:lineRule="auto"/>
        <w:rPr>
          <w:rFonts w:cs="Arial" w:asciiTheme="minorEastAsia" w:hAnsiTheme="minorEastAsia"/>
          <w:color w:val="000000"/>
          <w:szCs w:val="24"/>
        </w:rPr>
      </w:pPr>
    </w:p>
    <w:p/>
    <w:p>
      <w:pPr>
        <w:spacing w:line="320" w:lineRule="exact"/>
        <w:rPr>
          <w:rFonts w:asciiTheme="minorEastAsia" w:hAnsiTheme="minorEastAsia"/>
          <w:bCs/>
          <w:color w:val="000000"/>
          <w:kern w:val="12"/>
          <w:sz w:val="24"/>
          <w:szCs w:val="24"/>
        </w:rPr>
      </w:pPr>
      <w:r>
        <w:rPr>
          <w:rFonts w:hint="eastAsia" w:asciiTheme="minorEastAsia" w:hAnsiTheme="minorEastAsia"/>
          <w:bCs/>
          <w:color w:val="000000"/>
          <w:kern w:val="12"/>
          <w:sz w:val="24"/>
          <w:szCs w:val="24"/>
        </w:rPr>
        <w:t>说明：法定代表人</w:t>
      </w:r>
      <w:r>
        <w:rPr>
          <w:rFonts w:asciiTheme="minorEastAsia" w:hAnsiTheme="minorEastAsia"/>
          <w:bCs/>
          <w:color w:val="000000"/>
          <w:kern w:val="12"/>
          <w:sz w:val="24"/>
          <w:szCs w:val="24"/>
        </w:rPr>
        <w:t>参</w:t>
      </w:r>
      <w:r>
        <w:rPr>
          <w:rFonts w:hint="eastAsia" w:asciiTheme="minorEastAsia" w:hAnsiTheme="minorEastAsia"/>
          <w:bCs/>
          <w:color w:val="000000"/>
          <w:kern w:val="12"/>
          <w:sz w:val="24"/>
          <w:szCs w:val="24"/>
        </w:rPr>
        <w:t>加本招</w:t>
      </w:r>
      <w:r>
        <w:rPr>
          <w:rFonts w:asciiTheme="minorEastAsia" w:hAnsiTheme="minorEastAsia"/>
          <w:bCs/>
          <w:color w:val="000000"/>
          <w:kern w:val="12"/>
          <w:sz w:val="24"/>
          <w:szCs w:val="24"/>
        </w:rPr>
        <w:t>标项目</w:t>
      </w:r>
      <w:r>
        <w:rPr>
          <w:rFonts w:hint="eastAsia" w:asciiTheme="minorEastAsia" w:hAnsiTheme="minorEastAsia"/>
          <w:bCs/>
          <w:color w:val="000000"/>
          <w:kern w:val="12"/>
          <w:sz w:val="24"/>
          <w:szCs w:val="24"/>
        </w:rPr>
        <w:t>投</w:t>
      </w:r>
      <w:r>
        <w:rPr>
          <w:rFonts w:asciiTheme="minorEastAsia" w:hAnsiTheme="minorEastAsia"/>
          <w:bCs/>
          <w:color w:val="000000"/>
          <w:kern w:val="12"/>
          <w:sz w:val="24"/>
          <w:szCs w:val="24"/>
        </w:rPr>
        <w:t>标</w:t>
      </w:r>
      <w:r>
        <w:rPr>
          <w:rFonts w:hint="eastAsia" w:asciiTheme="minorEastAsia" w:hAnsiTheme="minorEastAsia"/>
          <w:bCs/>
          <w:color w:val="000000"/>
          <w:kern w:val="12"/>
          <w:sz w:val="24"/>
          <w:szCs w:val="24"/>
        </w:rPr>
        <w:t>的，</w:t>
      </w:r>
      <w:r>
        <w:rPr>
          <w:rFonts w:asciiTheme="minorEastAsia" w:hAnsiTheme="minorEastAsia"/>
          <w:bCs/>
          <w:color w:val="000000"/>
          <w:kern w:val="12"/>
          <w:sz w:val="24"/>
          <w:szCs w:val="24"/>
        </w:rPr>
        <w:t>仅须</w:t>
      </w:r>
      <w:r>
        <w:rPr>
          <w:rFonts w:hint="eastAsia" w:asciiTheme="minorEastAsia" w:hAnsiTheme="minorEastAsia"/>
          <w:bCs/>
          <w:color w:val="000000"/>
          <w:kern w:val="12"/>
          <w:sz w:val="24"/>
          <w:szCs w:val="24"/>
        </w:rPr>
        <w:t>出具此</w:t>
      </w:r>
      <w:r>
        <w:rPr>
          <w:rFonts w:asciiTheme="minorEastAsia" w:hAnsiTheme="minorEastAsia"/>
          <w:bCs/>
          <w:color w:val="000000"/>
          <w:kern w:val="12"/>
          <w:sz w:val="24"/>
          <w:szCs w:val="24"/>
        </w:rPr>
        <w:t>证</w:t>
      </w:r>
      <w:r>
        <w:rPr>
          <w:rFonts w:hint="eastAsia" w:asciiTheme="minorEastAsia" w:hAnsiTheme="minorEastAsia"/>
          <w:bCs/>
          <w:color w:val="000000"/>
          <w:kern w:val="12"/>
          <w:sz w:val="24"/>
          <w:szCs w:val="24"/>
        </w:rPr>
        <w:t>明</w:t>
      </w:r>
      <w:r>
        <w:rPr>
          <w:rFonts w:asciiTheme="minorEastAsia" w:hAnsiTheme="minorEastAsia"/>
          <w:bCs/>
          <w:color w:val="000000"/>
          <w:kern w:val="12"/>
          <w:sz w:val="24"/>
          <w:szCs w:val="24"/>
        </w:rPr>
        <w:t>书</w:t>
      </w:r>
      <w:r>
        <w:rPr>
          <w:rFonts w:hint="eastAsia" w:asciiTheme="minorEastAsia" w:hAnsiTheme="minorEastAsia"/>
          <w:bCs/>
          <w:color w:val="000000"/>
          <w:kern w:val="12"/>
          <w:sz w:val="24"/>
          <w:szCs w:val="24"/>
        </w:rPr>
        <w:t>。</w:t>
      </w:r>
    </w:p>
    <w:p>
      <w:pPr>
        <w:spacing w:line="480" w:lineRule="exact"/>
        <w:jc w:val="center"/>
        <w:rPr>
          <w:rFonts w:ascii="宋体" w:hAnsi="宋体"/>
          <w:b/>
          <w:bCs/>
          <w:color w:val="000000"/>
          <w:sz w:val="36"/>
          <w:szCs w:val="36"/>
        </w:rPr>
      </w:pPr>
    </w:p>
    <w:p>
      <w:pPr>
        <w:spacing w:line="480" w:lineRule="exact"/>
        <w:jc w:val="center"/>
        <w:rPr>
          <w:rFonts w:ascii="宋体" w:hAnsi="宋体"/>
          <w:b/>
          <w:bCs/>
          <w:color w:val="000000"/>
          <w:sz w:val="36"/>
          <w:szCs w:val="36"/>
        </w:rPr>
      </w:pPr>
      <w:r>
        <w:rPr>
          <w:rFonts w:hint="eastAsia" w:ascii="宋体" w:hAnsi="宋体"/>
          <w:b/>
          <w:bCs/>
          <w:color w:val="000000"/>
          <w:sz w:val="36"/>
          <w:szCs w:val="36"/>
        </w:rPr>
        <w:t>3.3 法定代表人授权书</w:t>
      </w:r>
    </w:p>
    <w:p>
      <w:pPr>
        <w:spacing w:line="480" w:lineRule="exact"/>
        <w:jc w:val="center"/>
        <w:rPr>
          <w:rFonts w:ascii="宋体" w:hAnsi="宋体"/>
          <w:b/>
          <w:bCs/>
          <w:color w:val="000000"/>
          <w:sz w:val="36"/>
          <w:szCs w:val="36"/>
        </w:rPr>
      </w:pP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本人</w:t>
      </w:r>
      <w:r>
        <w:rPr>
          <w:rFonts w:hint="eastAsia" w:cs="Arial" w:asciiTheme="minorEastAsia" w:hAnsiTheme="minorEastAsia"/>
          <w:sz w:val="24"/>
          <w:szCs w:val="24"/>
          <w:u w:val="single"/>
        </w:rPr>
        <w:t xml:space="preserve">　 </w:t>
      </w:r>
      <w:r>
        <w:rPr>
          <w:rFonts w:hint="eastAsia" w:asciiTheme="minorEastAsia" w:hAnsiTheme="minorEastAsia"/>
          <w:i/>
          <w:snapToGrid w:val="0"/>
          <w:sz w:val="24"/>
          <w:szCs w:val="24"/>
          <w:u w:val="single"/>
        </w:rPr>
        <w:t>法人姓名</w:t>
      </w:r>
      <w:r>
        <w:rPr>
          <w:rFonts w:hint="eastAsia" w:cs="Arial" w:asciiTheme="minorEastAsia" w:hAnsiTheme="minorEastAsia"/>
          <w:sz w:val="24"/>
          <w:szCs w:val="24"/>
        </w:rPr>
        <w:t>系</w:t>
      </w:r>
      <w:r>
        <w:rPr>
          <w:rFonts w:hint="eastAsia" w:cs="Arial" w:asciiTheme="minorEastAsia" w:hAnsiTheme="minorEastAsia"/>
          <w:sz w:val="24"/>
          <w:szCs w:val="24"/>
          <w:u w:val="single"/>
        </w:rPr>
        <w:t>　</w:t>
      </w:r>
      <w:r>
        <w:rPr>
          <w:rFonts w:hint="eastAsia" w:asciiTheme="minorEastAsia" w:hAnsiTheme="minorEastAsia"/>
          <w:i/>
          <w:snapToGrid w:val="0"/>
          <w:sz w:val="24"/>
          <w:szCs w:val="24"/>
          <w:u w:val="single"/>
        </w:rPr>
        <w:t xml:space="preserve">投标人名称  </w:t>
      </w:r>
      <w:r>
        <w:rPr>
          <w:rFonts w:hint="eastAsia" w:cs="Arial" w:asciiTheme="minorEastAsia" w:hAnsiTheme="minorEastAsia"/>
          <w:sz w:val="24"/>
          <w:szCs w:val="24"/>
        </w:rPr>
        <w:t>的法定代表人，现委托</w:t>
      </w:r>
      <w:r>
        <w:rPr>
          <w:rFonts w:hint="eastAsia" w:cs="Arial" w:asciiTheme="minorEastAsia" w:hAnsiTheme="minorEastAsia"/>
          <w:sz w:val="24"/>
          <w:szCs w:val="24"/>
          <w:u w:val="single"/>
        </w:rPr>
        <w:t xml:space="preserve">　 </w:t>
      </w:r>
      <w:r>
        <w:rPr>
          <w:rFonts w:hint="eastAsia" w:asciiTheme="minorEastAsia" w:hAnsiTheme="minorEastAsia"/>
          <w:i/>
          <w:snapToGrid w:val="0"/>
          <w:sz w:val="24"/>
          <w:szCs w:val="24"/>
          <w:u w:val="single"/>
        </w:rPr>
        <w:t>姓名，职务</w:t>
      </w:r>
      <w:r>
        <w:rPr>
          <w:rFonts w:hint="eastAsia" w:cs="Arial" w:asciiTheme="minorEastAsia" w:hAnsiTheme="minorEastAsia"/>
          <w:sz w:val="24"/>
          <w:szCs w:val="24"/>
        </w:rPr>
        <w:t>以我方的名义参加贵方______________________项目的投标活动，并代表我方全权办理针对上述项目的投标、开标、投标文件澄清、签约等一切具体事务和签署相关文件。</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我方对被授权人的签名事项负全部责任。</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被授权人无转委托权，特此委托。</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 xml:space="preserve">投标人名称： </w:t>
      </w:r>
      <w:r>
        <w:rPr>
          <w:rFonts w:hint="eastAsia" w:asciiTheme="minorEastAsia" w:hAnsiTheme="minorEastAsia"/>
          <w:sz w:val="24"/>
          <w:szCs w:val="24"/>
          <w:u w:val="single"/>
        </w:rPr>
        <w:t xml:space="preserve">       （全称）       </w:t>
      </w:r>
      <w:r>
        <w:rPr>
          <w:rFonts w:hint="eastAsia" w:asciiTheme="minorEastAsia" w:hAnsiTheme="minorEastAsia"/>
          <w:sz w:val="24"/>
          <w:szCs w:val="24"/>
        </w:rPr>
        <w:t xml:space="preserve"> （盖单位公章）</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法定代表人：  （签字或加盖名章）</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法定代表人授权代表：  （签字或加盖名章）</w:t>
      </w:r>
    </w:p>
    <w:tbl>
      <w:tblPr>
        <w:tblStyle w:val="24"/>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 w:val="24"/>
                <w:szCs w:val="24"/>
              </w:rPr>
            </w:pPr>
            <w:r>
              <w:rPr>
                <w:rFonts w:hint="eastAsia" w:asciiTheme="minorEastAsia" w:hAnsiTheme="minorEastAsia"/>
                <w:sz w:val="24"/>
                <w:szCs w:val="24"/>
              </w:rPr>
              <w:t>法定代表人身份证（正面）</w:t>
            </w:r>
          </w:p>
        </w:tc>
        <w:tc>
          <w:tcPr>
            <w:tcW w:w="4485" w:type="dxa"/>
            <w:gridSpan w:val="2"/>
            <w:vAlign w:val="center"/>
          </w:tcPr>
          <w:p>
            <w:pPr>
              <w:jc w:val="center"/>
              <w:rPr>
                <w:rFonts w:asciiTheme="minorEastAsia" w:hAnsiTheme="minorEastAsia"/>
                <w:sz w:val="24"/>
                <w:szCs w:val="24"/>
              </w:rPr>
            </w:pPr>
            <w:r>
              <w:rPr>
                <w:rFonts w:hint="eastAsia" w:asciiTheme="minorEastAsia" w:hAnsiTheme="minorEastAsia"/>
                <w:sz w:val="24"/>
                <w:szCs w:val="24"/>
              </w:rPr>
              <w:t>法定代表人身份证（反面）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 w:val="24"/>
                <w:szCs w:val="24"/>
              </w:rPr>
            </w:pPr>
            <w:bookmarkStart w:id="4" w:name="_资格证明文件"/>
            <w:bookmarkEnd w:id="4"/>
            <w:bookmarkStart w:id="5" w:name="_Toc364329026"/>
            <w:r>
              <w:rPr>
                <w:rFonts w:hint="eastAsia" w:asciiTheme="minorEastAsia" w:hAnsiTheme="minorEastAsia"/>
                <w:sz w:val="24"/>
                <w:szCs w:val="24"/>
              </w:rPr>
              <w:t>法定代表人授权代表身份证（正面）</w:t>
            </w:r>
            <w:bookmarkEnd w:id="5"/>
          </w:p>
        </w:tc>
        <w:tc>
          <w:tcPr>
            <w:tcW w:w="4492" w:type="dxa"/>
            <w:gridSpan w:val="2"/>
            <w:vAlign w:val="center"/>
          </w:tcPr>
          <w:p>
            <w:pPr>
              <w:jc w:val="center"/>
              <w:rPr>
                <w:rFonts w:asciiTheme="minorEastAsia" w:hAnsiTheme="minorEastAsia"/>
                <w:sz w:val="24"/>
                <w:szCs w:val="24"/>
              </w:rPr>
            </w:pPr>
            <w:bookmarkStart w:id="6" w:name="_Toc364329027"/>
            <w:r>
              <w:rPr>
                <w:rFonts w:hint="eastAsia" w:asciiTheme="minorEastAsia" w:hAnsiTheme="minorEastAsia"/>
                <w:sz w:val="24"/>
                <w:szCs w:val="24"/>
              </w:rPr>
              <w:t>法定代表人授权代表身份证（反面）</w:t>
            </w:r>
            <w:bookmarkEnd w:id="6"/>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ascii="宋体" w:hAnsi="宋体"/>
          <w:b/>
          <w:bCs/>
          <w:color w:val="000000"/>
          <w:sz w:val="36"/>
          <w:szCs w:val="36"/>
        </w:rPr>
      </w:pPr>
      <w:r>
        <w:rPr>
          <w:rFonts w:hint="eastAsia" w:ascii="宋体" w:hAnsi="宋体"/>
          <w:b/>
          <w:bCs/>
          <w:color w:val="000000"/>
          <w:sz w:val="36"/>
          <w:szCs w:val="36"/>
        </w:rPr>
        <w:t>3.4 没有重大违法记录的声明</w:t>
      </w:r>
    </w:p>
    <w:p>
      <w:pPr>
        <w:spacing w:beforeLines="50" w:afterLines="50"/>
        <w:jc w:val="center"/>
        <w:rPr>
          <w:rFonts w:ascii="宋体" w:hAnsi="宋体" w:cs="Arial"/>
          <w:color w:val="000000"/>
          <w:kern w:val="0"/>
          <w:sz w:val="36"/>
          <w:szCs w:val="36"/>
        </w:rPr>
      </w:pPr>
      <w:r>
        <w:rPr>
          <w:rFonts w:hint="eastAsia" w:ascii="宋体" w:hAnsi="宋体" w:cs="Arial"/>
          <w:color w:val="000000"/>
          <w:kern w:val="0"/>
          <w:sz w:val="36"/>
          <w:szCs w:val="36"/>
        </w:rPr>
        <w:t>声　   明</w:t>
      </w:r>
    </w:p>
    <w:p>
      <w:pPr>
        <w:spacing w:beforeLines="50" w:afterLines="50" w:line="360" w:lineRule="auto"/>
        <w:ind w:firstLine="480" w:firstLineChars="200"/>
        <w:rPr>
          <w:rFonts w:cs="宋体" w:asciiTheme="minorEastAsia" w:hAnsiTheme="minorEastAsia"/>
          <w:sz w:val="24"/>
          <w:szCs w:val="24"/>
          <w:lang w:val="zh-CN"/>
        </w:rPr>
      </w:pPr>
      <w:r>
        <w:rPr>
          <w:rFonts w:hint="eastAsia" w:cs="宋体" w:asciiTheme="minorEastAsia" w:hAnsiTheme="minor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rPr>
          <w:rFonts w:cs="宋体" w:asciiTheme="minorEastAsia" w:hAnsiTheme="minorEastAsia"/>
          <w:sz w:val="24"/>
          <w:szCs w:val="24"/>
          <w:lang w:val="zh-CN"/>
        </w:rPr>
      </w:pPr>
      <w:r>
        <w:rPr>
          <w:rFonts w:hint="eastAsia" w:cs="宋体" w:asciiTheme="minorEastAsia" w:hAnsiTheme="minorEastAsia"/>
          <w:sz w:val="24"/>
          <w:szCs w:val="24"/>
          <w:lang w:val="zh-CN"/>
        </w:rPr>
        <w:t>特此声明。</w:t>
      </w:r>
    </w:p>
    <w:p>
      <w:pPr>
        <w:spacing w:beforeLines="50" w:afterLines="50" w:line="360" w:lineRule="auto"/>
        <w:ind w:firstLine="480" w:firstLineChars="200"/>
        <w:rPr>
          <w:rFonts w:cs="宋体" w:asciiTheme="minorEastAsia" w:hAnsiTheme="minorEastAsia"/>
          <w:sz w:val="24"/>
          <w:szCs w:val="24"/>
          <w:lang w:val="zh-CN"/>
        </w:rPr>
      </w:pPr>
      <w:r>
        <w:rPr>
          <w:rFonts w:hint="eastAsia" w:cs="宋体" w:asciiTheme="minorEastAsia" w:hAnsiTheme="minorEastAsia"/>
          <w:sz w:val="24"/>
          <w:szCs w:val="24"/>
          <w:lang w:val="zh-CN"/>
        </w:rPr>
        <w:t>本公司对上述声明的真实性负责。如有虚假，将依法承担相应责任。</w:t>
      </w:r>
    </w:p>
    <w:p>
      <w:pPr>
        <w:spacing w:beforeLines="50" w:afterLines="50" w:line="360" w:lineRule="auto"/>
        <w:ind w:firstLine="566" w:firstLineChars="23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r>
        <w:rPr>
          <w:rFonts w:hint="eastAsia" w:cs="宋体" w:asciiTheme="minorEastAsia" w:hAnsiTheme="minorEastAsia"/>
          <w:sz w:val="24"/>
          <w:szCs w:val="24"/>
          <w:lang w:val="zh-CN"/>
        </w:rPr>
        <w:t>单位名称（盖章）：</w:t>
      </w:r>
    </w:p>
    <w:p>
      <w:pPr>
        <w:spacing w:beforeLines="50" w:afterLines="50" w:line="360" w:lineRule="auto"/>
        <w:ind w:right="420" w:firstLine="5486" w:firstLineChars="2286"/>
        <w:rPr>
          <w:rFonts w:cs="宋体" w:asciiTheme="minorEastAsia" w:hAnsiTheme="minorEastAsia"/>
          <w:sz w:val="24"/>
          <w:szCs w:val="24"/>
          <w:lang w:val="zh-CN"/>
        </w:rPr>
      </w:pPr>
      <w:r>
        <w:rPr>
          <w:rFonts w:hint="eastAsia" w:cs="宋体" w:asciiTheme="minorEastAsia" w:hAnsiTheme="minorEastAsia"/>
          <w:sz w:val="24"/>
          <w:szCs w:val="24"/>
          <w:lang w:val="zh-CN"/>
        </w:rPr>
        <w:t>日    期：</w:t>
      </w: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36"/>
          <w:szCs w:val="36"/>
        </w:rPr>
      </w:pPr>
      <w:r>
        <w:rPr>
          <w:rFonts w:hint="eastAsia" w:ascii="宋体" w:hAnsi="宋体"/>
          <w:b/>
          <w:bCs/>
          <w:color w:val="000000"/>
          <w:sz w:val="36"/>
          <w:szCs w:val="36"/>
        </w:rPr>
        <w:t>3.5 投标保证金</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 w:val="24"/>
          <w:szCs w:val="24"/>
          <w:lang w:val="zh-CN"/>
        </w:rPr>
      </w:pPr>
      <w:r>
        <w:rPr>
          <w:rFonts w:hint="eastAsia" w:cs="宋体" w:asciiTheme="minorEastAsia" w:hAnsiTheme="minorEastAsia"/>
          <w:sz w:val="24"/>
          <w:szCs w:val="24"/>
          <w:lang w:val="zh-CN"/>
        </w:rPr>
        <w:t>许昌公共资源交易中心保证金缴纳回执</w:t>
      </w:r>
    </w:p>
    <w:p>
      <w:pPr>
        <w:autoSpaceDE w:val="0"/>
        <w:autoSpaceDN w:val="0"/>
        <w:adjustRightInd w:val="0"/>
        <w:spacing w:line="360" w:lineRule="auto"/>
        <w:jc w:val="center"/>
        <w:rPr>
          <w:rFonts w:ascii="宋体" w:cs="宋体"/>
          <w:sz w:val="24"/>
          <w:lang w:val="zh-CN"/>
        </w:rPr>
      </w:pPr>
    </w:p>
    <w:p>
      <w:pPr>
        <w:autoSpaceDE w:val="0"/>
        <w:autoSpaceDN w:val="0"/>
        <w:adjustRightInd w:val="0"/>
        <w:spacing w:line="360" w:lineRule="auto"/>
        <w:jc w:val="center"/>
        <w:rPr>
          <w:rFonts w:ascii="宋体" w:cs="宋体"/>
          <w:sz w:val="24"/>
          <w:lang w:val="zh-CN"/>
        </w:rPr>
      </w:pPr>
      <w:r>
        <w:rPr>
          <w:rFonts w:hint="eastAsia" w:ascii="宋体" w:cs="宋体"/>
          <w:sz w:val="24"/>
          <w:lang w:val="zh-CN"/>
        </w:rPr>
        <w:t>（注：开标现场单独提供一份“许昌公共资源交易中心保证金缴纳回执”以备查询）</w:t>
      </w:r>
    </w:p>
    <w:p>
      <w:pPr>
        <w:autoSpaceDE w:val="0"/>
        <w:autoSpaceDN w:val="0"/>
        <w:adjustRightInd w:val="0"/>
        <w:spacing w:line="360" w:lineRule="auto"/>
        <w:ind w:right="-11"/>
        <w:rPr>
          <w:rFonts w:ascii="宋体" w:cs="宋体"/>
          <w:sz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outlineLvl w:val="0"/>
        <w:rPr>
          <w:rFonts w:ascii="宋体" w:cs="宋体"/>
          <w:sz w:val="24"/>
          <w:lang w:val="zh-CN"/>
        </w:rPr>
      </w:pPr>
    </w:p>
    <w:p>
      <w:pPr>
        <w:widowControl/>
        <w:spacing w:before="100" w:beforeAutospacing="1" w:after="100" w:afterAutospacing="1" w:line="360" w:lineRule="auto"/>
        <w:jc w:val="center"/>
        <w:rPr>
          <w:rFonts w:ascii="宋体" w:hAnsi="宋体"/>
          <w:b/>
          <w:bCs/>
          <w:color w:val="000000"/>
          <w:sz w:val="36"/>
          <w:szCs w:val="36"/>
        </w:rPr>
      </w:pPr>
      <w:r>
        <w:rPr>
          <w:rFonts w:hint="eastAsia" w:ascii="宋体" w:hAnsi="宋体"/>
          <w:b/>
          <w:bCs/>
          <w:color w:val="000000"/>
          <w:sz w:val="36"/>
          <w:szCs w:val="36"/>
        </w:rPr>
        <w:t xml:space="preserve">3.6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rPr>
          <w:rFonts w:cs="黑体" w:asciiTheme="minorEastAsia" w:hAnsiTheme="minorEastAsia"/>
          <w:b/>
          <w:bCs/>
          <w:sz w:val="44"/>
          <w:szCs w:val="44"/>
          <w:lang w:val="zh-CN"/>
        </w:rPr>
      </w:pPr>
    </w:p>
    <w:p>
      <w:pPr>
        <w:autoSpaceDE w:val="0"/>
        <w:autoSpaceDN w:val="0"/>
        <w:adjustRightInd w:val="0"/>
        <w:spacing w:line="360" w:lineRule="auto"/>
        <w:jc w:val="center"/>
        <w:rPr>
          <w:rFonts w:hAnsi="宋体" w:eastAsia="宋体"/>
          <w:b/>
          <w:snapToGrid w:val="0"/>
          <w:kern w:val="0"/>
          <w:sz w:val="36"/>
          <w:szCs w:val="36"/>
        </w:rPr>
      </w:pPr>
      <w:r>
        <w:rPr>
          <w:rFonts w:hint="eastAsia" w:cs="黑体" w:asciiTheme="minorEastAsia" w:hAnsiTheme="minorEastAsia"/>
          <w:b/>
          <w:bCs/>
          <w:sz w:val="44"/>
          <w:szCs w:val="44"/>
          <w:lang w:val="zh-CN"/>
        </w:rPr>
        <w:t>四、符合性审查证明材料</w:t>
      </w:r>
    </w:p>
    <w:p>
      <w:pPr>
        <w:autoSpaceDE w:val="0"/>
        <w:autoSpaceDN w:val="0"/>
        <w:adjustRightInd w:val="0"/>
        <w:spacing w:line="360" w:lineRule="auto"/>
        <w:jc w:val="center"/>
        <w:outlineLvl w:val="0"/>
        <w:rPr>
          <w:rFonts w:hAnsi="宋体" w:eastAsia="宋体"/>
          <w:b/>
          <w:snapToGrid w:val="0"/>
          <w:kern w:val="0"/>
          <w:sz w:val="36"/>
          <w:szCs w:val="36"/>
        </w:rPr>
      </w:pPr>
      <w:r>
        <w:rPr>
          <w:rFonts w:hint="eastAsia" w:ascii="宋体" w:hAnsi="宋体"/>
          <w:b/>
          <w:bCs/>
          <w:color w:val="000000"/>
          <w:sz w:val="36"/>
          <w:szCs w:val="36"/>
        </w:rPr>
        <w:t xml:space="preserve">4.1 </w:t>
      </w:r>
      <w:r>
        <w:rPr>
          <w:rFonts w:hint="eastAsia" w:hAnsi="宋体" w:eastAsia="宋体"/>
          <w:b/>
          <w:snapToGrid w:val="0"/>
          <w:kern w:val="0"/>
          <w:sz w:val="36"/>
          <w:szCs w:val="36"/>
        </w:rPr>
        <w:t>投标分项报价表</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autoSpaceDE w:val="0"/>
        <w:autoSpaceDN w:val="0"/>
        <w:adjustRightInd w:val="0"/>
        <w:spacing w:line="360" w:lineRule="auto"/>
        <w:outlineLvl w:val="0"/>
        <w:rPr>
          <w:rFonts w:hAnsi="宋体" w:eastAsia="宋体"/>
          <w:b/>
          <w:snapToGrid w:val="0"/>
          <w:kern w:val="0"/>
          <w:sz w:val="36"/>
          <w:szCs w:val="36"/>
        </w:rPr>
      </w:pPr>
      <w:r>
        <w:rPr>
          <w:rFonts w:hint="eastAsia" w:asciiTheme="minorEastAsia" w:hAnsiTheme="minorEastAsia"/>
          <w:color w:val="000000"/>
          <w:sz w:val="24"/>
          <w:szCs w:val="24"/>
        </w:rPr>
        <w:t xml:space="preserve">项目名称：   </w:t>
      </w:r>
    </w:p>
    <w:tbl>
      <w:tblPr>
        <w:tblStyle w:val="24"/>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名称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 w:val="24"/>
                <w:szCs w:val="24"/>
                <w:lang w:val="zh-CN"/>
              </w:rPr>
            </w:pPr>
            <w:r>
              <w:rPr>
                <w:rFonts w:hint="eastAsia" w:cs="宋体" w:asciiTheme="minorEastAsia" w:hAnsiTheme="minorEastAsia"/>
                <w:b/>
                <w:sz w:val="24"/>
                <w:szCs w:val="24"/>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技术</w:t>
            </w:r>
          </w:p>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单位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数量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 w:val="24"/>
                <w:szCs w:val="24"/>
                <w:lang w:val="zh-CN"/>
              </w:rPr>
            </w:pPr>
            <w:r>
              <w:rPr>
                <w:rFonts w:hint="eastAsia" w:cs="宋体" w:asciiTheme="minorEastAsia" w:hAnsiTheme="minorEastAsia"/>
                <w:b/>
                <w:sz w:val="24"/>
                <w:szCs w:val="24"/>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产地及</w:t>
            </w:r>
          </w:p>
          <w:p>
            <w:pPr>
              <w:autoSpaceDE w:val="0"/>
              <w:autoSpaceDN w:val="0"/>
              <w:adjustRightInd w:val="0"/>
              <w:spacing w:line="360" w:lineRule="auto"/>
              <w:ind w:left="120" w:hanging="120"/>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厂家</w:t>
            </w: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 w:val="24"/>
                <w:szCs w:val="24"/>
              </w:rPr>
            </w:pPr>
            <w:r>
              <w:rPr>
                <w:rFonts w:hint="eastAsia" w:asciiTheme="minorEastAsia" w:hAnsiTheme="minorEastAsia"/>
                <w:sz w:val="24"/>
                <w:szCs w:val="24"/>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 w:val="24"/>
                <w:szCs w:val="24"/>
              </w:rPr>
            </w:pPr>
            <w:r>
              <w:rPr>
                <w:rFonts w:hint="eastAsia" w:asciiTheme="minorEastAsia" w:hAnsiTheme="minorEastAsia"/>
                <w:sz w:val="24"/>
                <w:szCs w:val="24"/>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r>
      <w:tr>
        <w:tblPrEx>
          <w:tblLayout w:type="fixed"/>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 w:val="24"/>
                <w:szCs w:val="24"/>
              </w:rPr>
            </w:pPr>
            <w:r>
              <w:rPr>
                <w:rFonts w:hint="eastAsia" w:cs="宋体" w:asciiTheme="minorEastAsia" w:hAnsiTheme="minorEastAsia"/>
                <w:sz w:val="24"/>
                <w:szCs w:val="24"/>
                <w:lang w:val="zh-CN"/>
              </w:rPr>
              <w:t>合计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20" w:firstLineChars="50"/>
              <w:rPr>
                <w:rFonts w:cs="宋体" w:asciiTheme="minorEastAsia" w:hAnsiTheme="minorEastAsia"/>
                <w:sz w:val="24"/>
                <w:szCs w:val="24"/>
                <w:lang w:val="zh-CN"/>
              </w:rPr>
            </w:pPr>
            <w:r>
              <w:rPr>
                <w:rFonts w:hint="eastAsia" w:cs="宋体" w:asciiTheme="minorEastAsia" w:hAnsiTheme="minorEastAsia"/>
                <w:sz w:val="24"/>
                <w:szCs w:val="24"/>
                <w:lang w:val="zh-CN"/>
              </w:rPr>
              <w:t>大写：　　　　　　小写：</w:t>
            </w: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spacing w:line="300" w:lineRule="exact"/>
        <w:rPr>
          <w:rFonts w:asciiTheme="minorEastAsia" w:hAnsiTheme="minorEastAsia"/>
          <w:color w:val="000000"/>
          <w:sz w:val="24"/>
          <w:szCs w:val="24"/>
        </w:rPr>
      </w:pPr>
    </w:p>
    <w:p>
      <w:pPr>
        <w:autoSpaceDE w:val="0"/>
        <w:autoSpaceDN w:val="0"/>
        <w:adjustRightInd w:val="0"/>
        <w:spacing w:line="360" w:lineRule="auto"/>
        <w:jc w:val="center"/>
        <w:outlineLvl w:val="0"/>
        <w:rPr>
          <w:rFonts w:hAnsi="宋体" w:eastAsia="宋体"/>
          <w:b/>
          <w:snapToGrid w:val="0"/>
          <w:kern w:val="0"/>
          <w:sz w:val="36"/>
          <w:szCs w:val="36"/>
        </w:rPr>
      </w:pPr>
      <w:r>
        <w:rPr>
          <w:rFonts w:hint="eastAsia" w:ascii="宋体" w:hAnsi="宋体"/>
          <w:b/>
          <w:bCs/>
          <w:color w:val="000000"/>
          <w:sz w:val="36"/>
          <w:szCs w:val="36"/>
        </w:rPr>
        <w:t xml:space="preserve">4.2 </w:t>
      </w:r>
      <w:r>
        <w:rPr>
          <w:rFonts w:hint="eastAsia" w:hAnsi="宋体" w:eastAsia="宋体"/>
          <w:b/>
          <w:snapToGrid w:val="0"/>
          <w:kern w:val="0"/>
          <w:sz w:val="36"/>
          <w:szCs w:val="36"/>
        </w:rPr>
        <w:t>技术规格偏离表</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autoSpaceDE w:val="0"/>
        <w:autoSpaceDN w:val="0"/>
        <w:adjustRightInd w:val="0"/>
        <w:spacing w:line="360" w:lineRule="auto"/>
        <w:outlineLvl w:val="0"/>
        <w:rPr>
          <w:rFonts w:hAnsi="宋体" w:eastAsia="宋体"/>
          <w:b/>
          <w:snapToGrid w:val="0"/>
          <w:kern w:val="0"/>
          <w:sz w:val="36"/>
          <w:szCs w:val="36"/>
        </w:rPr>
      </w:pPr>
      <w:r>
        <w:rPr>
          <w:rFonts w:hint="eastAsia" w:asciiTheme="minorEastAsia" w:hAnsiTheme="minorEastAsia"/>
          <w:color w:val="000000"/>
          <w:sz w:val="24"/>
          <w:szCs w:val="24"/>
        </w:rPr>
        <w:t xml:space="preserve">项目名称：   </w:t>
      </w:r>
    </w:p>
    <w:tbl>
      <w:tblPr>
        <w:tblStyle w:val="24"/>
        <w:tblW w:w="9322" w:type="dxa"/>
        <w:tblInd w:w="0" w:type="dxa"/>
        <w:tblLayout w:type="fixed"/>
        <w:tblCellMar>
          <w:top w:w="0" w:type="dxa"/>
          <w:left w:w="108" w:type="dxa"/>
          <w:bottom w:w="0" w:type="dxa"/>
          <w:right w:w="108" w:type="dxa"/>
        </w:tblCellMar>
      </w:tblPr>
      <w:tblGrid>
        <w:gridCol w:w="828"/>
        <w:gridCol w:w="1265"/>
        <w:gridCol w:w="1559"/>
        <w:gridCol w:w="1559"/>
        <w:gridCol w:w="1560"/>
        <w:gridCol w:w="1134"/>
        <w:gridCol w:w="1417"/>
      </w:tblGrid>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26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货物服务</w:t>
            </w:r>
          </w:p>
          <w:p>
            <w:pPr>
              <w:pStyle w:val="9"/>
              <w:jc w:val="center"/>
              <w:rPr>
                <w:rFonts w:ascii="宋体" w:hAnsi="宋体" w:eastAsia="宋体" w:cs="宋体"/>
                <w:b/>
                <w:bCs/>
                <w:sz w:val="24"/>
                <w:szCs w:val="24"/>
              </w:rPr>
            </w:pPr>
            <w:r>
              <w:rPr>
                <w:rFonts w:hint="eastAsia" w:ascii="宋体" w:hAnsi="宋体" w:eastAsia="宋体" w:cs="宋体"/>
                <w:b/>
                <w:bCs/>
                <w:sz w:val="24"/>
                <w:szCs w:val="24"/>
              </w:rPr>
              <w:t>名称</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招标文件</w:t>
            </w:r>
          </w:p>
          <w:p>
            <w:pPr>
              <w:pStyle w:val="9"/>
              <w:jc w:val="center"/>
              <w:rPr>
                <w:rFonts w:ascii="宋体" w:hAnsi="宋体" w:eastAsia="宋体" w:cs="宋体"/>
                <w:b/>
                <w:bCs/>
                <w:sz w:val="24"/>
                <w:szCs w:val="24"/>
              </w:rPr>
            </w:pPr>
            <w:r>
              <w:rPr>
                <w:rFonts w:hint="eastAsia" w:ascii="宋体" w:hAnsi="宋体" w:eastAsia="宋体" w:cs="宋体"/>
                <w:b/>
                <w:bCs/>
                <w:sz w:val="24"/>
                <w:szCs w:val="24"/>
              </w:rPr>
              <w:t>技术参数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投标技术</w:t>
            </w:r>
          </w:p>
          <w:p>
            <w:pPr>
              <w:pStyle w:val="9"/>
              <w:jc w:val="center"/>
              <w:rPr>
                <w:rFonts w:ascii="宋体" w:hAnsi="宋体" w:eastAsia="宋体" w:cs="宋体"/>
                <w:b/>
                <w:bCs/>
                <w:sz w:val="24"/>
                <w:szCs w:val="24"/>
              </w:rPr>
            </w:pPr>
            <w:r>
              <w:rPr>
                <w:rFonts w:hint="eastAsia" w:ascii="宋体" w:hAnsi="宋体" w:eastAsia="宋体" w:cs="宋体"/>
                <w:b/>
                <w:bCs/>
                <w:sz w:val="24"/>
                <w:szCs w:val="24"/>
              </w:rPr>
              <w:t>参数</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偏离情况说明</w:t>
            </w:r>
          </w:p>
        </w:tc>
      </w:tr>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 w:val="24"/>
                <w:szCs w:val="24"/>
              </w:rPr>
            </w:pPr>
            <w:r>
              <w:rPr>
                <w:rFonts w:hint="eastAsia" w:asciiTheme="minorEastAsia" w:hAnsiTheme="minorEastAsia"/>
                <w:bCs/>
                <w:sz w:val="24"/>
                <w:szCs w:val="24"/>
              </w:rPr>
              <w:t>1</w:t>
            </w:r>
          </w:p>
        </w:tc>
        <w:tc>
          <w:tcPr>
            <w:tcW w:w="126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 w:val="24"/>
                <w:szCs w:val="24"/>
              </w:rPr>
            </w:pPr>
          </w:p>
        </w:tc>
      </w:tr>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 w:val="24"/>
                <w:szCs w:val="24"/>
              </w:rPr>
            </w:pPr>
            <w:r>
              <w:rPr>
                <w:rFonts w:hint="eastAsia" w:asciiTheme="minorEastAsia" w:hAnsiTheme="minorEastAsia"/>
                <w:sz w:val="24"/>
                <w:szCs w:val="24"/>
              </w:rPr>
              <w:t>…</w:t>
            </w:r>
          </w:p>
        </w:tc>
        <w:tc>
          <w:tcPr>
            <w:tcW w:w="126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 w:val="24"/>
                <w:szCs w:val="24"/>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p>
    <w:p>
      <w:pPr>
        <w:autoSpaceDE w:val="0"/>
        <w:autoSpaceDN w:val="0"/>
        <w:adjustRightInd w:val="0"/>
        <w:spacing w:line="360" w:lineRule="auto"/>
        <w:jc w:val="center"/>
        <w:rPr>
          <w:rFonts w:ascii="宋体" w:hAnsi="宋体"/>
          <w:b/>
          <w:bCs/>
          <w:color w:val="000000"/>
          <w:sz w:val="36"/>
          <w:szCs w:val="36"/>
        </w:rPr>
      </w:pPr>
    </w:p>
    <w:p>
      <w:pPr>
        <w:autoSpaceDE w:val="0"/>
        <w:autoSpaceDN w:val="0"/>
        <w:adjustRightInd w:val="0"/>
        <w:spacing w:line="360" w:lineRule="auto"/>
        <w:jc w:val="center"/>
        <w:rPr>
          <w:rFonts w:ascii="宋体" w:hAnsi="宋体"/>
          <w:b/>
          <w:bCs/>
          <w:color w:val="000000"/>
          <w:sz w:val="36"/>
          <w:szCs w:val="36"/>
        </w:rPr>
      </w:pPr>
    </w:p>
    <w:p>
      <w:pPr>
        <w:autoSpaceDE w:val="0"/>
        <w:autoSpaceDN w:val="0"/>
        <w:adjustRightInd w:val="0"/>
        <w:spacing w:line="360" w:lineRule="auto"/>
        <w:jc w:val="center"/>
        <w:rPr>
          <w:rFonts w:ascii="宋体" w:hAnsi="宋体"/>
          <w:b/>
          <w:bCs/>
          <w:color w:val="000000"/>
          <w:sz w:val="36"/>
          <w:szCs w:val="36"/>
        </w:rPr>
      </w:pPr>
    </w:p>
    <w:p>
      <w:pPr>
        <w:autoSpaceDE w:val="0"/>
        <w:autoSpaceDN w:val="0"/>
        <w:adjustRightInd w:val="0"/>
        <w:spacing w:line="360" w:lineRule="auto"/>
        <w:jc w:val="center"/>
        <w:rPr>
          <w:rFonts w:ascii="宋体" w:hAnsi="宋体"/>
          <w:b/>
          <w:bCs/>
          <w:color w:val="000000"/>
          <w:sz w:val="36"/>
          <w:szCs w:val="36"/>
        </w:rPr>
      </w:pPr>
    </w:p>
    <w:p>
      <w:pPr>
        <w:autoSpaceDE w:val="0"/>
        <w:autoSpaceDN w:val="0"/>
        <w:adjustRightInd w:val="0"/>
        <w:spacing w:line="360" w:lineRule="auto"/>
        <w:jc w:val="center"/>
        <w:rPr>
          <w:rFonts w:ascii="宋体" w:hAnsi="宋体"/>
          <w:b/>
          <w:bCs/>
          <w:color w:val="000000"/>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ascii="宋体" w:hAnsi="宋体"/>
          <w:b/>
          <w:bCs/>
          <w:color w:val="000000"/>
          <w:sz w:val="36"/>
          <w:szCs w:val="36"/>
        </w:rPr>
        <w:t xml:space="preserve">4.3 </w:t>
      </w:r>
      <w:r>
        <w:rPr>
          <w:rFonts w:hint="eastAsia" w:hAnsi="宋体" w:eastAsia="宋体"/>
          <w:b/>
          <w:snapToGrid w:val="0"/>
          <w:kern w:val="0"/>
          <w:sz w:val="36"/>
          <w:szCs w:val="36"/>
        </w:rPr>
        <w:t>技术方案（实施方案）</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 w:val="24"/>
          <w:szCs w:val="24"/>
          <w:lang w:val="zh-CN"/>
        </w:rPr>
      </w:pPr>
      <w:r>
        <w:rPr>
          <w:rFonts w:hint="eastAsia" w:cs="宋体" w:asciiTheme="minorEastAsia" w:hAnsiTheme="minorEastAsia"/>
          <w:sz w:val="24"/>
          <w:szCs w:val="24"/>
          <w:lang w:val="zh-CN"/>
        </w:rPr>
        <w:t>（投标人根据招标文件要求自行编制）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r>
        <w:rPr>
          <w:rFonts w:hint="eastAsia" w:ascii="宋体" w:hAnsi="宋体"/>
          <w:b/>
          <w:bCs/>
          <w:color w:val="000000"/>
          <w:sz w:val="36"/>
          <w:szCs w:val="36"/>
        </w:rPr>
        <w:t xml:space="preserve">4.4 </w:t>
      </w:r>
      <w:r>
        <w:rPr>
          <w:rFonts w:hint="eastAsia" w:hAnsi="宋体" w:eastAsia="宋体"/>
          <w:b/>
          <w:snapToGrid w:val="0"/>
          <w:kern w:val="0"/>
          <w:sz w:val="36"/>
          <w:szCs w:val="36"/>
        </w:rPr>
        <w:t>业绩情况表</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snapToGrid w:val="0"/>
        <w:spacing w:line="360" w:lineRule="auto"/>
        <w:rPr>
          <w:rFonts w:hAnsi="宋体" w:eastAsia="宋体"/>
          <w:b/>
          <w:snapToGrid w:val="0"/>
          <w:kern w:val="0"/>
          <w:sz w:val="36"/>
          <w:szCs w:val="36"/>
        </w:rPr>
      </w:pPr>
      <w:r>
        <w:rPr>
          <w:rFonts w:hint="eastAsia" w:asciiTheme="minorEastAsia" w:hAnsiTheme="minorEastAsia"/>
          <w:color w:val="000000"/>
          <w:sz w:val="24"/>
          <w:szCs w:val="24"/>
        </w:rPr>
        <w:t xml:space="preserve">项目名称：   </w:t>
      </w:r>
    </w:p>
    <w:tbl>
      <w:tblPr>
        <w:tblStyle w:val="24"/>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9"/>
              <w:jc w:val="center"/>
              <w:rPr>
                <w:rFonts w:ascii="宋体" w:hAnsi="宋体" w:eastAsia="宋体" w:cs="Times New Roman"/>
                <w:b/>
                <w:bCs/>
                <w:sz w:val="24"/>
                <w:szCs w:val="24"/>
              </w:rPr>
            </w:pPr>
            <w:r>
              <w:rPr>
                <w:rFonts w:hint="eastAsia" w:ascii="宋体" w:hAnsi="宋体" w:eastAsia="宋体" w:cs="宋体"/>
                <w:b/>
                <w:bCs/>
                <w:sz w:val="24"/>
                <w:szCs w:val="24"/>
              </w:rPr>
              <w:t>序号</w:t>
            </w:r>
          </w:p>
        </w:tc>
        <w:tc>
          <w:tcPr>
            <w:tcW w:w="1808" w:type="dxa"/>
            <w:shd w:val="clear" w:color="auto" w:fill="F3F3F3"/>
            <w:vAlign w:val="center"/>
          </w:tcPr>
          <w:p>
            <w:pPr>
              <w:pStyle w:val="9"/>
              <w:jc w:val="center"/>
              <w:rPr>
                <w:rFonts w:ascii="宋体" w:hAnsi="宋体" w:eastAsia="宋体" w:cs="Times New Roman"/>
                <w:b/>
                <w:bCs/>
                <w:sz w:val="24"/>
                <w:szCs w:val="24"/>
              </w:rPr>
            </w:pPr>
            <w:r>
              <w:rPr>
                <w:rFonts w:hint="eastAsia" w:ascii="宋体" w:hAnsi="宋体" w:eastAsia="宋体" w:cs="宋体"/>
                <w:b/>
                <w:bCs/>
                <w:sz w:val="24"/>
                <w:szCs w:val="24"/>
              </w:rPr>
              <w:t>客户单位名称</w:t>
            </w:r>
          </w:p>
        </w:tc>
        <w:tc>
          <w:tcPr>
            <w:tcW w:w="3579" w:type="dxa"/>
            <w:shd w:val="clear" w:color="auto" w:fill="F3F3F3"/>
            <w:vAlign w:val="center"/>
          </w:tcPr>
          <w:p>
            <w:pPr>
              <w:pStyle w:val="9"/>
              <w:jc w:val="center"/>
              <w:rPr>
                <w:rFonts w:ascii="宋体" w:hAnsi="宋体" w:eastAsia="宋体" w:cs="Times New Roman"/>
                <w:b/>
                <w:bCs/>
                <w:sz w:val="24"/>
                <w:szCs w:val="24"/>
              </w:rPr>
            </w:pPr>
            <w:r>
              <w:rPr>
                <w:rFonts w:hint="eastAsia" w:ascii="宋体" w:hAnsi="宋体" w:eastAsia="宋体" w:cs="宋体"/>
                <w:b/>
                <w:bCs/>
                <w:sz w:val="24"/>
                <w:szCs w:val="24"/>
              </w:rPr>
              <w:t>项目名称及主要内容</w:t>
            </w:r>
          </w:p>
        </w:tc>
        <w:tc>
          <w:tcPr>
            <w:tcW w:w="1440" w:type="dxa"/>
            <w:shd w:val="clear" w:color="auto" w:fill="F3F3F3"/>
            <w:vAlign w:val="center"/>
          </w:tcPr>
          <w:p>
            <w:pPr>
              <w:pStyle w:val="9"/>
              <w:jc w:val="center"/>
              <w:rPr>
                <w:rFonts w:ascii="宋体" w:hAnsi="宋体" w:eastAsia="宋体" w:cs="Times New Roman"/>
                <w:b/>
                <w:bCs/>
                <w:sz w:val="24"/>
                <w:szCs w:val="24"/>
              </w:rPr>
            </w:pPr>
            <w:r>
              <w:rPr>
                <w:rFonts w:hint="eastAsia" w:ascii="宋体" w:hAnsi="宋体" w:eastAsia="宋体" w:cs="宋体"/>
                <w:b/>
                <w:bCs/>
                <w:sz w:val="24"/>
                <w:szCs w:val="24"/>
              </w:rPr>
              <w:t>合同金额（万元）</w:t>
            </w:r>
          </w:p>
        </w:tc>
        <w:tc>
          <w:tcPr>
            <w:tcW w:w="1706" w:type="dxa"/>
            <w:shd w:val="clear" w:color="auto" w:fill="F3F3F3"/>
            <w:vAlign w:val="center"/>
          </w:tcPr>
          <w:p>
            <w:pPr>
              <w:pStyle w:val="9"/>
              <w:jc w:val="center"/>
              <w:rPr>
                <w:rFonts w:ascii="宋体" w:hAnsi="宋体" w:eastAsia="宋体" w:cs="Times New Roman"/>
                <w:b/>
                <w:bCs/>
                <w:sz w:val="24"/>
                <w:szCs w:val="24"/>
              </w:rPr>
            </w:pPr>
            <w:r>
              <w:rPr>
                <w:rFonts w:hint="eastAsia" w:ascii="宋体" w:hAnsi="宋体" w:eastAsia="宋体" w:cs="宋体"/>
                <w:b/>
                <w:bCs/>
                <w:sz w:val="24"/>
                <w:szCs w:val="24"/>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4"/>
                <w:szCs w:val="24"/>
              </w:rPr>
            </w:pPr>
            <w:r>
              <w:rPr>
                <w:rFonts w:ascii="宋体" w:hAnsi="宋体" w:eastAsia="宋体" w:cs="宋体"/>
                <w:sz w:val="24"/>
                <w:szCs w:val="24"/>
              </w:rPr>
              <w:t>1</w:t>
            </w:r>
          </w:p>
        </w:tc>
        <w:tc>
          <w:tcPr>
            <w:tcW w:w="1808" w:type="dxa"/>
            <w:vAlign w:val="center"/>
          </w:tcPr>
          <w:p>
            <w:pPr>
              <w:pStyle w:val="9"/>
              <w:spacing w:line="360" w:lineRule="auto"/>
              <w:rPr>
                <w:rFonts w:ascii="宋体" w:hAnsi="宋体" w:eastAsia="宋体" w:cs="Times New Roman"/>
                <w:sz w:val="24"/>
                <w:szCs w:val="24"/>
              </w:rPr>
            </w:pPr>
          </w:p>
        </w:tc>
        <w:tc>
          <w:tcPr>
            <w:tcW w:w="3579" w:type="dxa"/>
            <w:vAlign w:val="center"/>
          </w:tcPr>
          <w:p>
            <w:pPr>
              <w:pStyle w:val="9"/>
              <w:spacing w:line="360" w:lineRule="auto"/>
              <w:rPr>
                <w:rFonts w:ascii="宋体" w:hAnsi="宋体" w:eastAsia="宋体" w:cs="Times New Roman"/>
                <w:sz w:val="24"/>
                <w:szCs w:val="24"/>
              </w:rPr>
            </w:pPr>
          </w:p>
        </w:tc>
        <w:tc>
          <w:tcPr>
            <w:tcW w:w="1440" w:type="dxa"/>
            <w:vAlign w:val="center"/>
          </w:tcPr>
          <w:p>
            <w:pPr>
              <w:pStyle w:val="9"/>
              <w:spacing w:line="360" w:lineRule="auto"/>
              <w:rPr>
                <w:rFonts w:ascii="宋体" w:hAnsi="宋体" w:eastAsia="宋体" w:cs="Times New Roman"/>
                <w:sz w:val="24"/>
                <w:szCs w:val="24"/>
              </w:rPr>
            </w:pPr>
          </w:p>
        </w:tc>
        <w:tc>
          <w:tcPr>
            <w:tcW w:w="1706" w:type="dxa"/>
            <w:vAlign w:val="center"/>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4"/>
                <w:szCs w:val="24"/>
              </w:rPr>
            </w:pPr>
            <w:r>
              <w:rPr>
                <w:rFonts w:ascii="宋体" w:hAnsi="宋体" w:eastAsia="宋体" w:cs="宋体"/>
                <w:sz w:val="24"/>
                <w:szCs w:val="24"/>
              </w:rPr>
              <w:t>2</w:t>
            </w:r>
          </w:p>
        </w:tc>
        <w:tc>
          <w:tcPr>
            <w:tcW w:w="1808" w:type="dxa"/>
            <w:vAlign w:val="center"/>
          </w:tcPr>
          <w:p>
            <w:pPr>
              <w:pStyle w:val="9"/>
              <w:spacing w:line="360" w:lineRule="auto"/>
              <w:rPr>
                <w:rFonts w:ascii="宋体" w:hAnsi="宋体" w:eastAsia="宋体" w:cs="Times New Roman"/>
                <w:sz w:val="24"/>
                <w:szCs w:val="24"/>
              </w:rPr>
            </w:pPr>
          </w:p>
        </w:tc>
        <w:tc>
          <w:tcPr>
            <w:tcW w:w="3579" w:type="dxa"/>
            <w:vAlign w:val="center"/>
          </w:tcPr>
          <w:p>
            <w:pPr>
              <w:pStyle w:val="9"/>
              <w:spacing w:line="360" w:lineRule="auto"/>
              <w:rPr>
                <w:rFonts w:ascii="宋体" w:hAnsi="宋体" w:eastAsia="宋体" w:cs="Times New Roman"/>
                <w:sz w:val="24"/>
                <w:szCs w:val="24"/>
              </w:rPr>
            </w:pPr>
          </w:p>
        </w:tc>
        <w:tc>
          <w:tcPr>
            <w:tcW w:w="1440" w:type="dxa"/>
            <w:vAlign w:val="center"/>
          </w:tcPr>
          <w:p>
            <w:pPr>
              <w:pStyle w:val="9"/>
              <w:spacing w:line="360" w:lineRule="auto"/>
              <w:rPr>
                <w:rFonts w:ascii="宋体" w:hAnsi="宋体" w:eastAsia="宋体" w:cs="Times New Roman"/>
                <w:sz w:val="24"/>
                <w:szCs w:val="24"/>
              </w:rPr>
            </w:pPr>
          </w:p>
        </w:tc>
        <w:tc>
          <w:tcPr>
            <w:tcW w:w="1706" w:type="dxa"/>
            <w:vAlign w:val="center"/>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4"/>
                <w:szCs w:val="24"/>
              </w:rPr>
            </w:pPr>
            <w:r>
              <w:rPr>
                <w:rFonts w:ascii="宋体" w:hAnsi="宋体" w:eastAsia="宋体" w:cs="宋体"/>
                <w:sz w:val="24"/>
                <w:szCs w:val="24"/>
              </w:rPr>
              <w:t>3</w:t>
            </w:r>
          </w:p>
        </w:tc>
        <w:tc>
          <w:tcPr>
            <w:tcW w:w="1808" w:type="dxa"/>
            <w:vAlign w:val="center"/>
          </w:tcPr>
          <w:p>
            <w:pPr>
              <w:pStyle w:val="9"/>
              <w:spacing w:line="360" w:lineRule="auto"/>
              <w:rPr>
                <w:rFonts w:ascii="宋体" w:hAnsi="宋体" w:eastAsia="宋体" w:cs="Times New Roman"/>
                <w:sz w:val="24"/>
                <w:szCs w:val="24"/>
              </w:rPr>
            </w:pPr>
          </w:p>
        </w:tc>
        <w:tc>
          <w:tcPr>
            <w:tcW w:w="3579" w:type="dxa"/>
            <w:vAlign w:val="center"/>
          </w:tcPr>
          <w:p>
            <w:pPr>
              <w:pStyle w:val="9"/>
              <w:spacing w:line="360" w:lineRule="auto"/>
              <w:rPr>
                <w:rFonts w:ascii="宋体" w:hAnsi="宋体" w:eastAsia="宋体" w:cs="Times New Roman"/>
                <w:sz w:val="24"/>
                <w:szCs w:val="24"/>
              </w:rPr>
            </w:pPr>
          </w:p>
        </w:tc>
        <w:tc>
          <w:tcPr>
            <w:tcW w:w="1440" w:type="dxa"/>
            <w:vAlign w:val="center"/>
          </w:tcPr>
          <w:p>
            <w:pPr>
              <w:pStyle w:val="9"/>
              <w:spacing w:line="360" w:lineRule="auto"/>
              <w:rPr>
                <w:rFonts w:ascii="宋体" w:hAnsi="宋体" w:eastAsia="宋体" w:cs="Times New Roman"/>
                <w:sz w:val="24"/>
                <w:szCs w:val="24"/>
              </w:rPr>
            </w:pPr>
          </w:p>
        </w:tc>
        <w:tc>
          <w:tcPr>
            <w:tcW w:w="1706" w:type="dxa"/>
            <w:vAlign w:val="center"/>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4"/>
                <w:szCs w:val="24"/>
              </w:rPr>
            </w:pPr>
            <w:r>
              <w:rPr>
                <w:rFonts w:ascii="宋体" w:hAnsi="宋体" w:eastAsia="宋体" w:cs="宋体"/>
                <w:sz w:val="24"/>
                <w:szCs w:val="24"/>
              </w:rPr>
              <w:t>4</w:t>
            </w:r>
          </w:p>
        </w:tc>
        <w:tc>
          <w:tcPr>
            <w:tcW w:w="1808" w:type="dxa"/>
            <w:vAlign w:val="center"/>
          </w:tcPr>
          <w:p>
            <w:pPr>
              <w:rPr>
                <w:rFonts w:ascii="宋体"/>
              </w:rPr>
            </w:pPr>
          </w:p>
        </w:tc>
        <w:tc>
          <w:tcPr>
            <w:tcW w:w="3579" w:type="dxa"/>
            <w:vAlign w:val="center"/>
          </w:tcPr>
          <w:p>
            <w:pPr>
              <w:rPr>
                <w:rFonts w:ascii="宋体"/>
              </w:rPr>
            </w:pPr>
          </w:p>
        </w:tc>
        <w:tc>
          <w:tcPr>
            <w:tcW w:w="1440" w:type="dxa"/>
            <w:vAlign w:val="center"/>
          </w:tcPr>
          <w:p>
            <w:pPr>
              <w:rPr>
                <w:rFonts w:ascii="宋体"/>
              </w:rPr>
            </w:pPr>
          </w:p>
        </w:tc>
        <w:tc>
          <w:tcPr>
            <w:tcW w:w="1706" w:type="dxa"/>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宋体"/>
                <w:sz w:val="24"/>
                <w:szCs w:val="24"/>
              </w:rPr>
              <w:t>……</w:t>
            </w:r>
          </w:p>
        </w:tc>
        <w:tc>
          <w:tcPr>
            <w:tcW w:w="1808" w:type="dxa"/>
            <w:vAlign w:val="center"/>
          </w:tcPr>
          <w:p>
            <w:pPr>
              <w:rPr>
                <w:rFonts w:ascii="宋体"/>
              </w:rPr>
            </w:pPr>
          </w:p>
        </w:tc>
        <w:tc>
          <w:tcPr>
            <w:tcW w:w="3579" w:type="dxa"/>
            <w:vAlign w:val="center"/>
          </w:tcPr>
          <w:p>
            <w:pPr>
              <w:rPr>
                <w:rFonts w:ascii="宋体"/>
              </w:rPr>
            </w:pPr>
          </w:p>
        </w:tc>
        <w:tc>
          <w:tcPr>
            <w:tcW w:w="1440" w:type="dxa"/>
            <w:vAlign w:val="center"/>
          </w:tcPr>
          <w:p>
            <w:pPr>
              <w:rPr>
                <w:rFonts w:ascii="宋体"/>
              </w:rPr>
            </w:pPr>
          </w:p>
        </w:tc>
        <w:tc>
          <w:tcPr>
            <w:tcW w:w="1706" w:type="dxa"/>
            <w:vAlign w:val="center"/>
          </w:tcPr>
          <w:p>
            <w:pPr>
              <w:rPr>
                <w:rFonts w:ascii="宋体"/>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r>
        <w:rPr>
          <w:rFonts w:hint="eastAsia" w:ascii="宋体" w:hAnsi="宋体"/>
          <w:b/>
          <w:bCs/>
          <w:color w:val="000000"/>
          <w:sz w:val="36"/>
          <w:szCs w:val="36"/>
        </w:rPr>
        <w:t>4.5 售后服务方案</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rPr>
          <w:rFonts w:cs="宋体" w:asciiTheme="minorEastAsia" w:hAnsiTheme="minorEastAsia"/>
          <w:sz w:val="24"/>
          <w:szCs w:val="24"/>
          <w:lang w:val="zh-CN"/>
        </w:rPr>
      </w:pPr>
      <w:r>
        <w:rPr>
          <w:rFonts w:hint="eastAsia" w:cs="宋体" w:asciiTheme="minorEastAsia" w:hAnsiTheme="minorEastAsia"/>
          <w:sz w:val="24"/>
          <w:szCs w:val="24"/>
          <w:lang w:val="zh-CN"/>
        </w:rPr>
        <w:t>（投标人根据招标文件要求自行编制）</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hAnsi="宋体" w:cs="微软雅黑"/>
          <w:bCs/>
          <w:kern w:val="0"/>
        </w:rPr>
      </w:pPr>
    </w:p>
    <w:p>
      <w:pPr>
        <w:jc w:val="center"/>
        <w:rPr>
          <w:rFonts w:ascii="宋体" w:hAnsi="宋体"/>
          <w:b/>
          <w:bCs/>
          <w:color w:val="000000"/>
          <w:sz w:val="36"/>
          <w:szCs w:val="36"/>
        </w:rPr>
      </w:pPr>
      <w:r>
        <w:rPr>
          <w:rFonts w:hint="eastAsia" w:ascii="宋体" w:hAnsi="宋体"/>
          <w:b/>
          <w:bCs/>
          <w:color w:val="000000"/>
          <w:sz w:val="36"/>
          <w:szCs w:val="36"/>
        </w:rPr>
        <w:t>4.6“节能产品政府采购清单”强制节能产品情况</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tabs>
          <w:tab w:val="left" w:pos="1800"/>
          <w:tab w:val="left" w:pos="5580"/>
        </w:tabs>
        <w:spacing w:line="360" w:lineRule="auto"/>
        <w:rPr>
          <w:rFonts w:ascii="宋体" w:hAnsi="宋体"/>
          <w:szCs w:val="21"/>
        </w:rPr>
      </w:pPr>
      <w:r>
        <w:rPr>
          <w:rFonts w:hint="eastAsia" w:asciiTheme="minorEastAsia" w:hAnsiTheme="minorEastAsia"/>
          <w:color w:val="000000"/>
          <w:sz w:val="24"/>
          <w:szCs w:val="24"/>
        </w:rPr>
        <w:t>项目名称：</w:t>
      </w:r>
    </w:p>
    <w:tbl>
      <w:tblPr>
        <w:tblStyle w:val="24"/>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274"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货物名称</w:t>
            </w:r>
          </w:p>
        </w:tc>
        <w:tc>
          <w:tcPr>
            <w:tcW w:w="991"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品牌</w:t>
            </w:r>
          </w:p>
        </w:tc>
        <w:tc>
          <w:tcPr>
            <w:tcW w:w="1276"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产品型号</w:t>
            </w:r>
          </w:p>
        </w:tc>
        <w:tc>
          <w:tcPr>
            <w:tcW w:w="1135"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制造商</w:t>
            </w:r>
          </w:p>
          <w:p>
            <w:pPr>
              <w:pStyle w:val="9"/>
              <w:jc w:val="center"/>
              <w:rPr>
                <w:rFonts w:ascii="宋体" w:hAnsi="宋体" w:eastAsia="宋体" w:cs="宋体"/>
                <w:b/>
                <w:bCs/>
                <w:sz w:val="24"/>
                <w:szCs w:val="24"/>
              </w:rPr>
            </w:pPr>
            <w:r>
              <w:rPr>
                <w:rFonts w:hint="eastAsia" w:ascii="宋体" w:hAnsi="宋体" w:eastAsia="宋体" w:cs="宋体"/>
                <w:b/>
                <w:bCs/>
                <w:sz w:val="24"/>
                <w:szCs w:val="24"/>
              </w:rPr>
              <w:t>名称</w:t>
            </w:r>
          </w:p>
        </w:tc>
        <w:tc>
          <w:tcPr>
            <w:tcW w:w="1276"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节字标志认证证书号</w:t>
            </w:r>
          </w:p>
        </w:tc>
        <w:tc>
          <w:tcPr>
            <w:tcW w:w="1439"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提供节能产品所在页</w:t>
            </w:r>
          </w:p>
          <w:p>
            <w:pPr>
              <w:pStyle w:val="9"/>
              <w:jc w:val="center"/>
              <w:rPr>
                <w:rFonts w:ascii="宋体" w:hAnsi="宋体" w:eastAsia="宋体" w:cs="宋体"/>
                <w:b/>
                <w:bCs/>
                <w:sz w:val="24"/>
                <w:szCs w:val="24"/>
              </w:rPr>
            </w:pPr>
            <w:r>
              <w:rPr>
                <w:rFonts w:hint="eastAsia" w:ascii="宋体" w:hAnsi="宋体" w:eastAsia="宋体" w:cs="宋体"/>
                <w:b/>
                <w:bCs/>
                <w:sz w:val="24"/>
                <w:szCs w:val="24"/>
              </w:rPr>
              <w:t>复印件</w:t>
            </w:r>
          </w:p>
          <w:p>
            <w:pPr>
              <w:pStyle w:val="9"/>
              <w:jc w:val="center"/>
              <w:rPr>
                <w:rFonts w:ascii="宋体" w:hAnsi="宋体" w:eastAsia="宋体" w:cs="宋体"/>
                <w:b/>
                <w:bCs/>
                <w:sz w:val="24"/>
                <w:szCs w:val="24"/>
              </w:rPr>
            </w:pPr>
            <w:r>
              <w:rPr>
                <w:rFonts w:hint="eastAsia" w:ascii="宋体" w:hAnsi="宋体" w:eastAsia="宋体" w:cs="宋体"/>
                <w:b/>
                <w:bCs/>
                <w:sz w:val="24"/>
                <w:szCs w:val="24"/>
              </w:rPr>
              <w:t>（是/否）</w:t>
            </w:r>
          </w:p>
        </w:tc>
        <w:tc>
          <w:tcPr>
            <w:tcW w:w="1252"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未提供节能产品所在页原因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1</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2</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宋体"/>
                <w:sz w:val="24"/>
                <w:szCs w:val="24"/>
              </w:rPr>
              <w:t>…</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p>
    <w:p>
      <w:pPr>
        <w:snapToGrid w:val="0"/>
        <w:spacing w:line="500" w:lineRule="exact"/>
        <w:rPr>
          <w:rFonts w:cs="宋体" w:asciiTheme="minorEastAsia" w:hAnsiTheme="minorEastAsia"/>
          <w:sz w:val="24"/>
          <w:szCs w:val="24"/>
          <w:lang w:val="zh-CN"/>
        </w:rPr>
      </w:pPr>
    </w:p>
    <w:p>
      <w:pPr>
        <w:rPr>
          <w:rFonts w:cs="宋体" w:asciiTheme="minorEastAsia" w:hAnsiTheme="minorEastAsia"/>
          <w:sz w:val="24"/>
          <w:szCs w:val="24"/>
          <w:lang w:val="zh-CN"/>
        </w:rPr>
      </w:pPr>
      <w:r>
        <w:rPr>
          <w:rFonts w:hint="eastAsia" w:cs="宋体" w:asciiTheme="minorEastAsia" w:hAnsiTheme="minorEastAsia"/>
          <w:sz w:val="24"/>
          <w:szCs w:val="24"/>
          <w:lang w:val="zh-CN"/>
        </w:rPr>
        <w:t>说明：所投产品节能清单所在页复印件并加盖投标人公章须附后。</w:t>
      </w:r>
    </w:p>
    <w:p>
      <w:pPr>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spacing w:line="360" w:lineRule="auto"/>
        <w:jc w:val="center"/>
        <w:rPr>
          <w:rFonts w:ascii="宋体" w:hAnsi="宋体"/>
          <w:b/>
          <w:bCs/>
          <w:color w:val="000000"/>
          <w:sz w:val="36"/>
          <w:szCs w:val="36"/>
        </w:rPr>
      </w:pPr>
      <w:r>
        <w:rPr>
          <w:rFonts w:hint="eastAsia" w:ascii="宋体" w:hAnsi="宋体"/>
          <w:b/>
          <w:bCs/>
          <w:color w:val="000000"/>
          <w:sz w:val="36"/>
          <w:szCs w:val="36"/>
        </w:rPr>
        <w:t>4.7 “节能产品政府采购清单”优先采购产品情况</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tabs>
          <w:tab w:val="left" w:pos="1800"/>
          <w:tab w:val="left" w:pos="5580"/>
        </w:tabs>
        <w:spacing w:line="360" w:lineRule="auto"/>
        <w:rPr>
          <w:rFonts w:ascii="宋体" w:hAnsi="宋体"/>
          <w:szCs w:val="21"/>
        </w:rPr>
      </w:pPr>
      <w:r>
        <w:rPr>
          <w:rFonts w:hint="eastAsia" w:asciiTheme="minorEastAsia" w:hAnsiTheme="minorEastAsia"/>
          <w:color w:val="000000"/>
          <w:sz w:val="24"/>
          <w:szCs w:val="24"/>
        </w:rPr>
        <w:t>项目名称：</w:t>
      </w:r>
    </w:p>
    <w:tbl>
      <w:tblPr>
        <w:tblStyle w:val="24"/>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274"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货物名称</w:t>
            </w:r>
          </w:p>
        </w:tc>
        <w:tc>
          <w:tcPr>
            <w:tcW w:w="991"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品牌</w:t>
            </w:r>
          </w:p>
        </w:tc>
        <w:tc>
          <w:tcPr>
            <w:tcW w:w="1276"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产品型号</w:t>
            </w:r>
          </w:p>
        </w:tc>
        <w:tc>
          <w:tcPr>
            <w:tcW w:w="1135"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制造商</w:t>
            </w:r>
          </w:p>
          <w:p>
            <w:pPr>
              <w:pStyle w:val="9"/>
              <w:jc w:val="center"/>
              <w:rPr>
                <w:rFonts w:ascii="宋体" w:hAnsi="宋体" w:eastAsia="宋体" w:cs="宋体"/>
                <w:b/>
                <w:bCs/>
                <w:sz w:val="24"/>
                <w:szCs w:val="24"/>
              </w:rPr>
            </w:pPr>
            <w:r>
              <w:rPr>
                <w:rFonts w:hint="eastAsia" w:ascii="宋体" w:hAnsi="宋体" w:eastAsia="宋体" w:cs="宋体"/>
                <w:b/>
                <w:bCs/>
                <w:sz w:val="24"/>
                <w:szCs w:val="24"/>
              </w:rPr>
              <w:t>名称</w:t>
            </w:r>
          </w:p>
        </w:tc>
        <w:tc>
          <w:tcPr>
            <w:tcW w:w="1276"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节字标志认证证书号</w:t>
            </w:r>
          </w:p>
        </w:tc>
        <w:tc>
          <w:tcPr>
            <w:tcW w:w="1439"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提供节能产品所在页</w:t>
            </w:r>
          </w:p>
          <w:p>
            <w:pPr>
              <w:pStyle w:val="9"/>
              <w:jc w:val="center"/>
              <w:rPr>
                <w:rFonts w:ascii="宋体" w:hAnsi="宋体" w:eastAsia="宋体" w:cs="宋体"/>
                <w:b/>
                <w:bCs/>
                <w:sz w:val="24"/>
                <w:szCs w:val="24"/>
              </w:rPr>
            </w:pPr>
            <w:r>
              <w:rPr>
                <w:rFonts w:hint="eastAsia" w:ascii="宋体" w:hAnsi="宋体" w:eastAsia="宋体" w:cs="宋体"/>
                <w:b/>
                <w:bCs/>
                <w:sz w:val="24"/>
                <w:szCs w:val="24"/>
              </w:rPr>
              <w:t>复印件</w:t>
            </w:r>
          </w:p>
          <w:p>
            <w:pPr>
              <w:pStyle w:val="9"/>
              <w:jc w:val="center"/>
              <w:rPr>
                <w:rFonts w:ascii="宋体" w:hAnsi="宋体" w:eastAsia="宋体" w:cs="宋体"/>
                <w:b/>
                <w:bCs/>
                <w:sz w:val="24"/>
                <w:szCs w:val="24"/>
              </w:rPr>
            </w:pPr>
            <w:r>
              <w:rPr>
                <w:rFonts w:hint="eastAsia" w:ascii="宋体" w:hAnsi="宋体" w:eastAsia="宋体" w:cs="宋体"/>
                <w:b/>
                <w:bCs/>
                <w:sz w:val="24"/>
                <w:szCs w:val="24"/>
              </w:rPr>
              <w:t>（是/否）</w:t>
            </w:r>
          </w:p>
        </w:tc>
        <w:tc>
          <w:tcPr>
            <w:tcW w:w="1252"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未提供节能产品所在页原因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1</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2</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p>
    <w:p>
      <w:pPr>
        <w:snapToGrid w:val="0"/>
        <w:spacing w:line="500" w:lineRule="exact"/>
        <w:rPr>
          <w:rFonts w:cs="宋体" w:asciiTheme="minorEastAsia" w:hAnsiTheme="minorEastAsia"/>
          <w:sz w:val="24"/>
          <w:szCs w:val="24"/>
          <w:lang w:val="zh-CN"/>
        </w:rPr>
      </w:pPr>
    </w:p>
    <w:p>
      <w:pPr>
        <w:snapToGrid w:val="0"/>
        <w:spacing w:line="500" w:lineRule="exact"/>
        <w:rPr>
          <w:rFonts w:cs="宋体" w:asciiTheme="minorEastAsia" w:hAnsiTheme="minorEastAsia"/>
          <w:sz w:val="24"/>
          <w:szCs w:val="24"/>
          <w:lang w:val="zh-CN"/>
        </w:rPr>
      </w:pPr>
    </w:p>
    <w:p>
      <w:pPr>
        <w:rPr>
          <w:rFonts w:cs="宋体" w:asciiTheme="minorEastAsia" w:hAnsiTheme="minorEastAsia"/>
          <w:sz w:val="24"/>
          <w:szCs w:val="24"/>
          <w:lang w:val="zh-CN"/>
        </w:rPr>
      </w:pPr>
      <w:r>
        <w:rPr>
          <w:rFonts w:hint="eastAsia" w:cs="宋体" w:asciiTheme="minorEastAsia" w:hAnsiTheme="minorEastAsia"/>
          <w:sz w:val="24"/>
          <w:szCs w:val="24"/>
          <w:lang w:val="zh-CN"/>
        </w:rPr>
        <w:t>说明：所投产品“节能产品政府采购清单”所在页复印件并加盖投标人公章须附后。</w:t>
      </w: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r>
        <w:rPr>
          <w:rFonts w:hint="eastAsia" w:ascii="宋体" w:hAnsi="宋体"/>
          <w:b/>
          <w:bCs/>
          <w:color w:val="000000"/>
          <w:sz w:val="36"/>
          <w:szCs w:val="36"/>
        </w:rPr>
        <w:t>4.8 “环境标志产品政府采购清单”优先采购产品情况</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tabs>
          <w:tab w:val="left" w:pos="1800"/>
          <w:tab w:val="left" w:pos="5580"/>
        </w:tabs>
        <w:spacing w:line="360" w:lineRule="auto"/>
        <w:rPr>
          <w:rFonts w:ascii="宋体" w:hAnsi="宋体"/>
          <w:szCs w:val="21"/>
        </w:rPr>
      </w:pPr>
      <w:r>
        <w:rPr>
          <w:rFonts w:hint="eastAsia" w:asciiTheme="minorEastAsia" w:hAnsiTheme="minorEastAsia"/>
          <w:color w:val="000000"/>
          <w:sz w:val="24"/>
          <w:szCs w:val="24"/>
        </w:rPr>
        <w:t>项目名称：</w:t>
      </w:r>
    </w:p>
    <w:tbl>
      <w:tblPr>
        <w:tblStyle w:val="24"/>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274"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货物名称</w:t>
            </w:r>
          </w:p>
        </w:tc>
        <w:tc>
          <w:tcPr>
            <w:tcW w:w="991"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品牌</w:t>
            </w:r>
          </w:p>
        </w:tc>
        <w:tc>
          <w:tcPr>
            <w:tcW w:w="1276"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产品型号</w:t>
            </w:r>
          </w:p>
        </w:tc>
        <w:tc>
          <w:tcPr>
            <w:tcW w:w="1135"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制造商</w:t>
            </w:r>
          </w:p>
          <w:p>
            <w:pPr>
              <w:pStyle w:val="9"/>
              <w:jc w:val="center"/>
              <w:rPr>
                <w:rFonts w:ascii="宋体" w:hAnsi="宋体" w:eastAsia="宋体" w:cs="宋体"/>
                <w:b/>
                <w:bCs/>
                <w:sz w:val="24"/>
                <w:szCs w:val="24"/>
              </w:rPr>
            </w:pPr>
            <w:r>
              <w:rPr>
                <w:rFonts w:hint="eastAsia" w:ascii="宋体" w:hAnsi="宋体" w:eastAsia="宋体" w:cs="宋体"/>
                <w:b/>
                <w:bCs/>
                <w:sz w:val="24"/>
                <w:szCs w:val="24"/>
              </w:rPr>
              <w:t>名称</w:t>
            </w:r>
          </w:p>
        </w:tc>
        <w:tc>
          <w:tcPr>
            <w:tcW w:w="1276"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中国环境标志认证证书编号</w:t>
            </w:r>
          </w:p>
        </w:tc>
        <w:tc>
          <w:tcPr>
            <w:tcW w:w="1439"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提供环境标志产品所在页复印件</w:t>
            </w:r>
          </w:p>
          <w:p>
            <w:pPr>
              <w:pStyle w:val="9"/>
              <w:jc w:val="center"/>
              <w:rPr>
                <w:rFonts w:ascii="宋体" w:hAnsi="宋体" w:eastAsia="宋体" w:cs="宋体"/>
                <w:b/>
                <w:bCs/>
                <w:sz w:val="24"/>
                <w:szCs w:val="24"/>
              </w:rPr>
            </w:pPr>
            <w:r>
              <w:rPr>
                <w:rFonts w:hint="eastAsia" w:ascii="宋体" w:hAnsi="宋体" w:eastAsia="宋体" w:cs="宋体"/>
                <w:b/>
                <w:bCs/>
                <w:sz w:val="24"/>
                <w:szCs w:val="24"/>
              </w:rPr>
              <w:t>（是/否）</w:t>
            </w:r>
          </w:p>
        </w:tc>
        <w:tc>
          <w:tcPr>
            <w:tcW w:w="1252"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未提供环境标志产品所在页原因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1</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2</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p>
    <w:p>
      <w:pPr>
        <w:snapToGrid w:val="0"/>
        <w:spacing w:line="500" w:lineRule="exact"/>
        <w:rPr>
          <w:rFonts w:cs="宋体" w:asciiTheme="minorEastAsia" w:hAnsiTheme="minorEastAsia"/>
          <w:sz w:val="24"/>
          <w:szCs w:val="24"/>
          <w:lang w:val="zh-CN"/>
        </w:rPr>
      </w:pPr>
    </w:p>
    <w:p>
      <w:pPr>
        <w:snapToGrid w:val="0"/>
        <w:spacing w:line="500" w:lineRule="exact"/>
        <w:rPr>
          <w:rFonts w:cs="宋体" w:asciiTheme="minorEastAsia" w:hAnsiTheme="minorEastAsia"/>
          <w:sz w:val="24"/>
          <w:szCs w:val="24"/>
          <w:lang w:val="zh-CN"/>
        </w:rPr>
      </w:pPr>
    </w:p>
    <w:p>
      <w:pPr>
        <w:ind w:left="720" w:hanging="720" w:hangingChars="300"/>
        <w:rPr>
          <w:rFonts w:cs="宋体" w:asciiTheme="minorEastAsia" w:hAnsiTheme="minorEastAsia"/>
          <w:sz w:val="24"/>
          <w:szCs w:val="24"/>
          <w:lang w:val="zh-CN"/>
        </w:rPr>
      </w:pPr>
      <w:r>
        <w:rPr>
          <w:rFonts w:hint="eastAsia" w:cs="宋体" w:asciiTheme="minorEastAsia" w:hAnsiTheme="minorEastAsia"/>
          <w:sz w:val="24"/>
          <w:szCs w:val="24"/>
          <w:lang w:val="zh-CN"/>
        </w:rPr>
        <w:t>说明：所投产品“环境标志产品政府采购清单”所在页复印件并加盖投标人公章须附后。</w:t>
      </w: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r>
        <w:rPr>
          <w:rFonts w:hint="eastAsia" w:ascii="宋体" w:hAnsi="宋体"/>
          <w:b/>
          <w:bCs/>
          <w:color w:val="000000"/>
          <w:sz w:val="36"/>
          <w:szCs w:val="36"/>
        </w:rPr>
        <w:t>4.9 中小企业声明函</w:t>
      </w:r>
    </w:p>
    <w:p>
      <w:pPr>
        <w:spacing w:line="360" w:lineRule="auto"/>
        <w:jc w:val="center"/>
        <w:rPr>
          <w:rFonts w:ascii="宋体" w:hAnsi="宋体"/>
          <w:b/>
          <w:bCs/>
          <w:color w:val="000000"/>
          <w:sz w:val="36"/>
          <w:szCs w:val="36"/>
        </w:rPr>
      </w:pPr>
    </w:p>
    <w:p>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Pr>
          <w:rFonts w:hint="eastAsia" w:ascii="宋体" w:hAnsi="宋体" w:cs="Arial"/>
          <w:color w:val="000000"/>
          <w:kern w:val="0"/>
          <w:sz w:val="24"/>
          <w:szCs w:val="24"/>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 w:val="24"/>
          <w:szCs w:val="24"/>
        </w:rPr>
        <w:br w:type="textWrapping"/>
      </w:r>
      <w:r>
        <w:rPr>
          <w:rFonts w:hint="eastAsia" w:ascii="宋体" w:hAnsi="宋体" w:cs="Arial"/>
          <w:color w:val="000000"/>
          <w:kern w:val="0"/>
          <w:sz w:val="24"/>
          <w:szCs w:val="24"/>
        </w:rPr>
        <w:t>　　根据《工业和信息化部、国家统计局、国家发展和改革委员会、财政部关于印发中小企业划型标准规定的通知》（工信部联企业[2011]300号）规定的划分标准，</w:t>
      </w:r>
      <w:r>
        <w:rPr>
          <w:rFonts w:hint="eastAsia"/>
          <w:color w:val="000000"/>
          <w:sz w:val="24"/>
          <w:szCs w:val="24"/>
        </w:rPr>
        <w:t>按照《国家统计局关于印发统计上大中小微型企业划分办法的通知》（国统字</w:t>
      </w:r>
      <w:r>
        <w:rPr>
          <w:color w:val="000000"/>
          <w:sz w:val="24"/>
          <w:szCs w:val="24"/>
        </w:rPr>
        <w:t>[2011] 75</w:t>
      </w:r>
      <w:r>
        <w:rPr>
          <w:rFonts w:hint="eastAsia"/>
          <w:color w:val="000000"/>
          <w:sz w:val="24"/>
          <w:szCs w:val="24"/>
        </w:rPr>
        <w:t>号）规定，本公司所属行业为</w:t>
      </w:r>
      <w:r>
        <w:rPr>
          <w:color w:val="000000"/>
          <w:sz w:val="24"/>
          <w:szCs w:val="24"/>
        </w:rPr>
        <w:t>______</w:t>
      </w:r>
      <w:r>
        <w:rPr>
          <w:rFonts w:hint="eastAsia"/>
          <w:color w:val="000000"/>
          <w:sz w:val="24"/>
          <w:szCs w:val="24"/>
        </w:rPr>
        <w:t>，截至上一财年末，公司资产总额</w:t>
      </w:r>
      <w:r>
        <w:rPr>
          <w:color w:val="000000"/>
          <w:sz w:val="24"/>
          <w:szCs w:val="24"/>
        </w:rPr>
        <w:t>______</w:t>
      </w:r>
      <w:r>
        <w:rPr>
          <w:rFonts w:hint="eastAsia"/>
          <w:color w:val="000000"/>
          <w:sz w:val="24"/>
          <w:szCs w:val="24"/>
        </w:rPr>
        <w:t>万元，营业收入</w:t>
      </w:r>
      <w:r>
        <w:rPr>
          <w:color w:val="000000"/>
          <w:sz w:val="24"/>
          <w:szCs w:val="24"/>
        </w:rPr>
        <w:t>______</w:t>
      </w:r>
      <w:r>
        <w:rPr>
          <w:rFonts w:hint="eastAsia"/>
          <w:color w:val="000000"/>
          <w:sz w:val="24"/>
          <w:szCs w:val="24"/>
        </w:rPr>
        <w:t>万元，从业人员</w:t>
      </w:r>
      <w:r>
        <w:rPr>
          <w:color w:val="000000"/>
          <w:sz w:val="24"/>
          <w:szCs w:val="24"/>
        </w:rPr>
        <w:t>______</w:t>
      </w:r>
      <w:r>
        <w:rPr>
          <w:rFonts w:hint="eastAsia"/>
          <w:color w:val="000000"/>
          <w:sz w:val="24"/>
          <w:szCs w:val="24"/>
        </w:rPr>
        <w:t>人，</w:t>
      </w:r>
      <w:r>
        <w:rPr>
          <w:rFonts w:hint="eastAsia" w:ascii="宋体" w:hAnsi="宋体" w:cs="Arial"/>
          <w:color w:val="000000"/>
          <w:kern w:val="0"/>
          <w:sz w:val="24"/>
          <w:szCs w:val="24"/>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Pr>
          <w:rFonts w:hint="eastAsia" w:ascii="宋体" w:hAnsi="宋体" w:cs="Arial"/>
          <w:color w:val="000000"/>
          <w:kern w:val="0"/>
          <w:sz w:val="24"/>
          <w:szCs w:val="24"/>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 w:val="24"/>
          <w:szCs w:val="24"/>
        </w:rPr>
      </w:pPr>
    </w:p>
    <w:p>
      <w:pPr>
        <w:widowControl/>
        <w:spacing w:before="100" w:beforeAutospacing="1" w:after="100" w:afterAutospacing="1" w:line="360" w:lineRule="auto"/>
        <w:ind w:left="3885" w:leftChars="1850"/>
        <w:jc w:val="left"/>
        <w:rPr>
          <w:rFonts w:ascii="宋体" w:hAnsi="宋体" w:cs="Arial"/>
          <w:color w:val="000000"/>
          <w:kern w:val="0"/>
          <w:sz w:val="24"/>
          <w:szCs w:val="24"/>
        </w:rPr>
      </w:pPr>
      <w:r>
        <w:rPr>
          <w:rFonts w:hint="eastAsia" w:ascii="宋体" w:hAnsi="宋体" w:cs="Arial"/>
          <w:color w:val="000000"/>
          <w:kern w:val="0"/>
          <w:sz w:val="24"/>
          <w:szCs w:val="24"/>
        </w:rPr>
        <w:t>企业名称（盖章）：　　　　　　　　　</w:t>
      </w:r>
      <w:r>
        <w:rPr>
          <w:rFonts w:hint="eastAsia" w:ascii="宋体" w:hAnsi="宋体" w:cs="Arial"/>
          <w:color w:val="000000"/>
          <w:kern w:val="0"/>
          <w:sz w:val="24"/>
          <w:szCs w:val="24"/>
        </w:rPr>
        <w:br w:type="textWrapping"/>
      </w:r>
      <w:r>
        <w:rPr>
          <w:rFonts w:hint="eastAsia" w:ascii="宋体" w:hAnsi="宋体" w:cs="Arial"/>
          <w:color w:val="000000"/>
          <w:kern w:val="0"/>
          <w:sz w:val="24"/>
          <w:szCs w:val="24"/>
        </w:rPr>
        <w:t>日　  期：</w:t>
      </w:r>
    </w:p>
    <w:p>
      <w:pPr>
        <w:widowControl/>
        <w:spacing w:before="100" w:beforeAutospacing="1" w:after="100" w:afterAutospacing="1" w:line="360" w:lineRule="auto"/>
        <w:jc w:val="left"/>
        <w:rPr>
          <w:rFonts w:ascii="宋体" w:hAnsi="宋体"/>
          <w:color w:val="000000"/>
          <w:sz w:val="24"/>
          <w:szCs w:val="24"/>
        </w:rPr>
      </w:pPr>
    </w:p>
    <w:p>
      <w:pPr>
        <w:widowControl/>
        <w:spacing w:before="100" w:beforeAutospacing="1" w:after="100" w:afterAutospacing="1" w:line="360" w:lineRule="auto"/>
        <w:contextualSpacing/>
        <w:jc w:val="left"/>
        <w:rPr>
          <w:rFonts w:ascii="宋体" w:hAnsi="宋体"/>
          <w:color w:val="000000"/>
          <w:sz w:val="24"/>
          <w:szCs w:val="24"/>
        </w:rPr>
      </w:pPr>
      <w:r>
        <w:rPr>
          <w:rFonts w:hint="eastAsia" w:ascii="宋体" w:hAnsi="宋体"/>
          <w:color w:val="000000"/>
          <w:sz w:val="24"/>
          <w:szCs w:val="24"/>
        </w:rPr>
        <w:t>说明：</w:t>
      </w:r>
    </w:p>
    <w:p>
      <w:pPr>
        <w:widowControl/>
        <w:spacing w:before="100" w:beforeAutospacing="1" w:after="100" w:afterAutospacing="1" w:line="360" w:lineRule="auto"/>
        <w:contextualSpacing/>
        <w:jc w:val="left"/>
        <w:rPr>
          <w:rFonts w:ascii="宋体" w:hAnsi="宋体" w:cs="Arial"/>
          <w:color w:val="000000"/>
          <w:kern w:val="0"/>
          <w:sz w:val="24"/>
          <w:szCs w:val="24"/>
        </w:rPr>
      </w:pPr>
      <w:r>
        <w:rPr>
          <w:rFonts w:hint="eastAsia" w:ascii="宋体" w:hAnsi="宋体" w:cs="Arial"/>
          <w:color w:val="000000"/>
          <w:kern w:val="0"/>
          <w:sz w:val="24"/>
          <w:szCs w:val="24"/>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 w:val="24"/>
          <w:szCs w:val="24"/>
        </w:rPr>
      </w:pPr>
      <w:r>
        <w:rPr>
          <w:rFonts w:hint="eastAsia" w:ascii="宋体" w:hAnsi="宋体" w:cs="Arial"/>
          <w:color w:val="000000"/>
          <w:kern w:val="0"/>
          <w:sz w:val="24"/>
          <w:szCs w:val="24"/>
        </w:rPr>
        <w:t>2、如投标人为联合投标的，联合投标人需分别填写上述《中小企业声明函》。</w:t>
      </w:r>
    </w:p>
    <w:p>
      <w:pPr>
        <w:autoSpaceDE w:val="0"/>
        <w:autoSpaceDN w:val="0"/>
        <w:adjustRightInd w:val="0"/>
        <w:spacing w:line="360" w:lineRule="auto"/>
        <w:jc w:val="center"/>
        <w:outlineLvl w:val="0"/>
        <w:rPr>
          <w:rFonts w:ascii="宋体" w:hAnsi="宋体" w:cs="Arial"/>
          <w:color w:val="000000"/>
          <w:kern w:val="0"/>
          <w:sz w:val="24"/>
          <w:szCs w:val="24"/>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spacing w:line="360" w:lineRule="auto"/>
        <w:jc w:val="center"/>
        <w:rPr>
          <w:rFonts w:ascii="宋体" w:hAnsi="宋体"/>
          <w:b/>
          <w:bCs/>
          <w:color w:val="000000"/>
          <w:sz w:val="36"/>
          <w:szCs w:val="36"/>
        </w:rPr>
      </w:pPr>
      <w:bookmarkStart w:id="7" w:name="OLE_LINK13"/>
      <w:bookmarkStart w:id="8" w:name="OLE_LINK14"/>
      <w:r>
        <w:rPr>
          <w:rFonts w:hint="eastAsia" w:ascii="宋体" w:hAnsi="宋体"/>
          <w:b/>
          <w:bCs/>
          <w:color w:val="000000"/>
          <w:sz w:val="36"/>
          <w:szCs w:val="36"/>
        </w:rPr>
        <w:t>4.10 残疾人福利性单位声明函</w:t>
      </w:r>
    </w:p>
    <w:bookmarkEnd w:id="7"/>
    <w:bookmarkEnd w:id="8"/>
    <w:p>
      <w:pPr>
        <w:spacing w:line="360" w:lineRule="auto"/>
        <w:rPr>
          <w:rFonts w:ascii="宋体" w:hAnsi="宋体"/>
          <w:szCs w:val="21"/>
        </w:rPr>
      </w:pPr>
    </w:p>
    <w:p>
      <w:pPr>
        <w:spacing w:line="360" w:lineRule="auto"/>
        <w:ind w:firstLine="480" w:firstLineChars="200"/>
        <w:rPr>
          <w:rFonts w:ascii="宋体" w:hAnsi="宋体"/>
          <w:sz w:val="24"/>
          <w:szCs w:val="24"/>
        </w:rPr>
      </w:pPr>
      <w:r>
        <w:rPr>
          <w:rFonts w:hint="eastAsia" w:ascii="宋体" w:hAnsi="宋体"/>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sz w:val="24"/>
          <w:szCs w:val="24"/>
        </w:rPr>
      </w:pPr>
      <w:r>
        <w:rPr>
          <w:rFonts w:hint="eastAsia" w:ascii="宋体" w:hAnsi="宋体"/>
          <w:sz w:val="24"/>
          <w:szCs w:val="24"/>
        </w:rPr>
        <w:t>本单位对上述声明的真实性负责。如有虚假，将依法承担相应责任。</w:t>
      </w:r>
    </w:p>
    <w:p>
      <w:pPr>
        <w:spacing w:line="360" w:lineRule="auto"/>
        <w:rPr>
          <w:rFonts w:ascii="宋体" w:hAnsi="宋体"/>
          <w:sz w:val="24"/>
          <w:szCs w:val="24"/>
        </w:rPr>
      </w:pPr>
    </w:p>
    <w:p>
      <w:pPr>
        <w:spacing w:line="360" w:lineRule="auto"/>
        <w:rPr>
          <w:rFonts w:ascii="宋体" w:hAnsi="宋体"/>
          <w:sz w:val="24"/>
          <w:szCs w:val="24"/>
        </w:rPr>
      </w:pPr>
    </w:p>
    <w:p>
      <w:pPr>
        <w:spacing w:line="360" w:lineRule="auto"/>
        <w:rPr>
          <w:rFonts w:ascii="宋体" w:hAnsi="宋体"/>
          <w:sz w:val="24"/>
          <w:szCs w:val="24"/>
        </w:rPr>
      </w:pPr>
      <w:r>
        <w:rPr>
          <w:rFonts w:hint="eastAsia" w:ascii="宋体" w:hAnsi="宋体"/>
          <w:sz w:val="24"/>
          <w:szCs w:val="24"/>
        </w:rPr>
        <w:t xml:space="preserve">                                    单位名称（盖章）：</w:t>
      </w:r>
    </w:p>
    <w:p>
      <w:pPr>
        <w:spacing w:line="360" w:lineRule="auto"/>
        <w:rPr>
          <w:rFonts w:ascii="宋体" w:hAnsi="宋体"/>
          <w:sz w:val="24"/>
          <w:szCs w:val="24"/>
        </w:rPr>
      </w:pPr>
      <w:r>
        <w:rPr>
          <w:rFonts w:hint="eastAsia" w:ascii="宋体" w:hAnsi="宋体"/>
          <w:sz w:val="24"/>
          <w:szCs w:val="24"/>
        </w:rPr>
        <w:t xml:space="preserve">                                    日    期：</w:t>
      </w:r>
    </w:p>
    <w:p/>
    <w:p/>
    <w:p/>
    <w:p/>
    <w:p/>
    <w:p/>
    <w:p/>
    <w:p>
      <w:pPr>
        <w:widowControl/>
        <w:spacing w:before="100" w:beforeAutospacing="1" w:after="100" w:afterAutospacing="1" w:line="360" w:lineRule="auto"/>
        <w:jc w:val="center"/>
        <w:rPr>
          <w:rFonts w:ascii="宋体" w:hAnsi="宋体"/>
          <w:b/>
          <w:bCs/>
          <w:color w:val="000000"/>
          <w:sz w:val="36"/>
          <w:szCs w:val="36"/>
        </w:rPr>
      </w:pPr>
      <w:r>
        <w:rPr>
          <w:rFonts w:hint="eastAsia" w:ascii="宋体" w:hAnsi="宋体"/>
          <w:b/>
          <w:bCs/>
          <w:color w:val="000000"/>
          <w:sz w:val="36"/>
          <w:szCs w:val="36"/>
        </w:rPr>
        <w:t xml:space="preserve">4.11 所投产品符合国家强制性要求承诺函 </w:t>
      </w:r>
    </w:p>
    <w:p>
      <w:pPr>
        <w:spacing w:line="360" w:lineRule="auto"/>
        <w:jc w:val="center"/>
        <w:rPr>
          <w:rFonts w:ascii="宋体" w:hAnsi="宋体" w:cs="Arial"/>
          <w:color w:val="000000"/>
          <w:kern w:val="0"/>
          <w:sz w:val="24"/>
          <w:szCs w:val="24"/>
        </w:rPr>
      </w:pPr>
      <w:r>
        <w:rPr>
          <w:rFonts w:hint="eastAsia" w:ascii="宋体" w:hAnsi="宋体" w:cs="Arial"/>
          <w:color w:val="000000"/>
          <w:kern w:val="0"/>
          <w:sz w:val="24"/>
          <w:szCs w:val="24"/>
        </w:rPr>
        <w:t>投标人所投产品涉及国家有属强制性规定的，须承诺其所投产品符合国家强制性要求（如CCC认证，格式自拟）</w:t>
      </w:r>
    </w:p>
    <w:p>
      <w:pPr>
        <w:widowControl/>
        <w:spacing w:before="100" w:beforeAutospacing="1" w:after="100" w:afterAutospacing="1" w:line="360" w:lineRule="auto"/>
        <w:jc w:val="center"/>
        <w:rPr>
          <w:rFonts w:ascii="宋体" w:hAnsi="宋体"/>
          <w:b/>
          <w:bCs/>
          <w:color w:val="000000"/>
          <w:sz w:val="36"/>
          <w:szCs w:val="36"/>
        </w:rPr>
      </w:pPr>
    </w:p>
    <w:p>
      <w:pPr>
        <w:widowControl/>
        <w:spacing w:before="100" w:beforeAutospacing="1" w:after="100" w:afterAutospacing="1" w:line="360" w:lineRule="auto"/>
        <w:jc w:val="center"/>
        <w:rPr>
          <w:rFonts w:ascii="宋体" w:hAnsi="宋体"/>
          <w:b/>
          <w:bCs/>
          <w:color w:val="000000"/>
          <w:sz w:val="36"/>
          <w:szCs w:val="36"/>
        </w:rPr>
      </w:pPr>
    </w:p>
    <w:p/>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五、</w:t>
      </w:r>
      <w:r>
        <w:rPr>
          <w:rFonts w:cs="黑体" w:asciiTheme="minorEastAsia" w:hAnsiTheme="minorEastAsia"/>
          <w:b/>
          <w:sz w:val="44"/>
          <w:szCs w:val="44"/>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pPr>
        <w:spacing w:line="360" w:lineRule="auto"/>
        <w:jc w:val="center"/>
        <w:rPr>
          <w:rFonts w:ascii="宋体" w:hAnsi="宋体"/>
          <w:b/>
          <w:bCs/>
          <w:color w:val="000000"/>
          <w:sz w:val="28"/>
          <w:szCs w:val="28"/>
        </w:rPr>
      </w:pPr>
      <w:r>
        <w:rPr>
          <w:rFonts w:ascii="宋体" w:hAnsi="宋体"/>
          <w:b/>
          <w:bCs/>
          <w:color w:val="000000"/>
          <w:sz w:val="28"/>
          <w:szCs w:val="28"/>
        </w:rPr>
        <w:t> </w:t>
      </w:r>
    </w:p>
    <w:p/>
    <w:p/>
    <w:p/>
    <w:p/>
    <w:p/>
    <w:p/>
    <w:p/>
    <w:p/>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微软简隶书">
    <w:altName w:val="隶书"/>
    <w:panose1 w:val="00000000000000000000"/>
    <w:charset w:val="86"/>
    <w:family w:val="auto"/>
    <w:pitch w:val="default"/>
    <w:sig w:usb0="00000000" w:usb1="00000000" w:usb2="00000000" w:usb3="00000000" w:csb0="00000000" w:csb1="00000000"/>
  </w:font>
  <w:font w:name="仿宋_GB2312">
    <w:altName w:val="仿宋"/>
    <w:panose1 w:val="00000000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TimesNewRomanPSMT">
    <w:altName w:val="宋体"/>
    <w:panose1 w:val="00000000000000000000"/>
    <w:charset w:val="00"/>
    <w:family w:val="roman"/>
    <w:pitch w:val="default"/>
    <w:sig w:usb0="00000000" w:usb1="00000000" w:usb2="00000010" w:usb3="00000000" w:csb0="00040001" w:csb1="00000000"/>
  </w:font>
  <w:font w:name="新宋体">
    <w:panose1 w:val="02010609030101010101"/>
    <w:charset w:val="86"/>
    <w:family w:val="modern"/>
    <w:pitch w:val="default"/>
    <w:sig w:usb0="00000003" w:usb1="288F0000" w:usb2="00000006" w:usb3="00000000" w:csb0="00040001" w:csb1="00000000"/>
  </w:font>
  <w:font w:name="Courier New">
    <w:panose1 w:val="02070309020205020404"/>
    <w:charset w:val="00"/>
    <w:family w:val="modern"/>
    <w:pitch w:val="default"/>
    <w:sig w:usb0="E0002AFF" w:usb1="C0007843" w:usb2="00000009" w:usb3="00000000" w:csb0="400001FF" w:csb1="FFFF0000"/>
  </w:font>
  <w:font w:name="隶书">
    <w:panose1 w:val="0201050906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pict>
        <v:shape id="_x0000_s1025" o:spid="_x0000_s1025"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pStyle w:val="15"/>
                </w:pPr>
                <w:r>
                  <w:fldChar w:fldCharType="begin"/>
                </w:r>
                <w:r>
                  <w:instrText xml:space="preserve"> PAGE  \* MERGEFORMAT </w:instrText>
                </w:r>
                <w:r>
                  <w:fldChar w:fldCharType="separate"/>
                </w:r>
                <w:r>
                  <w:t>25</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474BF8A"/>
    <w:multiLevelType w:val="singleLevel"/>
    <w:tmpl w:val="B474BF8A"/>
    <w:lvl w:ilvl="0" w:tentative="0">
      <w:start w:val="1"/>
      <w:numFmt w:val="decimal"/>
      <w:suff w:val="nothing"/>
      <w:lvlText w:val="%1、"/>
      <w:lvlJc w:val="left"/>
    </w:lvl>
  </w:abstractNum>
  <w:abstractNum w:abstractNumId="1">
    <w:nsid w:val="BE1480E0"/>
    <w:multiLevelType w:val="singleLevel"/>
    <w:tmpl w:val="BE1480E0"/>
    <w:lvl w:ilvl="0" w:tentative="0">
      <w:start w:val="1"/>
      <w:numFmt w:val="decimal"/>
      <w:suff w:val="nothing"/>
      <w:lvlText w:val="%1、"/>
      <w:lvlJc w:val="left"/>
    </w:lvl>
  </w:abstractNum>
  <w:abstractNum w:abstractNumId="2">
    <w:nsid w:val="00000006"/>
    <w:multiLevelType w:val="multilevel"/>
    <w:tmpl w:val="00000006"/>
    <w:lvl w:ilvl="0" w:tentative="0">
      <w:start w:val="1"/>
      <w:numFmt w:val="chineseCountingThousand"/>
      <w:pStyle w:val="2"/>
      <w:suff w:val="nothing"/>
      <w:lvlText w:val="第%1部分"/>
      <w:lvlJc w:val="center"/>
      <w:pPr>
        <w:ind w:left="-288" w:firstLine="288"/>
      </w:pPr>
      <w:rPr>
        <w:rFonts w:hint="eastAsia"/>
        <w:sz w:val="28"/>
        <w:szCs w:val="28"/>
      </w:rPr>
    </w:lvl>
    <w:lvl w:ilvl="1" w:tentative="0">
      <w:start w:val="1"/>
      <w:numFmt w:val="chineseCountingThousand"/>
      <w:pStyle w:val="3"/>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5"/>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3">
    <w:nsid w:val="00000014"/>
    <w:multiLevelType w:val="multilevel"/>
    <w:tmpl w:val="00000014"/>
    <w:lvl w:ilvl="0" w:tentative="0">
      <w:start w:val="1"/>
      <w:numFmt w:val="decimal"/>
      <w:pStyle w:val="42"/>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4">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59F817C2"/>
    <w:multiLevelType w:val="singleLevel"/>
    <w:tmpl w:val="59F817C2"/>
    <w:lvl w:ilvl="0" w:tentative="0">
      <w:start w:val="2"/>
      <w:numFmt w:val="chineseCounting"/>
      <w:suff w:val="space"/>
      <w:lvlText w:val="第%1章"/>
      <w:lvlJc w:val="left"/>
    </w:lvl>
  </w:abstractNum>
  <w:abstractNum w:abstractNumId="6">
    <w:nsid w:val="59F817E8"/>
    <w:multiLevelType w:val="singleLevel"/>
    <w:tmpl w:val="59F817E8"/>
    <w:lvl w:ilvl="0" w:tentative="0">
      <w:start w:val="1"/>
      <w:numFmt w:val="chineseCounting"/>
      <w:pStyle w:val="47"/>
      <w:suff w:val="nothing"/>
      <w:lvlText w:val="%1、"/>
      <w:lvlJc w:val="left"/>
    </w:lvl>
  </w:abstractNum>
  <w:abstractNum w:abstractNumId="7">
    <w:nsid w:val="688CA4F9"/>
    <w:multiLevelType w:val="singleLevel"/>
    <w:tmpl w:val="688CA4F9"/>
    <w:lvl w:ilvl="0" w:tentative="0">
      <w:start w:val="1"/>
      <w:numFmt w:val="chineseCounting"/>
      <w:suff w:val="nothing"/>
      <w:lvlText w:val="%1、"/>
      <w:lvlJc w:val="left"/>
      <w:rPr>
        <w:rFonts w:hint="eastAsia"/>
      </w:rPr>
    </w:lvl>
  </w:abstractNum>
  <w:num w:numId="1">
    <w:abstractNumId w:val="2"/>
  </w:num>
  <w:num w:numId="2">
    <w:abstractNumId w:val="3"/>
  </w:num>
  <w:num w:numId="3">
    <w:abstractNumId w:val="6"/>
  </w:num>
  <w:num w:numId="4">
    <w:abstractNumId w:val="5"/>
  </w:num>
  <w:num w:numId="5">
    <w:abstractNumId w:val="7"/>
  </w:num>
  <w:num w:numId="6">
    <w:abstractNumId w:val="0"/>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2"/>
  </w:compat>
  <w:rsids>
    <w:rsidRoot w:val="006E678E"/>
    <w:rsid w:val="00001F4B"/>
    <w:rsid w:val="00002C4C"/>
    <w:rsid w:val="00013791"/>
    <w:rsid w:val="00073DDD"/>
    <w:rsid w:val="000B201C"/>
    <w:rsid w:val="000C7103"/>
    <w:rsid w:val="000F40BE"/>
    <w:rsid w:val="000F58D4"/>
    <w:rsid w:val="00157205"/>
    <w:rsid w:val="00160D27"/>
    <w:rsid w:val="001C3E6D"/>
    <w:rsid w:val="00215B36"/>
    <w:rsid w:val="002A39A2"/>
    <w:rsid w:val="002A7EAE"/>
    <w:rsid w:val="002C1175"/>
    <w:rsid w:val="002E6CB7"/>
    <w:rsid w:val="002F21EF"/>
    <w:rsid w:val="00363726"/>
    <w:rsid w:val="00397A66"/>
    <w:rsid w:val="003C1CEA"/>
    <w:rsid w:val="00450C1D"/>
    <w:rsid w:val="00460A21"/>
    <w:rsid w:val="00482371"/>
    <w:rsid w:val="00496923"/>
    <w:rsid w:val="004F06B3"/>
    <w:rsid w:val="004F0BF8"/>
    <w:rsid w:val="00505787"/>
    <w:rsid w:val="0051397E"/>
    <w:rsid w:val="0057038A"/>
    <w:rsid w:val="005E646F"/>
    <w:rsid w:val="005E7CEF"/>
    <w:rsid w:val="00636AAD"/>
    <w:rsid w:val="00685B99"/>
    <w:rsid w:val="00694DB2"/>
    <w:rsid w:val="006E678E"/>
    <w:rsid w:val="006F1C15"/>
    <w:rsid w:val="007054C2"/>
    <w:rsid w:val="00713175"/>
    <w:rsid w:val="00716621"/>
    <w:rsid w:val="00724696"/>
    <w:rsid w:val="0076324F"/>
    <w:rsid w:val="0078154E"/>
    <w:rsid w:val="007D329B"/>
    <w:rsid w:val="008570DB"/>
    <w:rsid w:val="00885877"/>
    <w:rsid w:val="008B3AF4"/>
    <w:rsid w:val="008D07A8"/>
    <w:rsid w:val="0091497F"/>
    <w:rsid w:val="00933EBF"/>
    <w:rsid w:val="009434C1"/>
    <w:rsid w:val="0097065A"/>
    <w:rsid w:val="0097239E"/>
    <w:rsid w:val="009C12AB"/>
    <w:rsid w:val="009D27F1"/>
    <w:rsid w:val="00A3752F"/>
    <w:rsid w:val="00A4670A"/>
    <w:rsid w:val="00A57254"/>
    <w:rsid w:val="00AD60E2"/>
    <w:rsid w:val="00AF2871"/>
    <w:rsid w:val="00B06ECE"/>
    <w:rsid w:val="00B07A0D"/>
    <w:rsid w:val="00BF7BB6"/>
    <w:rsid w:val="00C118B0"/>
    <w:rsid w:val="00CD277F"/>
    <w:rsid w:val="00CD3054"/>
    <w:rsid w:val="00CD47B7"/>
    <w:rsid w:val="00CE38EA"/>
    <w:rsid w:val="00D53665"/>
    <w:rsid w:val="00D81A59"/>
    <w:rsid w:val="00D86948"/>
    <w:rsid w:val="00DE647B"/>
    <w:rsid w:val="00E84EA0"/>
    <w:rsid w:val="00EA2836"/>
    <w:rsid w:val="00ED546F"/>
    <w:rsid w:val="00F71CA7"/>
    <w:rsid w:val="00FC40F1"/>
    <w:rsid w:val="00FF146E"/>
    <w:rsid w:val="122E5EA1"/>
    <w:rsid w:val="1CCE573F"/>
    <w:rsid w:val="31251719"/>
    <w:rsid w:val="37CC5961"/>
    <w:rsid w:val="3B835C4F"/>
    <w:rsid w:val="50FB0A7F"/>
    <w:rsid w:val="52BB4EEE"/>
    <w:rsid w:val="5D6B1712"/>
    <w:rsid w:val="6D5A1D51"/>
    <w:rsid w:val="768125D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5"/>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3">
    <w:name w:val="heading 2"/>
    <w:basedOn w:val="1"/>
    <w:next w:val="1"/>
    <w:link w:val="26"/>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4">
    <w:name w:val="heading 3"/>
    <w:basedOn w:val="1"/>
    <w:next w:val="1"/>
    <w:link w:val="27"/>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5">
    <w:name w:val="heading 4"/>
    <w:basedOn w:val="1"/>
    <w:next w:val="1"/>
    <w:link w:val="28"/>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0">
    <w:name w:val="Default Paragraph Font"/>
    <w:semiHidden/>
    <w:unhideWhenUsed/>
    <w:qFormat/>
    <w:uiPriority w:val="1"/>
  </w:style>
  <w:style w:type="table" w:default="1" w:styleId="24">
    <w:name w:val="Normal Table"/>
    <w:semiHidden/>
    <w:unhideWhenUsed/>
    <w:qFormat/>
    <w:uiPriority w:val="99"/>
    <w:tblPr>
      <w:tblLayout w:type="fixed"/>
      <w:tblCellMar>
        <w:top w:w="0" w:type="dxa"/>
        <w:left w:w="108" w:type="dxa"/>
        <w:bottom w:w="0" w:type="dxa"/>
        <w:right w:w="108" w:type="dxa"/>
      </w:tblCellMar>
    </w:tblPr>
  </w:style>
  <w:style w:type="paragraph" w:styleId="6">
    <w:name w:val="Body Text First Indent"/>
    <w:basedOn w:val="7"/>
    <w:link w:val="49"/>
    <w:qFormat/>
    <w:uiPriority w:val="0"/>
    <w:pPr>
      <w:ind w:firstLine="420" w:firstLineChars="100"/>
    </w:pPr>
    <w:rPr>
      <w:rFonts w:ascii="宋体" w:hAnsi="Times New Roman" w:eastAsia="宋体" w:cs="Times New Roman"/>
      <w:kern w:val="0"/>
      <w:sz w:val="34"/>
      <w:szCs w:val="20"/>
    </w:rPr>
  </w:style>
  <w:style w:type="paragraph" w:styleId="7">
    <w:name w:val="Body Text"/>
    <w:basedOn w:val="1"/>
    <w:link w:val="48"/>
    <w:semiHidden/>
    <w:unhideWhenUsed/>
    <w:qFormat/>
    <w:uiPriority w:val="99"/>
    <w:pPr>
      <w:spacing w:after="120"/>
    </w:pPr>
  </w:style>
  <w:style w:type="paragraph" w:styleId="8">
    <w:name w:val="Normal Indent"/>
    <w:basedOn w:val="1"/>
    <w:qFormat/>
    <w:uiPriority w:val="0"/>
    <w:pPr>
      <w:ind w:firstLine="425"/>
    </w:pPr>
    <w:rPr>
      <w:rFonts w:ascii="Times New Roman" w:hAnsi="Times New Roman" w:eastAsia="宋体" w:cs="Times New Roman"/>
      <w:szCs w:val="20"/>
    </w:rPr>
  </w:style>
  <w:style w:type="paragraph" w:styleId="9">
    <w:name w:val="caption"/>
    <w:basedOn w:val="1"/>
    <w:next w:val="1"/>
    <w:qFormat/>
    <w:uiPriority w:val="0"/>
    <w:rPr>
      <w:rFonts w:ascii="Arial" w:hAnsi="Arial" w:eastAsia="黑体" w:cs="Arial"/>
      <w:sz w:val="20"/>
      <w:szCs w:val="20"/>
    </w:rPr>
  </w:style>
  <w:style w:type="paragraph" w:styleId="10">
    <w:name w:val="Body Text 3"/>
    <w:basedOn w:val="1"/>
    <w:link w:val="44"/>
    <w:qFormat/>
    <w:uiPriority w:val="0"/>
    <w:rPr>
      <w:rFonts w:ascii="Times New Roman" w:hAnsi="Times New Roman" w:eastAsia="宋体" w:cs="Times New Roman"/>
      <w:color w:val="FF0000"/>
      <w:sz w:val="24"/>
      <w:szCs w:val="24"/>
    </w:rPr>
  </w:style>
  <w:style w:type="paragraph" w:styleId="11">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2">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3">
    <w:name w:val="Plain Text"/>
    <w:basedOn w:val="1"/>
    <w:link w:val="29"/>
    <w:qFormat/>
    <w:uiPriority w:val="0"/>
    <w:rPr>
      <w:rFonts w:eastAsia="宋体"/>
      <w:sz w:val="24"/>
    </w:rPr>
  </w:style>
  <w:style w:type="paragraph" w:styleId="14">
    <w:name w:val="Date"/>
    <w:basedOn w:val="1"/>
    <w:next w:val="1"/>
    <w:link w:val="30"/>
    <w:unhideWhenUsed/>
    <w:qFormat/>
    <w:uiPriority w:val="99"/>
    <w:pPr>
      <w:ind w:left="100" w:leftChars="2500"/>
    </w:pPr>
  </w:style>
  <w:style w:type="paragraph" w:styleId="15">
    <w:name w:val="footer"/>
    <w:basedOn w:val="1"/>
    <w:link w:val="31"/>
    <w:unhideWhenUsed/>
    <w:qFormat/>
    <w:uiPriority w:val="99"/>
    <w:pPr>
      <w:tabs>
        <w:tab w:val="center" w:pos="4153"/>
        <w:tab w:val="right" w:pos="8306"/>
      </w:tabs>
      <w:snapToGrid w:val="0"/>
      <w:jc w:val="left"/>
    </w:pPr>
    <w:rPr>
      <w:sz w:val="18"/>
      <w:szCs w:val="18"/>
    </w:rPr>
  </w:style>
  <w:style w:type="paragraph" w:styleId="16">
    <w:name w:val="header"/>
    <w:basedOn w:val="1"/>
    <w:link w:val="32"/>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18">
    <w:name w:val="HTML Preformatted"/>
    <w:basedOn w:val="1"/>
    <w:link w:val="50"/>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19">
    <w:name w:val="Normal (Web)"/>
    <w:basedOn w:val="1"/>
    <w:qFormat/>
    <w:uiPriority w:val="99"/>
    <w:rPr>
      <w:rFonts w:ascii="Calibri" w:hAnsi="Calibri" w:eastAsia="宋体" w:cs="Times New Roman"/>
      <w:sz w:val="24"/>
      <w:szCs w:val="24"/>
    </w:rPr>
  </w:style>
  <w:style w:type="character" w:styleId="21">
    <w:name w:val="Strong"/>
    <w:basedOn w:val="20"/>
    <w:qFormat/>
    <w:uiPriority w:val="22"/>
    <w:rPr>
      <w:b/>
      <w:bCs/>
    </w:rPr>
  </w:style>
  <w:style w:type="character" w:styleId="22">
    <w:name w:val="FollowedHyperlink"/>
    <w:basedOn w:val="20"/>
    <w:semiHidden/>
    <w:unhideWhenUsed/>
    <w:qFormat/>
    <w:uiPriority w:val="99"/>
    <w:rPr>
      <w:color w:val="800080" w:themeColor="followedHyperlink"/>
      <w:u w:val="single"/>
    </w:rPr>
  </w:style>
  <w:style w:type="character" w:styleId="23">
    <w:name w:val="Hyperlink"/>
    <w:basedOn w:val="20"/>
    <w:unhideWhenUsed/>
    <w:qFormat/>
    <w:uiPriority w:val="99"/>
    <w:rPr>
      <w:color w:val="0000FF"/>
      <w:u w:val="single"/>
    </w:rPr>
  </w:style>
  <w:style w:type="character" w:customStyle="1" w:styleId="25">
    <w:name w:val="标题 1 Char"/>
    <w:basedOn w:val="20"/>
    <w:link w:val="2"/>
    <w:qFormat/>
    <w:uiPriority w:val="0"/>
    <w:rPr>
      <w:rFonts w:ascii="Calibri" w:hAnsi="Calibri" w:eastAsia="宋体" w:cs="Times New Roman"/>
      <w:b/>
      <w:bCs/>
      <w:kern w:val="44"/>
      <w:sz w:val="44"/>
      <w:szCs w:val="44"/>
    </w:rPr>
  </w:style>
  <w:style w:type="character" w:customStyle="1" w:styleId="26">
    <w:name w:val="标题 2 Char"/>
    <w:basedOn w:val="20"/>
    <w:link w:val="3"/>
    <w:qFormat/>
    <w:uiPriority w:val="0"/>
    <w:rPr>
      <w:rFonts w:ascii="Arial" w:hAnsi="Arial" w:eastAsia="黑体" w:cs="Times New Roman"/>
      <w:b/>
      <w:bCs/>
      <w:kern w:val="0"/>
      <w:sz w:val="32"/>
      <w:szCs w:val="32"/>
    </w:rPr>
  </w:style>
  <w:style w:type="character" w:customStyle="1" w:styleId="27">
    <w:name w:val="标题 3 Char"/>
    <w:basedOn w:val="20"/>
    <w:link w:val="4"/>
    <w:qFormat/>
    <w:uiPriority w:val="0"/>
    <w:rPr>
      <w:rFonts w:ascii="宋体" w:hAnsi="宋体" w:eastAsia="宋体" w:cs="Times New Roman"/>
      <w:b/>
      <w:color w:val="000000"/>
      <w:kern w:val="0"/>
      <w:sz w:val="24"/>
      <w:szCs w:val="20"/>
      <w:lang w:val="en-GB"/>
    </w:rPr>
  </w:style>
  <w:style w:type="character" w:customStyle="1" w:styleId="28">
    <w:name w:val="标题 4 Char"/>
    <w:basedOn w:val="20"/>
    <w:link w:val="5"/>
    <w:qFormat/>
    <w:uiPriority w:val="0"/>
    <w:rPr>
      <w:rFonts w:ascii="Arial" w:hAnsi="Arial" w:eastAsia="黑体" w:cs="Times New Roman"/>
      <w:b/>
      <w:bCs/>
      <w:kern w:val="0"/>
      <w:sz w:val="28"/>
      <w:szCs w:val="28"/>
    </w:rPr>
  </w:style>
  <w:style w:type="character" w:customStyle="1" w:styleId="29">
    <w:name w:val="纯文本 Char"/>
    <w:basedOn w:val="20"/>
    <w:link w:val="13"/>
    <w:qFormat/>
    <w:uiPriority w:val="0"/>
    <w:rPr>
      <w:rFonts w:eastAsia="宋体"/>
      <w:sz w:val="24"/>
    </w:rPr>
  </w:style>
  <w:style w:type="character" w:customStyle="1" w:styleId="30">
    <w:name w:val="日期 Char"/>
    <w:basedOn w:val="20"/>
    <w:link w:val="14"/>
    <w:qFormat/>
    <w:uiPriority w:val="99"/>
  </w:style>
  <w:style w:type="character" w:customStyle="1" w:styleId="31">
    <w:name w:val="页脚 Char"/>
    <w:basedOn w:val="20"/>
    <w:link w:val="15"/>
    <w:qFormat/>
    <w:uiPriority w:val="99"/>
    <w:rPr>
      <w:sz w:val="18"/>
      <w:szCs w:val="18"/>
    </w:rPr>
  </w:style>
  <w:style w:type="character" w:customStyle="1" w:styleId="32">
    <w:name w:val="页眉 Char"/>
    <w:basedOn w:val="20"/>
    <w:link w:val="16"/>
    <w:qFormat/>
    <w:uiPriority w:val="99"/>
    <w:rPr>
      <w:sz w:val="18"/>
      <w:szCs w:val="18"/>
    </w:rPr>
  </w:style>
  <w:style w:type="character" w:customStyle="1" w:styleId="33">
    <w:name w:val="纯文本 Char1"/>
    <w:qFormat/>
    <w:uiPriority w:val="0"/>
    <w:rPr>
      <w:rFonts w:eastAsia="宋体"/>
      <w:sz w:val="24"/>
    </w:rPr>
  </w:style>
  <w:style w:type="paragraph" w:customStyle="1" w:styleId="34">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35">
    <w:name w:val="列出段落1"/>
    <w:basedOn w:val="1"/>
    <w:qFormat/>
    <w:uiPriority w:val="34"/>
    <w:pPr>
      <w:ind w:firstLine="420" w:firstLineChars="200"/>
    </w:pPr>
  </w:style>
  <w:style w:type="paragraph" w:styleId="36">
    <w:name w:val="List Paragraph"/>
    <w:basedOn w:val="1"/>
    <w:unhideWhenUsed/>
    <w:qFormat/>
    <w:uiPriority w:val="99"/>
    <w:pPr>
      <w:ind w:firstLine="420" w:firstLineChars="200"/>
    </w:pPr>
  </w:style>
  <w:style w:type="character" w:customStyle="1" w:styleId="37">
    <w:name w:val="正文文本缩进 Char Char"/>
    <w:link w:val="38"/>
    <w:qFormat/>
    <w:uiPriority w:val="0"/>
    <w:rPr>
      <w:rFonts w:ascii="宋体"/>
      <w:sz w:val="24"/>
    </w:rPr>
  </w:style>
  <w:style w:type="paragraph" w:customStyle="1" w:styleId="38">
    <w:name w:val="正文文本缩进1"/>
    <w:basedOn w:val="1"/>
    <w:link w:val="37"/>
    <w:qFormat/>
    <w:uiPriority w:val="0"/>
    <w:pPr>
      <w:spacing w:line="360" w:lineRule="auto"/>
      <w:ind w:firstLine="480" w:firstLineChars="200"/>
    </w:pPr>
    <w:rPr>
      <w:rFonts w:ascii="宋体"/>
      <w:sz w:val="24"/>
    </w:rPr>
  </w:style>
  <w:style w:type="character" w:customStyle="1" w:styleId="39">
    <w:name w:val="日期 Char Char"/>
    <w:link w:val="40"/>
    <w:qFormat/>
    <w:uiPriority w:val="0"/>
    <w:rPr>
      <w:sz w:val="24"/>
    </w:rPr>
  </w:style>
  <w:style w:type="paragraph" w:customStyle="1" w:styleId="40">
    <w:name w:val="日期1"/>
    <w:basedOn w:val="1"/>
    <w:next w:val="1"/>
    <w:link w:val="39"/>
    <w:qFormat/>
    <w:uiPriority w:val="0"/>
    <w:rPr>
      <w:sz w:val="24"/>
    </w:rPr>
  </w:style>
  <w:style w:type="paragraph" w:customStyle="1" w:styleId="41">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2">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43">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44">
    <w:name w:val="正文文本 3 Char"/>
    <w:basedOn w:val="20"/>
    <w:link w:val="10"/>
    <w:qFormat/>
    <w:uiPriority w:val="0"/>
    <w:rPr>
      <w:rFonts w:ascii="Times New Roman" w:hAnsi="Times New Roman" w:eastAsia="宋体" w:cs="Times New Roman"/>
      <w:color w:val="FF0000"/>
      <w:sz w:val="24"/>
      <w:szCs w:val="24"/>
    </w:rPr>
  </w:style>
  <w:style w:type="character" w:customStyle="1" w:styleId="45">
    <w:name w:val="edittexttarea"/>
    <w:basedOn w:val="20"/>
    <w:qFormat/>
    <w:uiPriority w:val="0"/>
  </w:style>
  <w:style w:type="paragraph" w:customStyle="1" w:styleId="46">
    <w:name w:val="样式 标题 1 + 四号 居中 段前: 12 磅 段后: 12 磅 行距: 单倍行距"/>
    <w:basedOn w:val="2"/>
    <w:qFormat/>
    <w:uiPriority w:val="0"/>
    <w:pPr>
      <w:spacing w:before="240" w:after="240" w:line="240" w:lineRule="auto"/>
      <w:ind w:left="-288"/>
      <w:jc w:val="center"/>
    </w:pPr>
    <w:rPr>
      <w:rFonts w:cs="宋体"/>
      <w:sz w:val="28"/>
      <w:szCs w:val="20"/>
    </w:rPr>
  </w:style>
  <w:style w:type="paragraph" w:customStyle="1" w:styleId="47">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48">
    <w:name w:val="正文文本 Char"/>
    <w:basedOn w:val="20"/>
    <w:link w:val="7"/>
    <w:semiHidden/>
    <w:qFormat/>
    <w:uiPriority w:val="99"/>
  </w:style>
  <w:style w:type="character" w:customStyle="1" w:styleId="49">
    <w:name w:val="正文首行缩进 Char"/>
    <w:basedOn w:val="48"/>
    <w:link w:val="6"/>
    <w:qFormat/>
    <w:uiPriority w:val="0"/>
    <w:rPr>
      <w:rFonts w:ascii="宋体" w:hAnsi="Times New Roman" w:eastAsia="宋体" w:cs="Times New Roman"/>
      <w:kern w:val="0"/>
      <w:sz w:val="34"/>
      <w:szCs w:val="20"/>
    </w:rPr>
  </w:style>
  <w:style w:type="character" w:customStyle="1" w:styleId="50">
    <w:name w:val="HTML 预设格式 Char"/>
    <w:basedOn w:val="20"/>
    <w:link w:val="18"/>
    <w:semiHidden/>
    <w:qFormat/>
    <w:uiPriority w:val="99"/>
    <w:rPr>
      <w:rFonts w:ascii="宋体" w:hAnsi="宋体" w:eastAsia="宋体" w:cs="宋体"/>
      <w:kern w:val="0"/>
      <w:sz w:val="24"/>
      <w:szCs w:val="24"/>
    </w:rPr>
  </w:style>
  <w:style w:type="character" w:customStyle="1" w:styleId="51">
    <w:name w:val="font51"/>
    <w:basedOn w:val="20"/>
    <w:qFormat/>
    <w:uiPriority w:val="0"/>
    <w:rPr>
      <w:rFonts w:hint="eastAsia" w:ascii="宋体" w:hAnsi="宋体" w:eastAsia="宋体" w:cs="宋体"/>
      <w:color w:val="333333"/>
      <w:sz w:val="24"/>
      <w:szCs w:val="24"/>
      <w:u w:val="none"/>
    </w:rPr>
  </w:style>
  <w:style w:type="character" w:customStyle="1" w:styleId="52">
    <w:name w:val="font11"/>
    <w:basedOn w:val="20"/>
    <w:qFormat/>
    <w:uiPriority w:val="0"/>
    <w:rPr>
      <w:rFonts w:hint="eastAsia" w:ascii="宋体" w:hAnsi="宋体" w:eastAsia="宋体" w:cs="宋体"/>
      <w:color w:val="000000"/>
      <w:sz w:val="24"/>
      <w:szCs w:val="24"/>
      <w:u w:val="none"/>
    </w:rPr>
  </w:style>
  <w:style w:type="character" w:customStyle="1" w:styleId="53">
    <w:name w:val="纯文本 Char2"/>
    <w:basedOn w:val="20"/>
    <w:qFormat/>
    <w:uiPriority w:val="0"/>
    <w:rPr>
      <w:rFonts w:hint="eastAsia" w:ascii="宋体" w:hAnsi="宋体" w:eastAsia="宋体" w:cs="宋体"/>
      <w:kern w:val="2"/>
      <w:sz w:val="24"/>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78</Pages>
  <Words>6438</Words>
  <Characters>36701</Characters>
  <Lines>305</Lines>
  <Paragraphs>86</Paragraphs>
  <TotalTime>0</TotalTime>
  <ScaleCrop>false</ScaleCrop>
  <LinksUpToDate>false</LinksUpToDate>
  <CharactersWithSpaces>43053</CharactersWithSpaces>
  <Application>WPS Office_10.1.0.7245_F1E327BC-269C-435d-A152-05C5408002CA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2018-05-14T01:56:00Z</dcterms:created>
  <dc:creator>许昌市公共资源交易中心:孟莉</dc:creator>
  <cp:lastModifiedBy>半个我</cp:lastModifiedBy>
  <cp:lastPrinted>2018-06-07T05:21:00Z</cp:lastPrinted>
  <dcterms:modified xsi:type="dcterms:W3CDTF">2018-06-26T09:27:34Z</dcterms:modified>
  <cp:revision>78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