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投标分项报价一览表</w:t>
      </w:r>
    </w:p>
    <w:tbl>
      <w:tblPr>
        <w:tblStyle w:val="3"/>
        <w:tblW w:w="1065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268"/>
        <w:gridCol w:w="1442"/>
        <w:gridCol w:w="3854"/>
        <w:gridCol w:w="638"/>
        <w:gridCol w:w="638"/>
        <w:gridCol w:w="796"/>
        <w:gridCol w:w="1443"/>
      </w:tblGrid>
      <w:tr>
        <w:tblPrEx>
          <w:tblLayout w:type="fixed"/>
        </w:tblPrEx>
        <w:trPr>
          <w:trHeight w:val="399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序号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名称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内容</w:t>
            </w:r>
          </w:p>
        </w:tc>
        <w:tc>
          <w:tcPr>
            <w:tcW w:w="3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材质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单位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面积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单价</w:t>
            </w:r>
          </w:p>
        </w:tc>
        <w:tc>
          <w:tcPr>
            <w:tcW w:w="1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总价</w:t>
            </w: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1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艺术造型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比例放线</w:t>
            </w:r>
          </w:p>
        </w:tc>
        <w:tc>
          <w:tcPr>
            <w:tcW w:w="38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陶泥、木材综合、棕绳、其他材料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㎡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204</w:t>
            </w:r>
          </w:p>
        </w:tc>
        <w:tc>
          <w:tcPr>
            <w:tcW w:w="79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细黑" w:hAnsi="华文细黑" w:eastAsia="华文细黑" w:cs="宋体"/>
                <w:lang w:val="en-US" w:eastAsia="zh-CN"/>
              </w:rPr>
            </w:pPr>
            <w:r>
              <w:rPr>
                <w:rFonts w:hint="eastAsia" w:ascii="华文细黑" w:hAnsi="华文细黑" w:eastAsia="华文细黑" w:cs="宋体"/>
                <w:lang w:val="en-US" w:eastAsia="zh-CN"/>
              </w:rPr>
              <w:t>1470.58824</w:t>
            </w:r>
          </w:p>
          <w:p>
            <w:pPr>
              <w:jc w:val="center"/>
              <w:rPr>
                <w:rFonts w:hint="eastAsia" w:ascii="华文细黑" w:hAnsi="华文细黑" w:eastAsia="华文细黑" w:cs="宋体"/>
                <w:lang w:val="en-US" w:eastAsia="zh-CN"/>
              </w:rPr>
            </w:pPr>
          </w:p>
          <w:p>
            <w:pPr>
              <w:jc w:val="center"/>
              <w:rPr>
                <w:rFonts w:hint="eastAsia" w:ascii="华文细黑" w:hAnsi="华文细黑" w:eastAsia="华文细黑" w:cs="宋体"/>
                <w:lang w:val="en-US" w:eastAsia="zh-CN"/>
              </w:rPr>
            </w:pPr>
          </w:p>
        </w:tc>
        <w:tc>
          <w:tcPr>
            <w:tcW w:w="144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细黑" w:hAnsi="华文细黑" w:eastAsia="华文细黑" w:cs="宋体"/>
                <w:lang w:val="en-US" w:eastAsia="zh-CN"/>
              </w:rPr>
            </w:pPr>
            <w:r>
              <w:rPr>
                <w:rFonts w:hint="eastAsia" w:ascii="华文细黑" w:hAnsi="华文细黑" w:eastAsia="华文细黑" w:cs="宋体"/>
                <w:lang w:val="en-US" w:eastAsia="zh-CN"/>
              </w:rPr>
              <w:t>300000.00</w:t>
            </w: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搭制钢木骨架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上大泥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艺术塑造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艺术刻划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保养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2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定样制模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浇制外模</w:t>
            </w:r>
          </w:p>
        </w:tc>
        <w:tc>
          <w:tcPr>
            <w:tcW w:w="38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树脂综合、木材综合、石膏、玻纤布、其他材料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㎡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204</w:t>
            </w:r>
          </w:p>
        </w:tc>
        <w:tc>
          <w:tcPr>
            <w:tcW w:w="79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细黑" w:hAnsi="华文细黑" w:eastAsia="华文细黑" w:cs="宋体"/>
                <w:lang w:val="en-US" w:eastAsia="zh-CN"/>
              </w:rPr>
            </w:pPr>
            <w:r>
              <w:rPr>
                <w:rFonts w:hint="eastAsia" w:ascii="华文细黑" w:hAnsi="华文细黑" w:eastAsia="华文细黑" w:cs="宋体"/>
                <w:lang w:val="en-US" w:eastAsia="zh-CN"/>
              </w:rPr>
              <w:t>1470.58824</w:t>
            </w:r>
          </w:p>
        </w:tc>
        <w:tc>
          <w:tcPr>
            <w:tcW w:w="144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细黑" w:hAnsi="华文细黑" w:eastAsia="华文细黑" w:cs="宋体"/>
                <w:lang w:val="en-US" w:eastAsia="zh-CN"/>
              </w:rPr>
            </w:pPr>
            <w:r>
              <w:rPr>
                <w:rFonts w:hint="eastAsia" w:ascii="华文细黑" w:hAnsi="华文细黑" w:eastAsia="华文细黑" w:cs="宋体"/>
                <w:lang w:val="en-US" w:eastAsia="zh-CN"/>
              </w:rPr>
              <w:t>300000.00</w:t>
            </w: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掏泥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拆卸钢木骨架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组合外模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浇制内模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内模整形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清运垃圾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3</w:t>
            </w:r>
          </w:p>
        </w:tc>
        <w:tc>
          <w:tcPr>
            <w:tcW w:w="126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石材浅浮雕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购料</w:t>
            </w:r>
          </w:p>
        </w:tc>
        <w:tc>
          <w:tcPr>
            <w:tcW w:w="38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福建青石材料雕刻、打磨处理等。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㎡</w:t>
            </w:r>
          </w:p>
        </w:tc>
        <w:tc>
          <w:tcPr>
            <w:tcW w:w="63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204</w:t>
            </w:r>
          </w:p>
        </w:tc>
        <w:tc>
          <w:tcPr>
            <w:tcW w:w="79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细黑" w:hAnsi="华文细黑" w:eastAsia="华文细黑" w:cs="宋体"/>
                <w:lang w:val="en-US" w:eastAsia="zh-CN"/>
              </w:rPr>
            </w:pPr>
            <w:r>
              <w:rPr>
                <w:rFonts w:hint="eastAsia" w:ascii="华文细黑" w:hAnsi="华文细黑" w:eastAsia="华文细黑" w:cs="宋体"/>
                <w:lang w:val="en-US" w:eastAsia="zh-CN"/>
              </w:rPr>
              <w:t>1960.78431</w:t>
            </w:r>
          </w:p>
        </w:tc>
        <w:tc>
          <w:tcPr>
            <w:tcW w:w="144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细黑" w:hAnsi="华文细黑" w:eastAsia="华文细黑" w:cs="宋体"/>
                <w:lang w:val="en-US" w:eastAsia="zh-CN"/>
              </w:rPr>
            </w:pPr>
            <w:r>
              <w:rPr>
                <w:rFonts w:hint="eastAsia" w:ascii="华文细黑" w:hAnsi="华文细黑" w:eastAsia="华文细黑" w:cs="宋体"/>
                <w:lang w:val="en-US" w:eastAsia="zh-CN"/>
              </w:rPr>
              <w:t>400000.00</w:t>
            </w: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放样下料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雕切大形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造型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刻画细节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表面处理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修补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保护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270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艺术家监制</w:t>
            </w:r>
          </w:p>
        </w:tc>
        <w:tc>
          <w:tcPr>
            <w:tcW w:w="38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  <w:sz w:val="18"/>
                <w:szCs w:val="18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63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79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  <w:tc>
          <w:tcPr>
            <w:tcW w:w="14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细黑" w:hAnsi="华文细黑" w:eastAsia="华文细黑" w:cs="宋体"/>
              </w:rPr>
            </w:pPr>
          </w:p>
        </w:tc>
      </w:tr>
      <w:tr>
        <w:tblPrEx>
          <w:tblLayout w:type="fixed"/>
        </w:tblPrEx>
        <w:trPr>
          <w:trHeight w:val="345" w:hRule="atLeas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华文细黑" w:hAnsi="华文细黑" w:eastAsia="华文细黑" w:cs="宋体"/>
              </w:rPr>
              <w:t>运输安装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　</w:t>
            </w:r>
          </w:p>
        </w:tc>
        <w:tc>
          <w:tcPr>
            <w:tcW w:w="3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　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㎡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宋体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</w:rPr>
              <w:t>204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细黑" w:hAnsi="华文细黑" w:eastAsia="华文细黑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  <w:lang w:val="en-US" w:eastAsia="zh-CN"/>
              </w:rPr>
              <w:t>784.313725</w:t>
            </w:r>
          </w:p>
        </w:tc>
        <w:tc>
          <w:tcPr>
            <w:tcW w:w="1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细黑" w:hAnsi="华文细黑" w:eastAsia="华文细黑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华文细黑" w:hAnsi="华文细黑" w:eastAsia="华文细黑" w:cs="宋体"/>
                <w:sz w:val="18"/>
                <w:szCs w:val="18"/>
                <w:lang w:val="en-US" w:eastAsia="zh-CN"/>
              </w:rPr>
              <w:t>160000.00</w:t>
            </w:r>
          </w:p>
        </w:tc>
      </w:tr>
      <w:tr>
        <w:tblPrEx>
          <w:tblLayout w:type="fixed"/>
        </w:tblPrEx>
        <w:trPr>
          <w:trHeight w:val="434" w:hRule="atLeast"/>
          <w:jc w:val="center"/>
        </w:trPr>
        <w:tc>
          <w:tcPr>
            <w:tcW w:w="1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华文细黑" w:hAnsi="华文细黑" w:eastAsia="华文细黑" w:cs="宋体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计</w:t>
            </w:r>
          </w:p>
        </w:tc>
        <w:tc>
          <w:tcPr>
            <w:tcW w:w="88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华文细黑" w:hAnsi="华文细黑" w:eastAsia="宋体" w:cs="宋体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大写：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壹佰壹拾陆萬圆整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  <w:szCs w:val="24"/>
              </w:rPr>
              <w:t>小写：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1160000.00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14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投标人（公章）：</w:t>
      </w:r>
      <w:r>
        <w:rPr>
          <w:rFonts w:hint="eastAsia" w:ascii="宋体" w:hAnsi="宋体"/>
          <w:sz w:val="24"/>
          <w:szCs w:val="24"/>
          <w:lang w:eastAsia="zh-CN"/>
        </w:rPr>
        <w:t>广西慧新文化传播有限公司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投标人法定代表人 （或代理人）签字： 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eastAsia="zh-CN"/>
        </w:rPr>
        <w:t>电话：0771-2086800</w:t>
      </w:r>
      <w:bookmarkStart w:id="0" w:name="_GoBack"/>
      <w:bookmarkEnd w:id="0"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NewRomanPSMT">
    <w:altName w:val="宋体"/>
    <w:panose1 w:val="00000000000000000000"/>
    <w:charset w:val="00"/>
    <w:family w:val="roman"/>
    <w:pitch w:val="default"/>
    <w:sig w:usb0="00000000" w:usb1="00000000" w:usb2="00000010" w:usb3="00000000" w:csb0="00040001" w:csb1="00000000"/>
  </w:font>
  <w:font w:name="华文细黑">
    <w:altName w:val="微软雅黑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">
    <w:altName w:val="仿宋"/>
    <w:panose1 w:val="02010609060101010101"/>
    <w:charset w:val="00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2018-07-16T11:27:04Z</dcterms:created>
  <dc:creator>郭君健的 iPhone</dc:creator>
  <cp:lastModifiedBy>郭君健的 iPhone</cp:lastModifiedBy>
  <dcterms:modified xsi:type="dcterms:W3CDTF">2018-07-16T11:43:35Z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2052-8.5.1</vt:lpwstr>
  </property>
</Properties>
</file>