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3"/>
        <w:spacing w:before="0" w:after="0" w:line="440" w:lineRule="exact"/>
        <w:ind w:left="3073" w:leftChars="1254" w:hanging="440" w:hangingChars="100"/>
        <w:jc w:val="both"/>
        <w:rPr>
          <w:rFonts w:hint="eastAsia"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t>襄城县文昌小学东城校区教学仪器及功</w:t>
      </w:r>
    </w:p>
    <w:p>
      <w:pPr>
        <w:pStyle w:val="13"/>
        <w:spacing w:before="0" w:after="0" w:line="440" w:lineRule="exact"/>
        <w:ind w:left="3072" w:leftChars="1463" w:firstLine="880" w:firstLineChars="200"/>
        <w:jc w:val="both"/>
        <w:rPr>
          <w:rFonts w:asciiTheme="majorEastAsia" w:hAnsiTheme="majorEastAsia" w:eastAsiaTheme="majorEastAsia" w:cstheme="majorEastAsia"/>
          <w:b/>
          <w:bCs/>
          <w:sz w:val="44"/>
          <w:szCs w:val="44"/>
        </w:rPr>
      </w:pPr>
      <w:r>
        <w:rPr>
          <w:rFonts w:hint="eastAsia" w:asciiTheme="minorEastAsia" w:hAnsiTheme="minorEastAsia" w:eastAsiaTheme="minorEastAsia" w:cstheme="minorEastAsia"/>
          <w:b/>
          <w:sz w:val="44"/>
          <w:szCs w:val="44"/>
        </w:rPr>
        <w:t>能室设备项目</w:t>
      </w:r>
      <w:r>
        <w:rPr>
          <w:rFonts w:hint="eastAsia" w:asciiTheme="minorEastAsia" w:hAnsiTheme="minorEastAsia" w:eastAsiaTheme="minorEastAsia" w:cstheme="minorEastAsia"/>
          <w:b/>
          <w:bCs/>
          <w:color w:val="000000"/>
          <w:sz w:val="44"/>
          <w:szCs w:val="44"/>
          <w:shd w:val="clear" w:color="auto" w:fill="FFFFFF"/>
        </w:rPr>
        <w:t>询价</w:t>
      </w:r>
      <w:r>
        <w:rPr>
          <w:rFonts w:hint="eastAsia" w:asciiTheme="minorEastAsia" w:hAnsiTheme="minorEastAsia" w:eastAsiaTheme="minorEastAsia" w:cstheme="minorEastAsia"/>
          <w:b/>
          <w:bCs/>
          <w:sz w:val="44"/>
          <w:szCs w:val="44"/>
        </w:rPr>
        <w:t>通知书</w:t>
      </w:r>
    </w:p>
    <w:p>
      <w:pPr>
        <w:pStyle w:val="13"/>
        <w:spacing w:before="0" w:after="0" w:line="440" w:lineRule="exact"/>
        <w:jc w:val="center"/>
        <w:rPr>
          <w:rFonts w:asciiTheme="majorEastAsia" w:hAnsiTheme="majorEastAsia" w:eastAsiaTheme="majorEastAsia" w:cstheme="majorEastAsia"/>
          <w:b/>
          <w:bCs/>
          <w:sz w:val="44"/>
          <w:szCs w:val="44"/>
        </w:rPr>
      </w:pPr>
    </w:p>
    <w:p>
      <w:pPr>
        <w:widowControl/>
        <w:shd w:val="clear" w:color="auto" w:fill="FFFFFF"/>
        <w:spacing w:line="432"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襄城县政府采购中心受襄城县教育技术设备管理中心的委托，</w:t>
      </w:r>
      <w:r>
        <w:rPr>
          <w:rFonts w:hint="eastAsia" w:ascii="仿宋" w:hAnsi="仿宋" w:eastAsia="仿宋" w:cs="仿宋"/>
          <w:sz w:val="30"/>
          <w:szCs w:val="30"/>
          <w:lang w:eastAsia="zh-CN"/>
        </w:rPr>
        <w:t>就</w:t>
      </w:r>
      <w:r>
        <w:rPr>
          <w:rFonts w:hint="eastAsia" w:ascii="仿宋" w:hAnsi="仿宋" w:eastAsia="仿宋" w:cs="仿宋"/>
          <w:sz w:val="30"/>
          <w:szCs w:val="30"/>
        </w:rPr>
        <w:t>“襄城县文昌小学东城校区教学仪器及功能室设备项目”进行询价采购，欢迎符合条件的供应商参加。</w:t>
      </w:r>
    </w:p>
    <w:p>
      <w:pPr>
        <w:widowControl/>
        <w:shd w:val="clear" w:color="auto" w:fill="FFFFFF"/>
        <w:spacing w:line="432" w:lineRule="auto"/>
        <w:ind w:firstLine="750" w:firstLineChars="250"/>
        <w:jc w:val="left"/>
        <w:rPr>
          <w:rFonts w:hint="eastAsia" w:ascii="仿宋" w:hAnsi="仿宋" w:eastAsia="仿宋" w:cs="仿宋"/>
          <w:b w:val="0"/>
          <w:bCs w:val="0"/>
          <w:sz w:val="30"/>
          <w:szCs w:val="30"/>
        </w:rPr>
      </w:pPr>
      <w:r>
        <w:rPr>
          <w:rFonts w:hint="eastAsia" w:ascii="仿宋" w:hAnsi="仿宋" w:eastAsia="仿宋" w:cs="仿宋"/>
          <w:b/>
          <w:bCs/>
          <w:sz w:val="30"/>
          <w:szCs w:val="30"/>
          <w:lang w:eastAsia="zh-CN"/>
        </w:rPr>
        <w:t>一、</w:t>
      </w:r>
      <w:r>
        <w:rPr>
          <w:rFonts w:hint="eastAsia" w:ascii="仿宋" w:hAnsi="仿宋" w:eastAsia="仿宋" w:cs="仿宋"/>
          <w:b/>
          <w:bCs/>
          <w:sz w:val="30"/>
          <w:szCs w:val="30"/>
        </w:rPr>
        <w:t>项目名称：</w:t>
      </w:r>
      <w:r>
        <w:rPr>
          <w:rFonts w:hint="eastAsia" w:ascii="仿宋" w:hAnsi="仿宋" w:eastAsia="仿宋" w:cs="仿宋"/>
          <w:b w:val="0"/>
          <w:bCs w:val="0"/>
          <w:sz w:val="30"/>
          <w:szCs w:val="30"/>
        </w:rPr>
        <w:t>襄城县文昌小学东城校区教学仪器及功</w:t>
      </w:r>
    </w:p>
    <w:p>
      <w:pPr>
        <w:widowControl/>
        <w:shd w:val="clear" w:color="auto" w:fill="FFFFFF"/>
        <w:spacing w:line="432" w:lineRule="auto"/>
        <w:ind w:firstLine="750" w:firstLineChars="250"/>
        <w:jc w:val="left"/>
        <w:rPr>
          <w:rFonts w:hint="eastAsia" w:ascii="仿宋" w:hAnsi="仿宋" w:eastAsia="仿宋" w:cs="仿宋"/>
          <w:b/>
          <w:bCs/>
          <w:sz w:val="30"/>
          <w:szCs w:val="30"/>
        </w:rPr>
      </w:pPr>
      <w:r>
        <w:rPr>
          <w:rFonts w:hint="eastAsia" w:ascii="仿宋" w:hAnsi="仿宋" w:eastAsia="仿宋" w:cs="仿宋"/>
          <w:b w:val="0"/>
          <w:bCs w:val="0"/>
          <w:sz w:val="30"/>
          <w:szCs w:val="30"/>
        </w:rPr>
        <w:t xml:space="preserve">能室设备项目 </w:t>
      </w:r>
      <w:r>
        <w:rPr>
          <w:rFonts w:hint="eastAsia" w:ascii="仿宋" w:hAnsi="仿宋" w:eastAsia="仿宋" w:cs="仿宋"/>
          <w:b/>
          <w:bCs/>
          <w:sz w:val="30"/>
          <w:szCs w:val="30"/>
        </w:rPr>
        <w:t xml:space="preserve">      </w:t>
      </w:r>
    </w:p>
    <w:p>
      <w:pPr>
        <w:widowControl/>
        <w:shd w:val="clear" w:color="auto" w:fill="FFFFFF"/>
        <w:spacing w:line="432" w:lineRule="auto"/>
        <w:ind w:firstLine="750" w:firstLineChars="250"/>
        <w:jc w:val="left"/>
        <w:rPr>
          <w:rFonts w:hint="eastAsia" w:ascii="仿宋" w:hAnsi="仿宋" w:eastAsia="仿宋" w:cs="仿宋"/>
          <w:b/>
          <w:bCs/>
          <w:sz w:val="30"/>
          <w:szCs w:val="30"/>
        </w:rPr>
      </w:pPr>
      <w:r>
        <w:rPr>
          <w:rFonts w:hint="eastAsia" w:ascii="仿宋" w:hAnsi="仿宋" w:eastAsia="仿宋" w:cs="仿宋"/>
          <w:b/>
          <w:bCs/>
          <w:sz w:val="30"/>
          <w:szCs w:val="30"/>
        </w:rPr>
        <w:t>二、项目编号：</w:t>
      </w:r>
      <w:r>
        <w:rPr>
          <w:rFonts w:hint="eastAsia" w:ascii="仿宋" w:hAnsi="仿宋" w:eastAsia="仿宋" w:cs="仿宋"/>
          <w:b w:val="0"/>
          <w:bCs w:val="0"/>
          <w:sz w:val="30"/>
          <w:szCs w:val="30"/>
        </w:rPr>
        <w:t>XZZ-X20180</w:t>
      </w:r>
      <w:r>
        <w:rPr>
          <w:rFonts w:hint="eastAsia" w:ascii="仿宋" w:hAnsi="仿宋" w:eastAsia="仿宋" w:cs="仿宋"/>
          <w:b w:val="0"/>
          <w:bCs w:val="0"/>
          <w:sz w:val="30"/>
          <w:szCs w:val="30"/>
          <w:lang w:val="en-US" w:eastAsia="zh-CN"/>
        </w:rPr>
        <w:t>26</w:t>
      </w:r>
      <w:r>
        <w:rPr>
          <w:rFonts w:hint="eastAsia" w:ascii="仿宋" w:hAnsi="仿宋" w:eastAsia="仿宋" w:cs="仿宋"/>
          <w:b/>
          <w:bCs/>
          <w:sz w:val="30"/>
          <w:szCs w:val="30"/>
        </w:rPr>
        <w:t xml:space="preserve"> </w:t>
      </w:r>
    </w:p>
    <w:p>
      <w:pPr>
        <w:widowControl/>
        <w:shd w:val="clear" w:color="auto" w:fill="FFFFFF"/>
        <w:spacing w:line="432" w:lineRule="auto"/>
        <w:ind w:firstLine="600" w:firstLineChars="200"/>
        <w:jc w:val="left"/>
        <w:rPr>
          <w:rFonts w:hint="eastAsia" w:ascii="仿宋" w:hAnsi="仿宋" w:eastAsia="仿宋" w:cs="仿宋"/>
          <w:sz w:val="30"/>
          <w:szCs w:val="30"/>
        </w:rPr>
      </w:pPr>
      <w:r>
        <w:rPr>
          <w:rFonts w:hint="eastAsia" w:ascii="仿宋" w:hAnsi="仿宋" w:eastAsia="仿宋" w:cs="仿宋"/>
          <w:b/>
          <w:bCs/>
          <w:sz w:val="30"/>
          <w:szCs w:val="30"/>
        </w:rPr>
        <w:t>三、供应商资格要求</w:t>
      </w:r>
      <w:r>
        <w:rPr>
          <w:rFonts w:hint="eastAsia" w:ascii="仿宋" w:hAnsi="仿宋" w:eastAsia="仿宋" w:cs="仿宋"/>
          <w:sz w:val="30"/>
          <w:szCs w:val="30"/>
        </w:rPr>
        <w:t>：</w:t>
      </w:r>
    </w:p>
    <w:p>
      <w:pPr>
        <w:widowControl/>
        <w:shd w:val="clear" w:color="auto" w:fill="FFFFFF"/>
        <w:spacing w:line="432" w:lineRule="auto"/>
        <w:ind w:firstLine="450" w:firstLineChars="150"/>
        <w:jc w:val="left"/>
        <w:rPr>
          <w:rFonts w:hint="eastAsia" w:ascii="仿宋" w:hAnsi="仿宋" w:eastAsia="仿宋" w:cs="仿宋"/>
          <w:sz w:val="30"/>
          <w:szCs w:val="30"/>
        </w:rPr>
      </w:pPr>
      <w:r>
        <w:rPr>
          <w:rFonts w:hint="eastAsia" w:ascii="仿宋" w:hAnsi="仿宋" w:eastAsia="仿宋" w:cs="仿宋"/>
          <w:sz w:val="30"/>
          <w:szCs w:val="30"/>
        </w:rPr>
        <w:t>（一）符合《中华人民共和国政府采购法》第二十二条规定；</w:t>
      </w:r>
    </w:p>
    <w:p>
      <w:pPr>
        <w:widowControl/>
        <w:shd w:val="clear" w:color="auto" w:fill="FFFFFF"/>
        <w:spacing w:line="432" w:lineRule="auto"/>
        <w:ind w:firstLine="450" w:firstLineChars="150"/>
        <w:jc w:val="left"/>
        <w:rPr>
          <w:rFonts w:hint="eastAsia" w:ascii="仿宋" w:hAnsi="仿宋" w:eastAsia="仿宋" w:cs="仿宋"/>
          <w:sz w:val="30"/>
          <w:szCs w:val="30"/>
        </w:rPr>
      </w:pPr>
      <w:r>
        <w:rPr>
          <w:rFonts w:hint="eastAsia" w:ascii="仿宋" w:hAnsi="仿宋" w:eastAsia="仿宋" w:cs="仿宋"/>
          <w:sz w:val="30"/>
          <w:szCs w:val="30"/>
        </w:rPr>
        <w:t>（二）须具备本项目经营范围和供货能力。</w:t>
      </w:r>
    </w:p>
    <w:p>
      <w:pPr>
        <w:widowControl/>
        <w:shd w:val="clear" w:color="auto" w:fill="FFFFFF"/>
        <w:spacing w:line="432" w:lineRule="auto"/>
        <w:ind w:firstLine="450" w:firstLineChars="150"/>
        <w:jc w:val="left"/>
        <w:rPr>
          <w:rFonts w:hint="eastAsia" w:ascii="仿宋" w:hAnsi="仿宋" w:eastAsia="仿宋" w:cs="仿宋"/>
          <w:sz w:val="30"/>
          <w:szCs w:val="30"/>
        </w:rPr>
      </w:pPr>
      <w:r>
        <w:rPr>
          <w:rFonts w:hint="eastAsia" w:ascii="仿宋" w:hAnsi="仿宋" w:eastAsia="仿宋" w:cs="仿宋"/>
          <w:sz w:val="30"/>
          <w:szCs w:val="30"/>
        </w:rPr>
        <w:t>（三）根据《关于在政府采购活动中查询及使用信用记录有关问题的通知》（财库[2016]125号）的规定，投标人不得被列入失信被执行人、重大税收违法案件当事人名单、政府采购严重违法失信行为记录名单。（查询网站：信用中国和中国政府采购网，并提供报名时间内网站截图为准）；</w:t>
      </w:r>
    </w:p>
    <w:p>
      <w:pPr>
        <w:widowControl/>
        <w:shd w:val="clear" w:color="auto" w:fill="FFFFFF"/>
        <w:spacing w:line="432" w:lineRule="auto"/>
        <w:ind w:firstLine="450" w:firstLineChars="150"/>
        <w:jc w:val="left"/>
        <w:rPr>
          <w:rFonts w:hint="eastAsia" w:ascii="仿宋" w:hAnsi="仿宋" w:eastAsia="仿宋" w:cs="仿宋"/>
          <w:sz w:val="30"/>
          <w:szCs w:val="30"/>
        </w:rPr>
      </w:pPr>
      <w:r>
        <w:rPr>
          <w:rFonts w:hint="eastAsia" w:ascii="仿宋" w:hAnsi="仿宋" w:eastAsia="仿宋" w:cs="仿宋"/>
          <w:sz w:val="30"/>
          <w:szCs w:val="30"/>
        </w:rPr>
        <w:t>（四）本项目不接受联合体投标。</w:t>
      </w:r>
    </w:p>
    <w:p>
      <w:pPr>
        <w:widowControl/>
        <w:shd w:val="clear" w:color="auto" w:fill="FFFFFF"/>
        <w:spacing w:line="432" w:lineRule="auto"/>
        <w:ind w:firstLine="450" w:firstLineChars="150"/>
        <w:jc w:val="left"/>
        <w:rPr>
          <w:rFonts w:hint="eastAsia" w:ascii="仿宋" w:hAnsi="仿宋" w:eastAsia="仿宋" w:cs="仿宋"/>
          <w:sz w:val="30"/>
          <w:szCs w:val="30"/>
        </w:rPr>
      </w:pPr>
      <w:r>
        <w:rPr>
          <w:rFonts w:hint="eastAsia" w:ascii="仿宋" w:hAnsi="仿宋" w:eastAsia="仿宋" w:cs="仿宋"/>
          <w:sz w:val="30"/>
          <w:szCs w:val="30"/>
        </w:rPr>
        <w:t>（五）本次招标采用资格后审。</w:t>
      </w:r>
    </w:p>
    <w:p>
      <w:pPr>
        <w:pStyle w:val="13"/>
        <w:spacing w:before="0" w:after="0" w:line="360" w:lineRule="auto"/>
        <w:jc w:val="both"/>
        <w:rPr>
          <w:rFonts w:hint="eastAsia" w:ascii="仿宋" w:hAnsi="仿宋" w:eastAsia="仿宋" w:cs="仿宋"/>
          <w:color w:val="000000"/>
          <w:sz w:val="30"/>
          <w:szCs w:val="30"/>
        </w:rPr>
      </w:pPr>
      <w:r>
        <w:rPr>
          <w:rFonts w:hint="eastAsia" w:ascii="仿宋" w:hAnsi="仿宋" w:eastAsia="仿宋" w:cs="仿宋"/>
          <w:b/>
          <w:bCs/>
          <w:sz w:val="30"/>
          <w:szCs w:val="30"/>
        </w:rPr>
        <w:t>四、询价通知书的领取与</w:t>
      </w:r>
      <w:r>
        <w:rPr>
          <w:rFonts w:hint="eastAsia" w:ascii="仿宋" w:hAnsi="仿宋" w:eastAsia="仿宋" w:cs="仿宋"/>
          <w:b/>
          <w:bCs/>
          <w:sz w:val="30"/>
          <w:szCs w:val="30"/>
          <w:lang w:eastAsia="zh-CN"/>
        </w:rPr>
        <w:t>询价表</w:t>
      </w:r>
      <w:r>
        <w:rPr>
          <w:rFonts w:hint="eastAsia" w:ascii="仿宋" w:hAnsi="仿宋" w:eastAsia="仿宋" w:cs="仿宋"/>
          <w:b/>
          <w:bCs/>
          <w:sz w:val="30"/>
          <w:szCs w:val="30"/>
        </w:rPr>
        <w:t>递交：</w:t>
      </w:r>
      <w:r>
        <w:rPr>
          <w:rFonts w:hint="eastAsia" w:ascii="仿宋" w:hAnsi="仿宋" w:eastAsia="仿宋" w:cs="仿宋"/>
          <w:sz w:val="30"/>
          <w:szCs w:val="30"/>
        </w:rPr>
        <w:br w:type="textWrapping"/>
      </w:r>
      <w:r>
        <w:rPr>
          <w:rFonts w:hint="eastAsia" w:ascii="仿宋" w:hAnsi="仿宋" w:eastAsia="仿宋" w:cs="仿宋"/>
          <w:sz w:val="30"/>
          <w:szCs w:val="30"/>
        </w:rPr>
        <w:t xml:space="preserve">     领取方式：网上下载；</w:t>
      </w:r>
    </w:p>
    <w:p>
      <w:pPr>
        <w:spacing w:line="360" w:lineRule="auto"/>
        <w:ind w:firstLine="640"/>
        <w:rPr>
          <w:rFonts w:hint="eastAsia" w:ascii="仿宋" w:hAnsi="仿宋" w:eastAsia="仿宋" w:cs="仿宋"/>
          <w:sz w:val="30"/>
          <w:szCs w:val="30"/>
        </w:rPr>
      </w:pPr>
      <w:r>
        <w:rPr>
          <w:rFonts w:hint="eastAsia" w:ascii="仿宋" w:hAnsi="仿宋" w:eastAsia="仿宋" w:cs="仿宋"/>
          <w:sz w:val="30"/>
          <w:szCs w:val="30"/>
        </w:rPr>
        <w:t>领取时间：</w:t>
      </w:r>
      <w:r>
        <w:rPr>
          <w:rFonts w:hint="eastAsia" w:ascii="仿宋" w:hAnsi="仿宋" w:eastAsia="仿宋" w:cs="仿宋"/>
          <w:color w:val="000000"/>
          <w:sz w:val="30"/>
          <w:szCs w:val="30"/>
          <w:shd w:val="clear" w:color="auto" w:fill="FFFFFF"/>
        </w:rPr>
        <w:t>自询价通知书在网上发出之日起至提交响应文件（询价表）截止时均可报名并下载询价通知书，在下载询价通知书期间，有可能会出现变更信息，请下载询价通知书的供应商自行关注，否则自行承担相应责任；</w:t>
      </w:r>
      <w:r>
        <w:rPr>
          <w:rFonts w:hint="eastAsia" w:ascii="仿宋" w:hAnsi="仿宋" w:eastAsia="仿宋" w:cs="仿宋"/>
          <w:sz w:val="30"/>
          <w:szCs w:val="30"/>
        </w:rPr>
        <w:br w:type="textWrapping"/>
      </w:r>
      <w:r>
        <w:rPr>
          <w:rFonts w:hint="eastAsia" w:ascii="仿宋" w:hAnsi="仿宋" w:eastAsia="仿宋" w:cs="仿宋"/>
          <w:sz w:val="30"/>
          <w:szCs w:val="30"/>
        </w:rPr>
        <w:t xml:space="preserve">    递交响应文件（</w:t>
      </w:r>
      <w:r>
        <w:rPr>
          <w:rFonts w:hint="eastAsia" w:ascii="仿宋" w:hAnsi="仿宋" w:eastAsia="仿宋" w:cs="仿宋"/>
          <w:color w:val="000000"/>
          <w:sz w:val="30"/>
          <w:szCs w:val="30"/>
          <w:shd w:val="clear" w:color="auto" w:fill="FFFFFF"/>
        </w:rPr>
        <w:t>询价表</w:t>
      </w:r>
      <w:r>
        <w:rPr>
          <w:rFonts w:hint="eastAsia" w:ascii="仿宋" w:hAnsi="仿宋" w:eastAsia="仿宋" w:cs="仿宋"/>
          <w:sz w:val="30"/>
          <w:szCs w:val="30"/>
        </w:rPr>
        <w:t>）：请于2018年</w:t>
      </w:r>
      <w:r>
        <w:rPr>
          <w:rFonts w:hint="eastAsia" w:ascii="仿宋" w:hAnsi="仿宋" w:eastAsia="仿宋" w:cs="仿宋"/>
          <w:sz w:val="30"/>
          <w:szCs w:val="30"/>
          <w:lang w:val="en-US" w:eastAsia="zh-CN"/>
        </w:rPr>
        <w:t>7</w:t>
      </w:r>
      <w:r>
        <w:rPr>
          <w:rFonts w:hint="eastAsia" w:ascii="仿宋" w:hAnsi="仿宋" w:eastAsia="仿宋" w:cs="仿宋"/>
          <w:sz w:val="30"/>
          <w:szCs w:val="30"/>
        </w:rPr>
        <w:t>月1</w:t>
      </w:r>
      <w:r>
        <w:rPr>
          <w:rFonts w:hint="eastAsia" w:ascii="仿宋" w:hAnsi="仿宋" w:eastAsia="仿宋" w:cs="仿宋"/>
          <w:sz w:val="30"/>
          <w:szCs w:val="30"/>
          <w:lang w:val="en-US" w:eastAsia="zh-CN"/>
        </w:rPr>
        <w:t>3</w:t>
      </w:r>
      <w:r>
        <w:rPr>
          <w:rFonts w:hint="eastAsia" w:ascii="仿宋" w:hAnsi="仿宋" w:eastAsia="仿宋" w:cs="仿宋"/>
          <w:sz w:val="30"/>
          <w:szCs w:val="30"/>
        </w:rPr>
        <w:t>日</w:t>
      </w:r>
      <w:r>
        <w:rPr>
          <w:rFonts w:hint="eastAsia" w:ascii="仿宋" w:hAnsi="仿宋" w:eastAsia="仿宋" w:cs="仿宋"/>
          <w:sz w:val="30"/>
          <w:szCs w:val="30"/>
          <w:lang w:val="en-US" w:eastAsia="zh-CN"/>
        </w:rPr>
        <w:t>10</w:t>
      </w:r>
      <w:r>
        <w:rPr>
          <w:rFonts w:hint="eastAsia" w:ascii="仿宋" w:hAnsi="仿宋" w:eastAsia="仿宋" w:cs="仿宋"/>
          <w:sz w:val="30"/>
          <w:szCs w:val="30"/>
        </w:rPr>
        <w:t>：</w:t>
      </w:r>
      <w:r>
        <w:rPr>
          <w:rFonts w:hint="eastAsia" w:ascii="仿宋" w:hAnsi="仿宋" w:eastAsia="仿宋" w:cs="仿宋"/>
          <w:sz w:val="30"/>
          <w:szCs w:val="30"/>
          <w:lang w:val="en-US" w:eastAsia="zh-CN"/>
        </w:rPr>
        <w:t>00</w:t>
      </w:r>
      <w:r>
        <w:rPr>
          <w:rFonts w:hint="eastAsia" w:ascii="仿宋" w:hAnsi="仿宋" w:eastAsia="仿宋" w:cs="仿宋"/>
          <w:sz w:val="30"/>
          <w:szCs w:val="30"/>
        </w:rPr>
        <w:t>时前递交到襄城县政府采购中心开标室（襄城县八七路东段电子商务产业园12楼1207室，迟到按自动放弃处理）；</w:t>
      </w:r>
    </w:p>
    <w:p>
      <w:pPr>
        <w:spacing w:line="360" w:lineRule="auto"/>
        <w:rPr>
          <w:rFonts w:hint="eastAsia" w:ascii="仿宋" w:hAnsi="仿宋" w:eastAsia="仿宋" w:cs="仿宋"/>
          <w:color w:val="000000"/>
          <w:sz w:val="30"/>
          <w:szCs w:val="30"/>
        </w:rPr>
      </w:pPr>
      <w:r>
        <w:rPr>
          <w:rFonts w:hint="eastAsia" w:ascii="仿宋" w:hAnsi="仿宋" w:eastAsia="仿宋" w:cs="仿宋"/>
          <w:b/>
          <w:color w:val="000000"/>
          <w:sz w:val="30"/>
          <w:szCs w:val="30"/>
        </w:rPr>
        <w:t>五、参加开标时必须提供以下证明文件原件及复印件一份（复印件须加盖公章）：</w:t>
      </w:r>
    </w:p>
    <w:p>
      <w:pPr>
        <w:spacing w:line="360" w:lineRule="auto"/>
        <w:ind w:firstLine="300" w:firstLineChars="100"/>
        <w:jc w:val="left"/>
        <w:rPr>
          <w:rFonts w:hint="eastAsia" w:ascii="仿宋" w:hAnsi="仿宋" w:eastAsia="仿宋" w:cs="仿宋"/>
          <w:sz w:val="30"/>
          <w:szCs w:val="30"/>
        </w:rPr>
      </w:pPr>
      <w:r>
        <w:rPr>
          <w:rFonts w:hint="eastAsia" w:ascii="仿宋" w:hAnsi="仿宋" w:eastAsia="仿宋" w:cs="仿宋"/>
          <w:bCs/>
          <w:color w:val="000000"/>
          <w:kern w:val="0"/>
          <w:sz w:val="30"/>
          <w:szCs w:val="30"/>
        </w:rPr>
        <w:t xml:space="preserve"> </w:t>
      </w:r>
      <w:r>
        <w:rPr>
          <w:rFonts w:hint="eastAsia" w:ascii="仿宋" w:hAnsi="仿宋" w:eastAsia="仿宋" w:cs="仿宋"/>
          <w:sz w:val="30"/>
          <w:szCs w:val="30"/>
        </w:rPr>
        <w:t>(一）法人授权</w:t>
      </w:r>
      <w:r>
        <w:rPr>
          <w:rFonts w:hint="eastAsia" w:ascii="仿宋" w:hAnsi="仿宋" w:eastAsia="仿宋" w:cs="仿宋"/>
          <w:sz w:val="30"/>
          <w:szCs w:val="30"/>
          <w:lang w:eastAsia="zh-CN"/>
        </w:rPr>
        <w:t>书</w:t>
      </w:r>
      <w:r>
        <w:rPr>
          <w:rFonts w:hint="eastAsia" w:ascii="仿宋" w:hAnsi="仿宋" w:eastAsia="仿宋" w:cs="仿宋"/>
          <w:sz w:val="30"/>
          <w:szCs w:val="30"/>
        </w:rPr>
        <w:t>（原件）及被授权人身份证</w:t>
      </w:r>
      <w:r>
        <w:rPr>
          <w:rFonts w:hint="eastAsia" w:ascii="仿宋" w:hAnsi="仿宋" w:eastAsia="仿宋" w:cs="仿宋"/>
          <w:sz w:val="30"/>
          <w:szCs w:val="30"/>
          <w:lang w:eastAsia="zh-CN"/>
        </w:rPr>
        <w:t>。</w:t>
      </w:r>
    </w:p>
    <w:p>
      <w:pPr>
        <w:spacing w:line="360" w:lineRule="auto"/>
        <w:ind w:firstLine="300" w:firstLineChars="100"/>
        <w:jc w:val="left"/>
        <w:rPr>
          <w:rFonts w:hint="eastAsia" w:ascii="仿宋" w:hAnsi="仿宋" w:eastAsia="仿宋" w:cs="仿宋"/>
          <w:sz w:val="30"/>
          <w:szCs w:val="30"/>
        </w:rPr>
      </w:pPr>
      <w:r>
        <w:rPr>
          <w:rFonts w:hint="eastAsia" w:ascii="仿宋" w:hAnsi="仿宋" w:eastAsia="仿宋" w:cs="仿宋"/>
          <w:sz w:val="30"/>
          <w:szCs w:val="30"/>
        </w:rPr>
        <w:t>（二）具有</w:t>
      </w:r>
      <w:r>
        <w:rPr>
          <w:rFonts w:hint="eastAsia" w:ascii="仿宋" w:hAnsi="仿宋" w:eastAsia="仿宋" w:cs="仿宋"/>
          <w:sz w:val="30"/>
          <w:szCs w:val="30"/>
          <w:lang w:eastAsia="zh-CN"/>
        </w:rPr>
        <w:t>本项目</w:t>
      </w:r>
      <w:r>
        <w:rPr>
          <w:rFonts w:hint="eastAsia" w:ascii="仿宋" w:hAnsi="仿宋" w:eastAsia="仿宋" w:cs="仿宋"/>
          <w:sz w:val="30"/>
          <w:szCs w:val="30"/>
        </w:rPr>
        <w:t>经营范围的企业法人营业执照、税务登记证、组织机构代码证或三证合一的营业执照。</w:t>
      </w:r>
    </w:p>
    <w:p>
      <w:pPr>
        <w:spacing w:line="360" w:lineRule="auto"/>
        <w:ind w:firstLine="300" w:firstLineChars="100"/>
        <w:jc w:val="left"/>
        <w:rPr>
          <w:rFonts w:hint="eastAsia" w:ascii="仿宋" w:hAnsi="仿宋" w:eastAsia="仿宋" w:cs="仿宋"/>
          <w:sz w:val="30"/>
          <w:szCs w:val="30"/>
        </w:rPr>
      </w:pPr>
      <w:r>
        <w:rPr>
          <w:rFonts w:hint="eastAsia" w:ascii="仿宋" w:hAnsi="仿宋" w:eastAsia="仿宋" w:cs="仿宋"/>
          <w:sz w:val="30"/>
          <w:szCs w:val="30"/>
        </w:rPr>
        <w:t xml:space="preserve">(三）询价表（须密封，密封处加盖单位公章）； </w:t>
      </w:r>
      <w:r>
        <w:rPr>
          <w:rFonts w:hint="eastAsia" w:ascii="仿宋" w:hAnsi="仿宋" w:eastAsia="仿宋" w:cs="仿宋"/>
          <w:sz w:val="30"/>
          <w:szCs w:val="30"/>
        </w:rPr>
        <w:br w:type="textWrapping"/>
      </w:r>
      <w:r>
        <w:rPr>
          <w:rFonts w:hint="eastAsia" w:ascii="仿宋" w:hAnsi="仿宋" w:eastAsia="仿宋" w:cs="仿宋"/>
          <w:sz w:val="30"/>
          <w:szCs w:val="30"/>
        </w:rPr>
        <w:t xml:space="preserve"> （四）</w:t>
      </w:r>
      <w:r>
        <w:rPr>
          <w:rFonts w:hint="eastAsia" w:ascii="仿宋" w:hAnsi="仿宋" w:eastAsia="仿宋" w:cs="仿宋"/>
          <w:sz w:val="30"/>
          <w:szCs w:val="30"/>
          <w:lang w:eastAsia="zh-CN"/>
        </w:rPr>
        <w:t>银行基本账户，投标保证金缴纳凭证；</w:t>
      </w:r>
    </w:p>
    <w:p>
      <w:pPr>
        <w:spacing w:line="360" w:lineRule="auto"/>
        <w:jc w:val="left"/>
        <w:rPr>
          <w:rFonts w:hint="eastAsia" w:ascii="仿宋" w:hAnsi="仿宋" w:eastAsia="仿宋" w:cs="仿宋"/>
          <w:b/>
          <w:bCs/>
          <w:sz w:val="30"/>
          <w:szCs w:val="30"/>
        </w:rPr>
      </w:pPr>
      <w:r>
        <w:rPr>
          <w:rFonts w:hint="eastAsia" w:ascii="仿宋" w:hAnsi="仿宋" w:eastAsia="仿宋" w:cs="仿宋"/>
          <w:b/>
          <w:bCs/>
          <w:sz w:val="30"/>
          <w:szCs w:val="30"/>
        </w:rPr>
        <w:t>六、投标保证金的提交：</w:t>
      </w:r>
    </w:p>
    <w:p>
      <w:p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6.1投标保证金为投标文件的组成部分之一。</w:t>
      </w:r>
    </w:p>
    <w:p>
      <w:p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6.2投标人向招标人提交</w:t>
      </w:r>
      <w:r>
        <w:rPr>
          <w:rFonts w:hint="eastAsia" w:ascii="仿宋" w:hAnsi="仿宋" w:eastAsia="仿宋" w:cs="仿宋"/>
          <w:sz w:val="30"/>
          <w:szCs w:val="30"/>
          <w:u w:val="single"/>
          <w:lang w:val="en-US" w:eastAsia="zh-CN"/>
        </w:rPr>
        <w:t>5000</w:t>
      </w:r>
      <w:r>
        <w:rPr>
          <w:rFonts w:hint="eastAsia" w:ascii="仿宋" w:hAnsi="仿宋" w:eastAsia="仿宋" w:cs="仿宋"/>
          <w:sz w:val="30"/>
          <w:szCs w:val="30"/>
        </w:rPr>
        <w:t xml:space="preserve">元的投标保证金。                  </w:t>
      </w:r>
    </w:p>
    <w:p>
      <w:p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6.3投标保证金用于保护本次招标人免受投标人的行为而引起的风险。</w:t>
      </w:r>
    </w:p>
    <w:p>
      <w:p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6.4 提交投标保证金</w:t>
      </w:r>
    </w:p>
    <w:p>
      <w:p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zh-CN"/>
        </w:rPr>
        <w:t>6.4.1投标保证金缴纳方式：</w:t>
      </w:r>
    </w:p>
    <w:p>
      <w:pPr>
        <w:snapToGrid w:val="0"/>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lang w:val="zh-CN"/>
        </w:rPr>
        <w:t>投标人网上报名后</w:t>
      </w:r>
      <w:r>
        <w:rPr>
          <w:rFonts w:hint="eastAsia" w:ascii="仿宋" w:hAnsi="仿宋" w:eastAsia="仿宋" w:cs="仿宋"/>
          <w:sz w:val="30"/>
          <w:szCs w:val="30"/>
        </w:rPr>
        <w:t>，</w:t>
      </w:r>
      <w:r>
        <w:rPr>
          <w:rFonts w:hint="eastAsia" w:ascii="仿宋" w:hAnsi="仿宋" w:eastAsia="仿宋" w:cs="仿宋"/>
          <w:sz w:val="30"/>
          <w:szCs w:val="30"/>
          <w:lang w:val="zh-CN"/>
        </w:rPr>
        <w:t>登录</w:t>
      </w:r>
      <w:r>
        <w:rPr>
          <w:rFonts w:hint="eastAsia" w:ascii="仿宋" w:hAnsi="仿宋" w:eastAsia="仿宋" w:cs="仿宋"/>
          <w:sz w:val="30"/>
          <w:szCs w:val="30"/>
        </w:rPr>
        <w:t>http://221.14.6.70:8088/ggzy</w:t>
      </w:r>
      <w:r>
        <w:rPr>
          <w:rFonts w:hint="eastAsia" w:ascii="仿宋" w:hAnsi="仿宋" w:eastAsia="仿宋" w:cs="仿宋"/>
          <w:sz w:val="30"/>
          <w:szCs w:val="30"/>
          <w:lang w:val="zh-CN"/>
        </w:rPr>
        <w:t>系统</w:t>
      </w:r>
      <w:r>
        <w:rPr>
          <w:rFonts w:hint="eastAsia" w:ascii="仿宋" w:hAnsi="仿宋" w:eastAsia="仿宋" w:cs="仿宋"/>
          <w:sz w:val="30"/>
          <w:szCs w:val="30"/>
        </w:rPr>
        <w:t>,</w:t>
      </w:r>
      <w:r>
        <w:rPr>
          <w:rFonts w:hint="eastAsia" w:ascii="仿宋" w:hAnsi="仿宋" w:eastAsia="仿宋" w:cs="仿宋"/>
          <w:sz w:val="30"/>
          <w:szCs w:val="30"/>
          <w:lang w:val="zh-CN"/>
        </w:rPr>
        <w:t>依次点击</w:t>
      </w:r>
      <w:r>
        <w:rPr>
          <w:rFonts w:hint="eastAsia" w:ascii="仿宋" w:hAnsi="仿宋" w:eastAsia="仿宋" w:cs="仿宋"/>
          <w:sz w:val="30"/>
          <w:szCs w:val="30"/>
        </w:rPr>
        <w:t>“</w:t>
      </w:r>
      <w:r>
        <w:rPr>
          <w:rFonts w:hint="eastAsia" w:ascii="仿宋" w:hAnsi="仿宋" w:eastAsia="仿宋" w:cs="仿宋"/>
          <w:sz w:val="30"/>
          <w:szCs w:val="30"/>
          <w:lang w:val="zh-CN"/>
        </w:rPr>
        <w:t>会员向导</w:t>
      </w:r>
      <w:r>
        <w:rPr>
          <w:rFonts w:hint="eastAsia" w:ascii="仿宋" w:hAnsi="仿宋" w:eastAsia="仿宋" w:cs="仿宋"/>
          <w:sz w:val="30"/>
          <w:szCs w:val="30"/>
        </w:rPr>
        <w:t>”→“</w:t>
      </w:r>
      <w:r>
        <w:rPr>
          <w:rFonts w:hint="eastAsia" w:ascii="仿宋" w:hAnsi="仿宋" w:eastAsia="仿宋" w:cs="仿宋"/>
          <w:sz w:val="30"/>
          <w:szCs w:val="30"/>
          <w:lang w:val="zh-CN"/>
        </w:rPr>
        <w:t>参与投标</w:t>
      </w:r>
      <w:r>
        <w:rPr>
          <w:rFonts w:hint="eastAsia" w:ascii="仿宋" w:hAnsi="仿宋" w:eastAsia="仿宋" w:cs="仿宋"/>
          <w:sz w:val="30"/>
          <w:szCs w:val="30"/>
        </w:rPr>
        <w:t>”→“</w:t>
      </w:r>
      <w:r>
        <w:rPr>
          <w:rFonts w:hint="eastAsia" w:ascii="仿宋" w:hAnsi="仿宋" w:eastAsia="仿宋" w:cs="仿宋"/>
          <w:sz w:val="30"/>
          <w:szCs w:val="30"/>
          <w:lang w:val="zh-CN"/>
        </w:rPr>
        <w:t>费用缴纳说明</w:t>
      </w:r>
      <w:r>
        <w:rPr>
          <w:rFonts w:hint="eastAsia" w:ascii="仿宋" w:hAnsi="仿宋" w:eastAsia="仿宋" w:cs="仿宋"/>
          <w:sz w:val="30"/>
          <w:szCs w:val="30"/>
        </w:rPr>
        <w:t>”→“</w:t>
      </w:r>
      <w:r>
        <w:rPr>
          <w:rFonts w:hint="eastAsia" w:ascii="仿宋" w:hAnsi="仿宋" w:eastAsia="仿宋" w:cs="仿宋"/>
          <w:sz w:val="30"/>
          <w:szCs w:val="30"/>
          <w:lang w:val="zh-CN"/>
        </w:rPr>
        <w:t>保证金缴纳说明单</w:t>
      </w:r>
      <w:r>
        <w:rPr>
          <w:rFonts w:hint="eastAsia" w:ascii="仿宋" w:hAnsi="仿宋" w:eastAsia="仿宋" w:cs="仿宋"/>
          <w:sz w:val="30"/>
          <w:szCs w:val="30"/>
        </w:rPr>
        <w:t>”，</w:t>
      </w:r>
      <w:r>
        <w:rPr>
          <w:rFonts w:hint="eastAsia" w:ascii="仿宋" w:hAnsi="仿宋" w:eastAsia="仿宋" w:cs="仿宋"/>
          <w:sz w:val="30"/>
          <w:szCs w:val="30"/>
          <w:lang w:val="zh-CN"/>
        </w:rPr>
        <w:t>获取缴费说明单</w:t>
      </w:r>
      <w:r>
        <w:rPr>
          <w:rFonts w:hint="eastAsia" w:ascii="仿宋" w:hAnsi="仿宋" w:eastAsia="仿宋" w:cs="仿宋"/>
          <w:sz w:val="30"/>
          <w:szCs w:val="30"/>
        </w:rPr>
        <w:t>，</w:t>
      </w:r>
      <w:r>
        <w:rPr>
          <w:rFonts w:hint="eastAsia" w:ascii="仿宋" w:hAnsi="仿宋" w:eastAsia="仿宋" w:cs="仿宋"/>
          <w:sz w:val="30"/>
          <w:szCs w:val="30"/>
          <w:lang w:val="zh-CN"/>
        </w:rPr>
        <w:t>根据每个标段的缴纳说明单在缴纳截止时间前缴纳</w:t>
      </w:r>
      <w:r>
        <w:rPr>
          <w:rFonts w:hint="eastAsia" w:ascii="仿宋" w:hAnsi="仿宋" w:eastAsia="仿宋" w:cs="仿宋"/>
          <w:sz w:val="30"/>
          <w:szCs w:val="30"/>
        </w:rPr>
        <w:t>；</w:t>
      </w:r>
      <w:r>
        <w:rPr>
          <w:rFonts w:hint="eastAsia" w:ascii="仿宋" w:hAnsi="仿宋" w:eastAsia="仿宋" w:cs="仿宋"/>
          <w:sz w:val="30"/>
          <w:szCs w:val="30"/>
          <w:lang w:val="zh-CN"/>
        </w:rPr>
        <w:t>成功缴纳后重新登录前述系统</w:t>
      </w:r>
      <w:r>
        <w:rPr>
          <w:rFonts w:hint="eastAsia" w:ascii="仿宋" w:hAnsi="仿宋" w:eastAsia="仿宋" w:cs="仿宋"/>
          <w:sz w:val="30"/>
          <w:szCs w:val="30"/>
        </w:rPr>
        <w:t>，</w:t>
      </w:r>
      <w:r>
        <w:rPr>
          <w:rFonts w:hint="eastAsia" w:ascii="仿宋" w:hAnsi="仿宋" w:eastAsia="仿宋" w:cs="仿宋"/>
          <w:sz w:val="30"/>
          <w:szCs w:val="30"/>
          <w:lang w:val="zh-CN"/>
        </w:rPr>
        <w:t>依次点击</w:t>
      </w:r>
      <w:r>
        <w:rPr>
          <w:rFonts w:hint="eastAsia" w:ascii="仿宋" w:hAnsi="仿宋" w:eastAsia="仿宋" w:cs="仿宋"/>
          <w:sz w:val="30"/>
          <w:szCs w:val="30"/>
        </w:rPr>
        <w:t>“</w:t>
      </w:r>
      <w:r>
        <w:rPr>
          <w:rFonts w:hint="eastAsia" w:ascii="仿宋" w:hAnsi="仿宋" w:eastAsia="仿宋" w:cs="仿宋"/>
          <w:sz w:val="30"/>
          <w:szCs w:val="30"/>
          <w:lang w:val="zh-CN"/>
        </w:rPr>
        <w:t>会员向导</w:t>
      </w:r>
      <w:r>
        <w:rPr>
          <w:rFonts w:hint="eastAsia" w:ascii="仿宋" w:hAnsi="仿宋" w:eastAsia="仿宋" w:cs="仿宋"/>
          <w:sz w:val="30"/>
          <w:szCs w:val="30"/>
        </w:rPr>
        <w:t>”→“</w:t>
      </w:r>
      <w:r>
        <w:rPr>
          <w:rFonts w:hint="eastAsia" w:ascii="仿宋" w:hAnsi="仿宋" w:eastAsia="仿宋" w:cs="仿宋"/>
          <w:sz w:val="30"/>
          <w:szCs w:val="30"/>
          <w:lang w:val="zh-CN"/>
        </w:rPr>
        <w:t>参与投标</w:t>
      </w:r>
      <w:r>
        <w:rPr>
          <w:rFonts w:hint="eastAsia" w:ascii="仿宋" w:hAnsi="仿宋" w:eastAsia="仿宋" w:cs="仿宋"/>
          <w:sz w:val="30"/>
          <w:szCs w:val="30"/>
        </w:rPr>
        <w:t>”→“</w:t>
      </w:r>
      <w:r>
        <w:rPr>
          <w:rFonts w:hint="eastAsia" w:ascii="仿宋" w:hAnsi="仿宋" w:eastAsia="仿宋" w:cs="仿宋"/>
          <w:sz w:val="30"/>
          <w:szCs w:val="30"/>
          <w:lang w:val="zh-CN"/>
        </w:rPr>
        <w:t>保证金绑定</w:t>
      </w:r>
      <w:r>
        <w:rPr>
          <w:rFonts w:hint="eastAsia" w:ascii="仿宋" w:hAnsi="仿宋" w:eastAsia="仿宋" w:cs="仿宋"/>
          <w:sz w:val="30"/>
          <w:szCs w:val="30"/>
        </w:rPr>
        <w:t>”→“</w:t>
      </w:r>
      <w:r>
        <w:rPr>
          <w:rFonts w:hint="eastAsia" w:ascii="仿宋" w:hAnsi="仿宋" w:eastAsia="仿宋" w:cs="仿宋"/>
          <w:sz w:val="30"/>
          <w:szCs w:val="30"/>
          <w:lang w:val="zh-CN"/>
        </w:rPr>
        <w:t>绑定</w:t>
      </w:r>
      <w:r>
        <w:rPr>
          <w:rFonts w:hint="eastAsia" w:ascii="仿宋" w:hAnsi="仿宋" w:eastAsia="仿宋" w:cs="仿宋"/>
          <w:sz w:val="30"/>
          <w:szCs w:val="30"/>
        </w:rPr>
        <w:t>”</w:t>
      </w:r>
      <w:r>
        <w:rPr>
          <w:rFonts w:hint="eastAsia" w:ascii="仿宋" w:hAnsi="仿宋" w:eastAsia="仿宋" w:cs="仿宋"/>
          <w:sz w:val="30"/>
          <w:szCs w:val="30"/>
          <w:lang w:val="zh-CN"/>
        </w:rPr>
        <w:t>进行投标保证金绑定。</w:t>
      </w:r>
    </w:p>
    <w:p>
      <w:pPr>
        <w:snapToGrid w:val="0"/>
        <w:spacing w:line="360" w:lineRule="auto"/>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zh-CN"/>
        </w:rPr>
        <w:t>投标人可根据提示情况决定是否重新缴纳。</w:t>
      </w:r>
    </w:p>
    <w:p>
      <w:pPr>
        <w:snapToGrid w:val="0"/>
        <w:spacing w:line="360" w:lineRule="auto"/>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zh-CN"/>
        </w:rPr>
        <w:t>保证金缴纳绑定问题咨询电话:0374-</w:t>
      </w:r>
      <w:r>
        <w:rPr>
          <w:rFonts w:hint="eastAsia" w:ascii="仿宋" w:hAnsi="仿宋" w:eastAsia="仿宋" w:cs="仿宋"/>
          <w:sz w:val="30"/>
          <w:szCs w:val="30"/>
        </w:rPr>
        <w:t>2961598</w:t>
      </w:r>
      <w:r>
        <w:rPr>
          <w:rFonts w:hint="eastAsia" w:ascii="仿宋" w:hAnsi="仿宋" w:eastAsia="仿宋" w:cs="仿宋"/>
          <w:sz w:val="30"/>
          <w:szCs w:val="30"/>
          <w:lang w:val="zh-CN"/>
        </w:rPr>
        <w:t>。</w:t>
      </w:r>
    </w:p>
    <w:p>
      <w:pPr>
        <w:snapToGrid w:val="0"/>
        <w:spacing w:line="360" w:lineRule="auto"/>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zh-CN"/>
        </w:rPr>
        <w:t>6.4.2投标人的投标保证金须从其公司注册银行账户转出并不接受现金方式缴纳，否则由投标人自行负责。</w:t>
      </w:r>
    </w:p>
    <w:p>
      <w:pPr>
        <w:snapToGrid w:val="0"/>
        <w:spacing w:line="360" w:lineRule="auto"/>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zh-CN"/>
        </w:rPr>
        <w:t>6.4.3要一次足额缴纳并成功绑定投标保证金，每个投标人每个项目每个标段只有唯一缴纳账号。</w:t>
      </w:r>
    </w:p>
    <w:p>
      <w:pPr>
        <w:snapToGrid w:val="0"/>
        <w:spacing w:line="360" w:lineRule="auto"/>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zh-CN"/>
        </w:rPr>
        <w:t>6.4.4投标人严格按照“保证金缴纳说明单”内容缴纳投标保证金，并保留缴纳凭证以备查询，汇款凭证无须备注项目编号和项目名称。</w:t>
      </w:r>
    </w:p>
    <w:p>
      <w:pPr>
        <w:snapToGrid w:val="0"/>
        <w:spacing w:line="360" w:lineRule="auto"/>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zh-CN"/>
        </w:rPr>
        <w:t>6.4.5 提交保证金截止时间与开标时间一致，并以到账时间为准（投标人应承担节假日、异地、跨行等带来的银行系统不能支付的风险）。</w:t>
      </w:r>
    </w:p>
    <w:p>
      <w:pPr>
        <w:snapToGrid w:val="0"/>
        <w:spacing w:line="360" w:lineRule="auto"/>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zh-CN"/>
        </w:rPr>
        <w:t>6.4.6投标人所提交的投标保证金仅限当次投标项目（标段）有效，不得重复替代使用。一个招标项目有多个标段或者有多个项目同时招标的，投标人必须按项目、标段分别提交投标保证金。</w:t>
      </w:r>
    </w:p>
    <w:p>
      <w:p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6.4.7中心不开具保证金收款收据。</w:t>
      </w:r>
    </w:p>
    <w:p>
      <w:pPr>
        <w:snapToGrid w:val="0"/>
        <w:spacing w:line="360" w:lineRule="auto"/>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rPr>
        <w:t>6</w:t>
      </w:r>
      <w:r>
        <w:rPr>
          <w:rFonts w:hint="eastAsia" w:ascii="仿宋" w:hAnsi="仿宋" w:eastAsia="仿宋" w:cs="仿宋"/>
          <w:sz w:val="30"/>
          <w:szCs w:val="30"/>
          <w:lang w:val="zh-CN"/>
        </w:rPr>
        <w:t>.5 退还投标保证金时，区别成交与否，按不同时序由银行按来款途径原账户。</w:t>
      </w:r>
    </w:p>
    <w:p>
      <w:pPr>
        <w:snapToGrid w:val="0"/>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lang w:val="zh-CN"/>
        </w:rPr>
        <w:t>6.5.1 未成交的供应商的投标保证金，在成交通知书发出后5个工作日内退还投标保证金及银行同期活期存款利息。</w:t>
      </w:r>
    </w:p>
    <w:p>
      <w:pPr>
        <w:spacing w:line="360" w:lineRule="auto"/>
        <w:ind w:firstLine="600" w:firstLineChars="200"/>
        <w:rPr>
          <w:rFonts w:hint="eastAsia" w:ascii="仿宋" w:hAnsi="仿宋" w:eastAsia="仿宋" w:cs="仿宋"/>
          <w:sz w:val="30"/>
          <w:szCs w:val="30"/>
          <w:lang w:val="zh-CN"/>
        </w:rPr>
      </w:pPr>
      <w:r>
        <w:rPr>
          <w:rFonts w:hint="eastAsia" w:ascii="仿宋" w:hAnsi="仿宋" w:eastAsia="仿宋" w:cs="仿宋"/>
          <w:sz w:val="30"/>
          <w:szCs w:val="30"/>
        </w:rPr>
        <w:t>6</w:t>
      </w:r>
      <w:r>
        <w:rPr>
          <w:rFonts w:hint="eastAsia" w:ascii="仿宋" w:hAnsi="仿宋" w:eastAsia="仿宋" w:cs="仿宋"/>
          <w:sz w:val="30"/>
          <w:szCs w:val="30"/>
          <w:lang w:val="zh-CN"/>
        </w:rPr>
        <w:t>.5.2成交的供应商的投标保证金，在签订合同之日起5个工作日内退还投标保证金及银行同期活期存款利息。</w:t>
      </w:r>
    </w:p>
    <w:p>
      <w:pPr>
        <w:spacing w:line="360" w:lineRule="auto"/>
        <w:ind w:firstLine="600" w:firstLineChars="200"/>
        <w:rPr>
          <w:rFonts w:hint="eastAsia" w:ascii="仿宋" w:hAnsi="仿宋" w:eastAsia="仿宋" w:cs="仿宋"/>
          <w:sz w:val="30"/>
          <w:szCs w:val="30"/>
          <w:lang w:val="zh-CN"/>
        </w:rPr>
      </w:pPr>
      <w:r>
        <w:rPr>
          <w:rFonts w:hint="eastAsia" w:ascii="仿宋" w:hAnsi="仿宋" w:eastAsia="仿宋" w:cs="仿宋"/>
          <w:sz w:val="30"/>
          <w:szCs w:val="30"/>
        </w:rPr>
        <w:t>以上事项，请投标人仔细研读，未按规定操作引起的无效投标，由投标人自行负责。</w:t>
      </w:r>
    </w:p>
    <w:p>
      <w:pPr>
        <w:spacing w:line="360" w:lineRule="auto"/>
        <w:ind w:firstLine="600" w:firstLineChars="200"/>
        <w:rPr>
          <w:rFonts w:hint="eastAsia" w:ascii="仿宋" w:hAnsi="仿宋" w:eastAsia="仿宋" w:cs="仿宋"/>
          <w:sz w:val="30"/>
          <w:szCs w:val="30"/>
          <w:lang w:val="zh-CN"/>
        </w:rPr>
      </w:pPr>
      <w:r>
        <w:rPr>
          <w:rFonts w:hint="eastAsia" w:ascii="仿宋" w:hAnsi="仿宋" w:eastAsia="仿宋" w:cs="仿宋"/>
          <w:sz w:val="30"/>
          <w:szCs w:val="30"/>
        </w:rPr>
        <w:t>6.6 特殊情况处理</w:t>
      </w:r>
    </w:p>
    <w:p>
      <w:pPr>
        <w:spacing w:line="360" w:lineRule="auto"/>
        <w:ind w:firstLine="600" w:firstLineChars="200"/>
        <w:rPr>
          <w:rFonts w:hint="eastAsia" w:ascii="仿宋" w:hAnsi="仿宋" w:eastAsia="仿宋" w:cs="仿宋"/>
          <w:sz w:val="30"/>
          <w:szCs w:val="30"/>
          <w:lang w:val="zh-CN"/>
        </w:rPr>
      </w:pPr>
      <w:r>
        <w:rPr>
          <w:rFonts w:hint="eastAsia" w:ascii="仿宋" w:hAnsi="仿宋" w:eastAsia="仿宋" w:cs="仿宋"/>
          <w:sz w:val="30"/>
          <w:szCs w:val="30"/>
        </w:rPr>
        <w:t>6.6.1</w:t>
      </w:r>
      <w:r>
        <w:rPr>
          <w:rFonts w:hint="eastAsia" w:ascii="仿宋" w:hAnsi="仿宋" w:eastAsia="仿宋" w:cs="仿宋"/>
          <w:sz w:val="30"/>
          <w:szCs w:val="30"/>
          <w:lang w:val="zh-CN"/>
        </w:rPr>
        <w:t>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pPr>
        <w:spacing w:line="360" w:lineRule="auto"/>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zh-CN"/>
        </w:rPr>
        <w:t>6.6.2因供应商自身原因无法及时退还投标保证金、滞留三年以上的，投标保证金上缴财政。</w:t>
      </w:r>
    </w:p>
    <w:p>
      <w:pPr>
        <w:spacing w:line="360" w:lineRule="auto"/>
        <w:jc w:val="left"/>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b/>
          <w:bCs/>
          <w:sz w:val="30"/>
          <w:szCs w:val="30"/>
        </w:rPr>
        <w:t>六、其他事宜：</w:t>
      </w:r>
    </w:p>
    <w:p>
      <w:pPr>
        <w:spacing w:line="360" w:lineRule="auto"/>
        <w:ind w:firstLine="300" w:firstLineChars="100"/>
        <w:jc w:val="left"/>
        <w:rPr>
          <w:rFonts w:hint="eastAsia" w:ascii="仿宋" w:hAnsi="仿宋" w:eastAsia="仿宋" w:cs="仿宋"/>
          <w:sz w:val="30"/>
          <w:szCs w:val="30"/>
        </w:rPr>
      </w:pPr>
      <w:r>
        <w:rPr>
          <w:rFonts w:hint="eastAsia" w:ascii="仿宋" w:hAnsi="仿宋" w:eastAsia="仿宋" w:cs="仿宋"/>
          <w:sz w:val="30"/>
          <w:szCs w:val="30"/>
        </w:rPr>
        <w:t>开标时间：2018年</w:t>
      </w:r>
      <w:r>
        <w:rPr>
          <w:rFonts w:hint="eastAsia" w:ascii="仿宋" w:hAnsi="仿宋" w:eastAsia="仿宋" w:cs="仿宋"/>
          <w:sz w:val="30"/>
          <w:szCs w:val="30"/>
          <w:lang w:val="en-US" w:eastAsia="zh-CN"/>
        </w:rPr>
        <w:t>7</w:t>
      </w:r>
      <w:r>
        <w:rPr>
          <w:rFonts w:hint="eastAsia" w:ascii="仿宋" w:hAnsi="仿宋" w:eastAsia="仿宋" w:cs="仿宋"/>
          <w:sz w:val="30"/>
          <w:szCs w:val="30"/>
        </w:rPr>
        <w:t>月</w:t>
      </w:r>
      <w:r>
        <w:rPr>
          <w:rFonts w:hint="eastAsia" w:ascii="仿宋" w:hAnsi="仿宋" w:eastAsia="仿宋" w:cs="仿宋"/>
          <w:sz w:val="30"/>
          <w:szCs w:val="30"/>
          <w:lang w:val="en-US" w:eastAsia="zh-CN"/>
        </w:rPr>
        <w:t>13</w:t>
      </w:r>
      <w:r>
        <w:rPr>
          <w:rFonts w:hint="eastAsia" w:ascii="仿宋" w:hAnsi="仿宋" w:eastAsia="仿宋" w:cs="仿宋"/>
          <w:sz w:val="30"/>
          <w:szCs w:val="30"/>
        </w:rPr>
        <w:t>日</w:t>
      </w:r>
      <w:r>
        <w:rPr>
          <w:rFonts w:hint="eastAsia" w:ascii="仿宋" w:hAnsi="仿宋" w:eastAsia="仿宋" w:cs="仿宋"/>
          <w:sz w:val="30"/>
          <w:szCs w:val="30"/>
          <w:lang w:val="en-US" w:eastAsia="zh-CN"/>
        </w:rPr>
        <w:t>10</w:t>
      </w:r>
      <w:r>
        <w:rPr>
          <w:rFonts w:hint="eastAsia" w:ascii="仿宋" w:hAnsi="仿宋" w:eastAsia="仿宋" w:cs="仿宋"/>
          <w:sz w:val="30"/>
          <w:szCs w:val="30"/>
        </w:rPr>
        <w:t>：</w:t>
      </w:r>
      <w:r>
        <w:rPr>
          <w:rFonts w:hint="eastAsia" w:ascii="仿宋" w:hAnsi="仿宋" w:eastAsia="仿宋" w:cs="仿宋"/>
          <w:sz w:val="30"/>
          <w:szCs w:val="30"/>
          <w:lang w:val="en-US" w:eastAsia="zh-CN"/>
        </w:rPr>
        <w:t>0</w:t>
      </w:r>
      <w:r>
        <w:rPr>
          <w:rFonts w:hint="eastAsia" w:ascii="仿宋" w:hAnsi="仿宋" w:eastAsia="仿宋" w:cs="仿宋"/>
          <w:sz w:val="30"/>
          <w:szCs w:val="30"/>
        </w:rPr>
        <w:t>0（迟到按自动放弃处理）；</w:t>
      </w:r>
    </w:p>
    <w:p>
      <w:pPr>
        <w:spacing w:line="360" w:lineRule="auto"/>
        <w:ind w:left="298" w:leftChars="142" w:firstLine="0" w:firstLineChars="0"/>
        <w:jc w:val="left"/>
        <w:rPr>
          <w:rFonts w:hint="eastAsia" w:ascii="仿宋" w:hAnsi="仿宋" w:eastAsia="仿宋" w:cs="仿宋"/>
          <w:b w:val="0"/>
          <w:bCs/>
          <w:color w:val="000000"/>
          <w:sz w:val="30"/>
          <w:szCs w:val="30"/>
        </w:rPr>
      </w:pPr>
      <w:r>
        <w:rPr>
          <w:rFonts w:hint="eastAsia" w:ascii="仿宋" w:hAnsi="仿宋" w:eastAsia="仿宋" w:cs="仿宋"/>
          <w:sz w:val="30"/>
          <w:szCs w:val="30"/>
        </w:rPr>
        <w:t>开标地点：襄城县八七路东段电子商务产业园12楼1207室；</w:t>
      </w:r>
      <w:r>
        <w:rPr>
          <w:rFonts w:hint="eastAsia" w:ascii="仿宋" w:hAnsi="仿宋" w:eastAsia="仿宋" w:cs="仿宋"/>
          <w:b w:val="0"/>
          <w:bCs/>
          <w:color w:val="000000"/>
          <w:sz w:val="30"/>
          <w:szCs w:val="30"/>
        </w:rPr>
        <w:t xml:space="preserve">  </w:t>
      </w:r>
    </w:p>
    <w:p>
      <w:pPr>
        <w:spacing w:line="360" w:lineRule="auto"/>
        <w:ind w:left="298" w:leftChars="142" w:firstLine="0" w:firstLineChars="0"/>
        <w:jc w:val="left"/>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 xml:space="preserve"> </w:t>
      </w:r>
      <w:r>
        <w:rPr>
          <w:rFonts w:hint="eastAsia" w:ascii="仿宋" w:hAnsi="仿宋" w:eastAsia="仿宋" w:cs="仿宋"/>
          <w:b w:val="0"/>
          <w:bCs/>
          <w:color w:val="000000"/>
          <w:sz w:val="30"/>
          <w:szCs w:val="30"/>
          <w:lang w:val="en-US" w:eastAsia="zh-CN"/>
        </w:rPr>
        <w:t>1、</w:t>
      </w:r>
      <w:r>
        <w:rPr>
          <w:rFonts w:hint="eastAsia" w:ascii="仿宋" w:hAnsi="仿宋" w:eastAsia="仿宋" w:cs="仿宋"/>
          <w:b w:val="0"/>
          <w:bCs/>
          <w:color w:val="000000"/>
          <w:sz w:val="30"/>
          <w:szCs w:val="30"/>
        </w:rPr>
        <w:t>询价表需加盖公司公章，并有法人或委托代理人的签名，无公章、签名</w:t>
      </w:r>
      <w:r>
        <w:rPr>
          <w:rFonts w:hint="eastAsia" w:ascii="仿宋" w:hAnsi="仿宋" w:eastAsia="仿宋" w:cs="仿宋"/>
          <w:b w:val="0"/>
          <w:bCs/>
          <w:color w:val="000000"/>
          <w:sz w:val="30"/>
          <w:szCs w:val="30"/>
          <w:lang w:eastAsia="zh-CN"/>
        </w:rPr>
        <w:t>、有涂改</w:t>
      </w:r>
      <w:r>
        <w:rPr>
          <w:rFonts w:hint="eastAsia" w:ascii="仿宋" w:hAnsi="仿宋" w:eastAsia="仿宋" w:cs="仿宋"/>
          <w:b w:val="0"/>
          <w:bCs/>
          <w:color w:val="000000"/>
          <w:sz w:val="30"/>
          <w:szCs w:val="30"/>
        </w:rPr>
        <w:t>的列为无效标；</w:t>
      </w:r>
    </w:p>
    <w:p>
      <w:pPr>
        <w:spacing w:line="360" w:lineRule="auto"/>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 xml:space="preserve">   2、</w:t>
      </w:r>
      <w:r>
        <w:rPr>
          <w:rFonts w:hint="eastAsia" w:ascii="仿宋" w:hAnsi="仿宋" w:eastAsia="仿宋" w:cs="仿宋"/>
          <w:b w:val="0"/>
          <w:bCs/>
          <w:color w:val="000000"/>
          <w:sz w:val="30"/>
          <w:szCs w:val="30"/>
          <w:lang w:eastAsia="zh-CN"/>
        </w:rPr>
        <w:t>预算上限：</w:t>
      </w:r>
      <w:r>
        <w:rPr>
          <w:rFonts w:hint="eastAsia" w:ascii="仿宋" w:hAnsi="仿宋" w:eastAsia="仿宋" w:cs="仿宋"/>
          <w:b w:val="0"/>
          <w:bCs/>
          <w:color w:val="000000"/>
          <w:sz w:val="30"/>
          <w:szCs w:val="30"/>
          <w:lang w:val="en-US" w:eastAsia="zh-CN"/>
        </w:rPr>
        <w:t>316560.00</w:t>
      </w:r>
      <w:r>
        <w:rPr>
          <w:rFonts w:hint="eastAsia" w:ascii="仿宋" w:hAnsi="仿宋" w:eastAsia="仿宋" w:cs="仿宋"/>
          <w:b w:val="0"/>
          <w:bCs/>
          <w:color w:val="000000"/>
          <w:sz w:val="30"/>
          <w:szCs w:val="30"/>
        </w:rPr>
        <w:t>元，超出者无效投标；</w:t>
      </w:r>
    </w:p>
    <w:p>
      <w:pPr>
        <w:spacing w:line="360" w:lineRule="auto"/>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 xml:space="preserve">   3、询价采购根据质量和服务均能满足实质性采购要求,且报价最低的原则,确定成交候选人；</w:t>
      </w:r>
    </w:p>
    <w:p>
      <w:pPr>
        <w:spacing w:line="360" w:lineRule="auto"/>
        <w:rPr>
          <w:rFonts w:hint="eastAsia" w:ascii="仿宋" w:hAnsi="仿宋" w:eastAsia="仿宋" w:cs="仿宋"/>
          <w:b w:val="0"/>
          <w:bCs/>
          <w:color w:val="000000" w:themeColor="text1"/>
          <w:sz w:val="30"/>
          <w:szCs w:val="30"/>
        </w:rPr>
      </w:pPr>
      <w:r>
        <w:rPr>
          <w:rFonts w:hint="eastAsia" w:ascii="仿宋" w:hAnsi="仿宋" w:eastAsia="仿宋" w:cs="仿宋"/>
          <w:b w:val="0"/>
          <w:bCs/>
          <w:color w:val="000000"/>
          <w:sz w:val="30"/>
          <w:szCs w:val="30"/>
        </w:rPr>
        <w:t xml:space="preserve">   </w:t>
      </w:r>
      <w:r>
        <w:rPr>
          <w:rFonts w:hint="eastAsia" w:ascii="仿宋" w:hAnsi="仿宋" w:eastAsia="仿宋" w:cs="仿宋"/>
          <w:b w:val="0"/>
          <w:bCs/>
          <w:color w:val="000000" w:themeColor="text1"/>
          <w:sz w:val="30"/>
          <w:szCs w:val="30"/>
          <w:lang w:val="en-US" w:eastAsia="zh-CN"/>
        </w:rPr>
        <w:t>4</w:t>
      </w:r>
      <w:r>
        <w:rPr>
          <w:rFonts w:hint="eastAsia" w:ascii="仿宋" w:hAnsi="仿宋" w:eastAsia="仿宋" w:cs="仿宋"/>
          <w:b w:val="0"/>
          <w:bCs/>
          <w:color w:val="000000" w:themeColor="text1"/>
          <w:sz w:val="30"/>
          <w:szCs w:val="30"/>
        </w:rPr>
        <w:t>、供货期</w:t>
      </w:r>
      <w:r>
        <w:rPr>
          <w:rFonts w:hint="eastAsia" w:ascii="仿宋" w:hAnsi="仿宋" w:eastAsia="仿宋" w:cs="仿宋"/>
          <w:b w:val="0"/>
          <w:bCs/>
          <w:color w:val="000000" w:themeColor="text1"/>
          <w:sz w:val="30"/>
          <w:szCs w:val="30"/>
          <w:lang w:eastAsia="zh-CN"/>
        </w:rPr>
        <w:t>：</w:t>
      </w:r>
      <w:r>
        <w:rPr>
          <w:rFonts w:hint="eastAsia" w:ascii="仿宋" w:hAnsi="仿宋" w:eastAsia="仿宋" w:cs="仿宋"/>
          <w:b w:val="0"/>
          <w:bCs/>
          <w:color w:val="000000" w:themeColor="text1"/>
          <w:sz w:val="30"/>
          <w:szCs w:val="30"/>
          <w:lang w:val="en-US" w:eastAsia="zh-CN"/>
        </w:rPr>
        <w:t>20天,</w:t>
      </w:r>
      <w:r>
        <w:rPr>
          <w:rFonts w:hint="eastAsia" w:ascii="仿宋" w:hAnsi="仿宋" w:eastAsia="仿宋" w:cs="仿宋"/>
          <w:b w:val="0"/>
          <w:bCs/>
          <w:color w:val="000000" w:themeColor="text1"/>
          <w:sz w:val="30"/>
          <w:szCs w:val="30"/>
        </w:rPr>
        <w:t xml:space="preserve">供货地点：襄城县文昌小学东校区。 </w:t>
      </w:r>
    </w:p>
    <w:p>
      <w:pPr>
        <w:spacing w:line="360" w:lineRule="auto"/>
        <w:rPr>
          <w:rFonts w:hint="eastAsia" w:ascii="仿宋" w:hAnsi="仿宋" w:eastAsia="仿宋" w:cs="仿宋"/>
          <w:b w:val="0"/>
          <w:bCs/>
          <w:color w:val="000000" w:themeColor="text1"/>
          <w:sz w:val="30"/>
          <w:szCs w:val="30"/>
          <w:shd w:val="clear" w:color="auto" w:fill="FFFFFF"/>
          <w:lang w:eastAsia="zh-CN"/>
        </w:rPr>
      </w:pPr>
      <w:r>
        <w:rPr>
          <w:rFonts w:hint="eastAsia" w:ascii="仿宋" w:hAnsi="仿宋" w:eastAsia="仿宋" w:cs="仿宋"/>
          <w:b w:val="0"/>
          <w:bCs/>
          <w:color w:val="000000" w:themeColor="text1"/>
          <w:sz w:val="30"/>
          <w:szCs w:val="30"/>
        </w:rPr>
        <w:t xml:space="preserve">   </w:t>
      </w:r>
      <w:r>
        <w:rPr>
          <w:rFonts w:hint="eastAsia" w:ascii="仿宋" w:hAnsi="仿宋" w:eastAsia="仿宋" w:cs="仿宋"/>
          <w:b w:val="0"/>
          <w:bCs/>
          <w:color w:val="000000" w:themeColor="text1"/>
          <w:sz w:val="30"/>
          <w:szCs w:val="30"/>
          <w:lang w:val="en-US" w:eastAsia="zh-CN"/>
        </w:rPr>
        <w:t>5</w:t>
      </w:r>
      <w:r>
        <w:rPr>
          <w:rFonts w:hint="eastAsia" w:ascii="仿宋" w:hAnsi="仿宋" w:eastAsia="仿宋" w:cs="仿宋"/>
          <w:b w:val="0"/>
          <w:bCs/>
          <w:color w:val="000000" w:themeColor="text1"/>
          <w:sz w:val="30"/>
          <w:szCs w:val="30"/>
        </w:rPr>
        <w:t>、</w:t>
      </w:r>
      <w:r>
        <w:rPr>
          <w:rFonts w:hint="eastAsia" w:ascii="仿宋" w:hAnsi="仿宋" w:eastAsia="仿宋" w:cs="仿宋"/>
          <w:b w:val="0"/>
          <w:bCs/>
          <w:color w:val="000000" w:themeColor="text1"/>
          <w:sz w:val="30"/>
          <w:szCs w:val="30"/>
          <w:shd w:val="clear" w:color="auto" w:fill="FFFFFF"/>
        </w:rPr>
        <w:t>付款方式：</w:t>
      </w:r>
      <w:r>
        <w:rPr>
          <w:rFonts w:hint="eastAsia" w:ascii="仿宋" w:hAnsi="仿宋" w:eastAsia="仿宋" w:cs="仿宋"/>
          <w:b w:val="0"/>
          <w:bCs/>
          <w:color w:val="000000" w:themeColor="text1"/>
          <w:sz w:val="30"/>
          <w:szCs w:val="30"/>
          <w:shd w:val="clear" w:color="auto" w:fill="FFFFFF"/>
          <w:lang w:eastAsia="zh-CN"/>
        </w:rPr>
        <w:t>付款方式（不响应者为无效投标）：经验收合格付合同总价款97%，剩余3%满一年后无质量问题一次付清。</w:t>
      </w:r>
    </w:p>
    <w:p>
      <w:pPr>
        <w:numPr>
          <w:ilvl w:val="0"/>
          <w:numId w:val="1"/>
        </w:numPr>
        <w:spacing w:line="360" w:lineRule="auto"/>
        <w:ind w:firstLine="600" w:firstLineChars="200"/>
        <w:rPr>
          <w:rFonts w:hint="eastAsia" w:ascii="仿宋" w:hAnsi="仿宋" w:eastAsia="仿宋" w:cs="仿宋"/>
          <w:b w:val="0"/>
          <w:bCs/>
          <w:color w:val="000000" w:themeColor="text1"/>
          <w:sz w:val="30"/>
          <w:szCs w:val="30"/>
          <w:shd w:val="clear" w:color="auto" w:fill="FFFFFF"/>
          <w:lang w:val="en-US" w:eastAsia="zh-CN"/>
        </w:rPr>
      </w:pPr>
      <w:r>
        <w:rPr>
          <w:rFonts w:hint="eastAsia" w:ascii="仿宋" w:hAnsi="仿宋" w:eastAsia="仿宋" w:cs="仿宋"/>
          <w:b w:val="0"/>
          <w:bCs/>
          <w:color w:val="000000" w:themeColor="text1"/>
          <w:sz w:val="30"/>
          <w:szCs w:val="30"/>
          <w:shd w:val="clear" w:color="auto" w:fill="FFFFFF"/>
          <w:lang w:val="en-US" w:eastAsia="zh-CN"/>
        </w:rPr>
        <w:t>投标报价：一次性报价。报价包含：货物、运费、安装、装卸、税费、与其它施工单位协作所产生的费用等等完成本项目一切费用。投标人在报价时应充分考虑项目学校地域分布等方面存在的差异，中标人应全部送到指定地点并按要求安装到位。</w:t>
      </w:r>
    </w:p>
    <w:p>
      <w:pPr>
        <w:numPr>
          <w:ilvl w:val="0"/>
          <w:numId w:val="1"/>
        </w:numPr>
        <w:spacing w:line="360" w:lineRule="auto"/>
        <w:ind w:firstLine="600" w:firstLineChars="200"/>
        <w:rPr>
          <w:rFonts w:hint="eastAsia" w:ascii="仿宋" w:hAnsi="仿宋" w:eastAsia="仿宋" w:cs="仿宋"/>
          <w:b w:val="0"/>
          <w:bCs/>
          <w:color w:val="000000" w:themeColor="text1"/>
          <w:sz w:val="30"/>
          <w:szCs w:val="30"/>
          <w:shd w:val="clear" w:color="auto" w:fill="FFFFFF"/>
          <w:lang w:val="en-US" w:eastAsia="zh-CN"/>
        </w:rPr>
      </w:pPr>
      <w:r>
        <w:rPr>
          <w:rFonts w:hint="eastAsia" w:ascii="仿宋" w:hAnsi="仿宋" w:eastAsia="仿宋" w:cs="仿宋"/>
          <w:b w:val="0"/>
          <w:bCs/>
          <w:color w:val="000000" w:themeColor="text1"/>
          <w:sz w:val="30"/>
          <w:szCs w:val="30"/>
          <w:shd w:val="clear" w:color="auto" w:fill="FFFFFF"/>
          <w:lang w:val="en-US" w:eastAsia="zh-CN"/>
        </w:rPr>
        <w:t>验收标准：由采购人成立验收小组，按照采购合同的约定对每一项技术、服务、安全标准的履约情况进行确认，出具验收报告。采购单位将中标人所供货物交由第三方进行质量检测验收，质量检测验收费用由中标人负责，但最高不超过投标总价的2%，投标报价中须包含该费用；</w:t>
      </w:r>
    </w:p>
    <w:p>
      <w:pPr>
        <w:numPr>
          <w:ilvl w:val="0"/>
          <w:numId w:val="1"/>
        </w:numPr>
        <w:spacing w:line="360" w:lineRule="auto"/>
        <w:ind w:firstLine="600" w:firstLineChars="200"/>
        <w:rPr>
          <w:rFonts w:hint="eastAsia" w:ascii="仿宋" w:hAnsi="仿宋" w:eastAsia="仿宋" w:cs="仿宋"/>
          <w:b w:val="0"/>
          <w:bCs/>
          <w:color w:val="000000" w:themeColor="text1"/>
          <w:sz w:val="30"/>
          <w:szCs w:val="30"/>
          <w:shd w:val="clear" w:color="auto" w:fill="FFFFFF"/>
          <w:lang w:val="en-US" w:eastAsia="zh-CN"/>
        </w:rPr>
      </w:pPr>
      <w:r>
        <w:rPr>
          <w:rFonts w:hint="eastAsia" w:ascii="仿宋" w:hAnsi="仿宋" w:eastAsia="仿宋" w:cs="仿宋"/>
          <w:b w:val="0"/>
          <w:bCs/>
          <w:color w:val="000000" w:themeColor="text1"/>
          <w:sz w:val="30"/>
          <w:szCs w:val="30"/>
          <w:shd w:val="clear" w:color="auto" w:fill="FFFFFF"/>
          <w:lang w:val="en-US" w:eastAsia="zh-CN"/>
        </w:rPr>
        <w:t>提供2015年以来类似业绩合同2份，且合同价在50万元以上，附证明文件（合同、中标通知书、验收报告原件，且在投标文件中有相对应的复印件）；</w:t>
      </w:r>
    </w:p>
    <w:p>
      <w:pPr>
        <w:numPr>
          <w:ilvl w:val="0"/>
          <w:numId w:val="1"/>
        </w:numPr>
        <w:spacing w:line="360" w:lineRule="auto"/>
        <w:ind w:firstLine="600" w:firstLineChars="200"/>
        <w:rPr>
          <w:rFonts w:hint="eastAsia" w:ascii="仿宋" w:hAnsi="仿宋" w:eastAsia="仿宋" w:cs="仿宋"/>
          <w:b w:val="0"/>
          <w:bCs/>
          <w:color w:val="000000" w:themeColor="text1"/>
          <w:sz w:val="30"/>
          <w:szCs w:val="30"/>
          <w:shd w:val="clear" w:color="auto" w:fill="FFFFFF"/>
          <w:lang w:val="en-US" w:eastAsia="zh-CN"/>
        </w:rPr>
      </w:pPr>
      <w:r>
        <w:rPr>
          <w:rFonts w:hint="eastAsia" w:ascii="仿宋" w:hAnsi="仿宋" w:eastAsia="仿宋" w:cs="仿宋"/>
          <w:b w:val="0"/>
          <w:bCs/>
          <w:color w:val="000000" w:themeColor="text1"/>
          <w:sz w:val="30"/>
          <w:szCs w:val="30"/>
          <w:shd w:val="clear" w:color="auto" w:fill="FFFFFF"/>
          <w:lang w:val="en-US" w:eastAsia="zh-CN"/>
        </w:rPr>
        <w:t>投标人须明确免费保修期，同时提出故障响应时间。须明确维修点地址、负责人、联系人和联系电话，维修点具备什么样的维修能力等详细资料。</w:t>
      </w:r>
    </w:p>
    <w:p>
      <w:pPr>
        <w:numPr>
          <w:ilvl w:val="0"/>
          <w:numId w:val="1"/>
        </w:numPr>
        <w:spacing w:line="360" w:lineRule="auto"/>
        <w:ind w:firstLine="600" w:firstLineChars="200"/>
        <w:rPr>
          <w:rFonts w:hint="eastAsia" w:ascii="仿宋" w:hAnsi="仿宋" w:eastAsia="仿宋" w:cs="仿宋"/>
          <w:b w:val="0"/>
          <w:bCs/>
          <w:color w:val="000000" w:themeColor="text1"/>
          <w:sz w:val="30"/>
          <w:szCs w:val="30"/>
          <w:shd w:val="clear" w:color="auto" w:fill="FFFFFF"/>
          <w:lang w:val="en-US" w:eastAsia="zh-CN"/>
        </w:rPr>
      </w:pPr>
      <w:r>
        <w:rPr>
          <w:rFonts w:hint="eastAsia" w:ascii="仿宋" w:hAnsi="仿宋" w:eastAsia="仿宋" w:cs="仿宋"/>
          <w:b w:val="0"/>
          <w:bCs/>
          <w:color w:val="000000" w:themeColor="text1"/>
          <w:sz w:val="30"/>
          <w:szCs w:val="30"/>
          <w:shd w:val="clear" w:color="auto" w:fill="FFFFFF"/>
          <w:lang w:val="en-US" w:eastAsia="zh-CN"/>
        </w:rPr>
        <w:t>投标人须明确投标产品的厂家、产地、规格型号或技术参数，否则为无效投标；</w:t>
      </w:r>
    </w:p>
    <w:p>
      <w:pPr>
        <w:numPr>
          <w:ilvl w:val="0"/>
          <w:numId w:val="1"/>
        </w:numPr>
        <w:spacing w:line="360" w:lineRule="auto"/>
        <w:ind w:firstLine="600" w:firstLineChars="200"/>
        <w:rPr>
          <w:rFonts w:hint="eastAsia" w:ascii="仿宋" w:hAnsi="仿宋" w:eastAsia="仿宋" w:cs="仿宋"/>
          <w:b w:val="0"/>
          <w:bCs/>
          <w:color w:val="000000" w:themeColor="text1"/>
          <w:sz w:val="30"/>
          <w:szCs w:val="30"/>
          <w:shd w:val="clear" w:color="auto" w:fill="FFFFFF"/>
          <w:lang w:val="en-US" w:eastAsia="zh-CN"/>
        </w:rPr>
      </w:pPr>
      <w:r>
        <w:rPr>
          <w:rFonts w:hint="eastAsia" w:ascii="仿宋" w:hAnsi="仿宋" w:eastAsia="仿宋" w:cs="仿宋"/>
          <w:b w:val="0"/>
          <w:bCs/>
          <w:color w:val="000000" w:themeColor="text1"/>
          <w:sz w:val="30"/>
          <w:szCs w:val="30"/>
          <w:shd w:val="clear" w:color="auto" w:fill="FFFFFF"/>
          <w:lang w:val="en-US" w:eastAsia="zh-CN"/>
        </w:rPr>
        <w:t>项目需求中所列产品参数为最低标准，投标文件不得复制项目需求中的技术参数，否则为无效投标；</w:t>
      </w:r>
    </w:p>
    <w:p>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 xml:space="preserve"> 七</w:t>
      </w:r>
      <w:r>
        <w:rPr>
          <w:rFonts w:hint="eastAsia" w:ascii="仿宋" w:hAnsi="仿宋" w:eastAsia="仿宋" w:cs="仿宋"/>
          <w:b/>
          <w:bCs/>
          <w:color w:val="000000"/>
          <w:sz w:val="30"/>
          <w:szCs w:val="30"/>
        </w:rPr>
        <w:t>、联系</w:t>
      </w:r>
      <w:r>
        <w:rPr>
          <w:rFonts w:hint="eastAsia" w:ascii="仿宋" w:hAnsi="仿宋" w:eastAsia="仿宋" w:cs="仿宋"/>
          <w:b/>
          <w:bCs/>
          <w:color w:val="000000"/>
          <w:sz w:val="30"/>
          <w:szCs w:val="30"/>
          <w:lang w:eastAsia="zh-CN"/>
        </w:rPr>
        <w:t>方式</w:t>
      </w:r>
      <w:r>
        <w:rPr>
          <w:rFonts w:hint="eastAsia" w:ascii="仿宋" w:hAnsi="仿宋" w:eastAsia="仿宋" w:cs="仿宋"/>
          <w:b/>
          <w:bCs/>
          <w:color w:val="000000"/>
          <w:sz w:val="30"/>
          <w:szCs w:val="30"/>
        </w:rPr>
        <w:t>：</w:t>
      </w:r>
      <w:r>
        <w:rPr>
          <w:rFonts w:hint="eastAsia" w:ascii="仿宋" w:hAnsi="仿宋" w:eastAsia="仿宋" w:cs="仿宋"/>
          <w:b/>
          <w:bCs/>
          <w:sz w:val="30"/>
          <w:szCs w:val="30"/>
        </w:rPr>
        <w:t xml:space="preserve"> </w:t>
      </w:r>
    </w:p>
    <w:p>
      <w:pPr>
        <w:pStyle w:val="12"/>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采购机构：襄城县政府采购中心</w:t>
      </w:r>
    </w:p>
    <w:p>
      <w:pPr>
        <w:pStyle w:val="12"/>
        <w:spacing w:line="360" w:lineRule="auto"/>
        <w:jc w:val="left"/>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联系地址：襄城县八七路东段电子商务产业园</w:t>
      </w:r>
    </w:p>
    <w:p>
      <w:pPr>
        <w:pStyle w:val="12"/>
        <w:spacing w:line="360" w:lineRule="auto"/>
        <w:jc w:val="left"/>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联系电话：0374-3998026 </w:t>
      </w:r>
    </w:p>
    <w:p>
      <w:pPr>
        <w:pStyle w:val="12"/>
        <w:spacing w:line="360" w:lineRule="auto"/>
        <w:ind w:firstLine="480"/>
        <w:jc w:val="left"/>
        <w:rPr>
          <w:rFonts w:hint="eastAsia" w:ascii="仿宋" w:hAnsi="仿宋" w:eastAsia="仿宋" w:cs="仿宋"/>
          <w:sz w:val="30"/>
          <w:szCs w:val="30"/>
        </w:rPr>
      </w:pPr>
      <w:r>
        <w:rPr>
          <w:rFonts w:hint="eastAsia" w:ascii="仿宋" w:hAnsi="仿宋" w:eastAsia="仿宋" w:cs="仿宋"/>
          <w:sz w:val="30"/>
          <w:szCs w:val="30"/>
        </w:rPr>
        <w:t>采购单位：襄城县教育技术设备管理中心</w:t>
      </w:r>
    </w:p>
    <w:p>
      <w:pPr>
        <w:pStyle w:val="12"/>
        <w:spacing w:line="360" w:lineRule="auto"/>
        <w:ind w:firstLine="480"/>
        <w:jc w:val="left"/>
        <w:rPr>
          <w:rFonts w:hint="eastAsia" w:ascii="仿宋" w:hAnsi="仿宋" w:eastAsia="仿宋" w:cs="仿宋"/>
          <w:sz w:val="30"/>
          <w:szCs w:val="30"/>
        </w:rPr>
      </w:pPr>
      <w:r>
        <w:rPr>
          <w:rFonts w:hint="eastAsia" w:ascii="仿宋" w:hAnsi="仿宋" w:eastAsia="仿宋" w:cs="仿宋"/>
          <w:sz w:val="30"/>
          <w:szCs w:val="30"/>
        </w:rPr>
        <w:t>联系地址：襄城县迎宾路东</w:t>
      </w:r>
    </w:p>
    <w:p>
      <w:pPr>
        <w:pStyle w:val="12"/>
        <w:spacing w:line="360" w:lineRule="auto"/>
        <w:ind w:firstLine="480"/>
        <w:jc w:val="left"/>
        <w:rPr>
          <w:rFonts w:hint="eastAsia" w:cs="仿宋" w:asciiTheme="minorEastAsia" w:hAnsiTheme="minorEastAsia" w:eastAsiaTheme="minorEastAsia"/>
          <w:sz w:val="24"/>
          <w:szCs w:val="24"/>
          <w:lang w:val="en-US" w:eastAsia="zh-CN"/>
        </w:rPr>
      </w:pPr>
      <w:r>
        <w:rPr>
          <w:rFonts w:hint="eastAsia" w:ascii="仿宋" w:hAnsi="仿宋" w:eastAsia="仿宋" w:cs="仿宋"/>
          <w:sz w:val="30"/>
          <w:szCs w:val="30"/>
        </w:rPr>
        <w:t>联系电话：0374-3569681</w:t>
      </w:r>
      <w:r>
        <w:rPr>
          <w:rFonts w:hint="eastAsia" w:cs="仿宋" w:asciiTheme="minorEastAsia" w:hAnsiTheme="minorEastAsia" w:eastAsiaTheme="minorEastAsia"/>
          <w:sz w:val="24"/>
          <w:szCs w:val="24"/>
        </w:rPr>
        <w:t xml:space="preserve">                                  </w:t>
      </w:r>
      <w:r>
        <w:rPr>
          <w:rFonts w:hint="eastAsia" w:cs="仿宋" w:asciiTheme="minorEastAsia" w:hAnsiTheme="minorEastAsia" w:eastAsiaTheme="minorEastAsia"/>
          <w:sz w:val="24"/>
          <w:szCs w:val="24"/>
          <w:lang w:val="en-US" w:eastAsia="zh-CN"/>
        </w:rPr>
        <w:t xml:space="preserve">       </w:t>
      </w:r>
    </w:p>
    <w:p>
      <w:pPr>
        <w:pStyle w:val="12"/>
        <w:spacing w:line="360" w:lineRule="auto"/>
        <w:ind w:firstLine="480"/>
        <w:jc w:val="left"/>
        <w:rPr>
          <w:rFonts w:hint="eastAsia" w:cs="仿宋" w:asciiTheme="minorEastAsia" w:hAnsiTheme="minorEastAsia" w:eastAsiaTheme="minorEastAsia"/>
          <w:sz w:val="24"/>
          <w:szCs w:val="24"/>
          <w:lang w:val="en-US" w:eastAsia="zh-CN"/>
        </w:rPr>
      </w:pPr>
    </w:p>
    <w:p>
      <w:pPr>
        <w:pStyle w:val="12"/>
        <w:spacing w:line="360" w:lineRule="auto"/>
        <w:ind w:firstLine="480"/>
        <w:jc w:val="left"/>
        <w:rPr>
          <w:rFonts w:hint="eastAsia" w:cs="仿宋" w:asciiTheme="minorEastAsia" w:hAnsiTheme="minorEastAsia" w:eastAsiaTheme="minorEastAsia"/>
          <w:sz w:val="24"/>
          <w:szCs w:val="24"/>
          <w:lang w:val="en-US" w:eastAsia="zh-CN"/>
        </w:rPr>
      </w:pPr>
    </w:p>
    <w:p>
      <w:pPr>
        <w:pStyle w:val="12"/>
        <w:spacing w:line="360" w:lineRule="auto"/>
        <w:ind w:firstLine="8940" w:firstLineChars="3725"/>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   襄城县政府采购中心</w:t>
      </w:r>
    </w:p>
    <w:p>
      <w:pPr>
        <w:pStyle w:val="13"/>
        <w:spacing w:before="0" w:after="0" w:line="360" w:lineRule="auto"/>
        <w:jc w:val="both"/>
        <w:rPr>
          <w:rFonts w:asciiTheme="minorEastAsia" w:hAnsiTheme="minorEastAsia" w:eastAsiaTheme="minorEastAsia" w:cstheme="minorEastAsia"/>
          <w:b/>
          <w:bCs/>
        </w:rPr>
      </w:pPr>
      <w:r>
        <w:rPr>
          <w:rFonts w:hint="eastAsia" w:cs="仿宋" w:asciiTheme="minorEastAsia" w:hAnsiTheme="minorEastAsia" w:eastAsiaTheme="minorEastAsia"/>
          <w:b/>
          <w:bCs/>
        </w:rPr>
        <w:t xml:space="preserve">  </w:t>
      </w:r>
    </w:p>
    <w:p>
      <w:pPr>
        <w:pStyle w:val="13"/>
        <w:spacing w:before="0" w:after="0" w:line="360" w:lineRule="auto"/>
        <w:jc w:val="both"/>
        <w:rPr>
          <w:rFonts w:asciiTheme="minorEastAsia" w:hAnsiTheme="minorEastAsia" w:eastAsiaTheme="minorEastAsia" w:cstheme="minorEastAsia"/>
          <w:b/>
          <w:bCs/>
        </w:rPr>
      </w:pPr>
    </w:p>
    <w:p>
      <w:pPr>
        <w:pStyle w:val="13"/>
        <w:spacing w:before="0" w:after="0" w:line="360" w:lineRule="auto"/>
        <w:jc w:val="both"/>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附</w:t>
      </w:r>
      <w:r>
        <w:rPr>
          <w:rFonts w:hint="eastAsia" w:asciiTheme="minorEastAsia" w:hAnsiTheme="minorEastAsia" w:eastAsiaTheme="minorEastAsia" w:cstheme="minorEastAsia"/>
          <w:b/>
          <w:bCs/>
          <w:lang w:val="en-US" w:eastAsia="zh-CN"/>
        </w:rPr>
        <w:t>1</w:t>
      </w:r>
      <w:r>
        <w:rPr>
          <w:rFonts w:hint="eastAsia" w:asciiTheme="minorEastAsia" w:hAnsiTheme="minorEastAsia" w:eastAsiaTheme="minorEastAsia" w:cstheme="minorEastAsia"/>
          <w:b/>
          <w:bCs/>
        </w:rPr>
        <w:t>：</w:t>
      </w:r>
      <w:r>
        <w:rPr>
          <w:rFonts w:hint="eastAsia" w:asciiTheme="minorEastAsia" w:hAnsiTheme="minorEastAsia" w:eastAsiaTheme="minorEastAsia" w:cstheme="minorEastAsia"/>
          <w:b/>
          <w:bCs/>
          <w:lang w:eastAsia="zh-CN"/>
        </w:rPr>
        <w:t>项目需求</w:t>
      </w:r>
    </w:p>
    <w:p>
      <w:pPr>
        <w:pStyle w:val="13"/>
        <w:spacing w:before="0" w:after="0" w:line="360" w:lineRule="auto"/>
        <w:jc w:val="both"/>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eastAsia="zh-CN"/>
        </w:rPr>
        <w:t>附</w:t>
      </w:r>
      <w:r>
        <w:rPr>
          <w:rFonts w:hint="eastAsia" w:asciiTheme="minorEastAsia" w:hAnsiTheme="minorEastAsia" w:eastAsiaTheme="minorEastAsia" w:cstheme="minorEastAsia"/>
          <w:b/>
          <w:bCs/>
          <w:lang w:val="en-US" w:eastAsia="zh-CN"/>
        </w:rPr>
        <w:t>2、</w:t>
      </w:r>
      <w:r>
        <w:rPr>
          <w:rFonts w:hint="eastAsia" w:asciiTheme="minorEastAsia" w:hAnsiTheme="minorEastAsia" w:eastAsiaTheme="minorEastAsia" w:cstheme="minorEastAsia"/>
          <w:b/>
          <w:bCs/>
        </w:rPr>
        <w:t>询价表</w:t>
      </w:r>
    </w:p>
    <w:p>
      <w:pPr>
        <w:pStyle w:val="13"/>
        <w:spacing w:before="0" w:after="0" w:line="360" w:lineRule="auto"/>
        <w:jc w:val="both"/>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eastAsia="zh-CN"/>
        </w:rPr>
        <w:t>附</w:t>
      </w:r>
      <w:r>
        <w:rPr>
          <w:rFonts w:hint="eastAsia" w:asciiTheme="minorEastAsia" w:hAnsiTheme="minorEastAsia" w:eastAsiaTheme="minorEastAsia" w:cstheme="minorEastAsia"/>
          <w:b/>
          <w:bCs/>
          <w:lang w:val="en-US" w:eastAsia="zh-CN"/>
        </w:rPr>
        <w:t>3、售后服务</w:t>
      </w:r>
    </w:p>
    <w:p>
      <w:pPr>
        <w:pStyle w:val="13"/>
        <w:spacing w:before="0" w:after="0" w:line="360" w:lineRule="auto"/>
        <w:ind w:firstLine="3360" w:firstLineChars="1400"/>
        <w:jc w:val="both"/>
        <w:rPr>
          <w:rFonts w:hint="eastAsia" w:asciiTheme="minorEastAsia" w:hAnsiTheme="minorEastAsia" w:eastAsiaTheme="minorEastAsia" w:cstheme="minorEastAsia"/>
          <w:b/>
          <w:bCs/>
          <w:lang w:val="en-US" w:eastAsia="zh-CN"/>
        </w:rPr>
      </w:pPr>
    </w:p>
    <w:p>
      <w:pPr>
        <w:pStyle w:val="13"/>
        <w:spacing w:before="0" w:after="0" w:line="360" w:lineRule="auto"/>
        <w:ind w:firstLine="3360" w:firstLineChars="1400"/>
        <w:jc w:val="both"/>
        <w:rPr>
          <w:rFonts w:hint="eastAsia" w:asciiTheme="minorEastAsia" w:hAnsiTheme="minorEastAsia" w:eastAsiaTheme="minorEastAsia" w:cstheme="minorEastAsia"/>
          <w:b/>
          <w:bCs/>
          <w:lang w:val="en-US" w:eastAsia="zh-CN"/>
        </w:rPr>
      </w:pPr>
    </w:p>
    <w:p>
      <w:pPr>
        <w:pStyle w:val="13"/>
        <w:spacing w:before="0" w:after="0" w:line="360" w:lineRule="auto"/>
        <w:ind w:firstLine="3360" w:firstLineChars="1400"/>
        <w:jc w:val="both"/>
        <w:rPr>
          <w:rFonts w:hint="eastAsia" w:asciiTheme="minorEastAsia" w:hAnsiTheme="minorEastAsia" w:eastAsiaTheme="minorEastAsia" w:cstheme="minorEastAsia"/>
          <w:b/>
          <w:bCs/>
          <w:lang w:val="en-US" w:eastAsia="zh-CN"/>
        </w:rPr>
      </w:pPr>
    </w:p>
    <w:p>
      <w:pPr>
        <w:pStyle w:val="13"/>
        <w:spacing w:before="0" w:after="0" w:line="360" w:lineRule="auto"/>
        <w:ind w:firstLine="3360" w:firstLineChars="1400"/>
        <w:jc w:val="both"/>
        <w:rPr>
          <w:rFonts w:hint="eastAsia" w:asciiTheme="minorEastAsia" w:hAnsiTheme="minorEastAsia" w:eastAsiaTheme="minorEastAsia" w:cstheme="minorEastAsia"/>
          <w:b/>
          <w:bCs/>
          <w:lang w:val="en-US" w:eastAsia="zh-CN"/>
        </w:rPr>
      </w:pPr>
    </w:p>
    <w:p>
      <w:pPr>
        <w:pStyle w:val="13"/>
        <w:spacing w:before="0" w:after="0" w:line="360" w:lineRule="auto"/>
        <w:jc w:val="both"/>
        <w:rPr>
          <w:rFonts w:hint="eastAsia" w:asciiTheme="minorEastAsia" w:hAnsiTheme="minorEastAsia" w:eastAsiaTheme="minorEastAsia" w:cstheme="minorEastAsia"/>
          <w:b/>
          <w:bCs/>
          <w:sz w:val="44"/>
          <w:szCs w:val="44"/>
          <w:lang w:val="en-US" w:eastAsia="zh-CN"/>
        </w:rPr>
      </w:pPr>
    </w:p>
    <w:p>
      <w:pPr>
        <w:pStyle w:val="13"/>
        <w:spacing w:before="0" w:after="0" w:line="360" w:lineRule="auto"/>
        <w:jc w:val="both"/>
        <w:rPr>
          <w:rFonts w:hint="eastAsia" w:asciiTheme="minorEastAsia" w:hAnsiTheme="minorEastAsia" w:eastAsiaTheme="minorEastAsia" w:cstheme="minorEastAsia"/>
          <w:b/>
          <w:bCs/>
          <w:sz w:val="44"/>
          <w:szCs w:val="44"/>
          <w:lang w:val="en-US" w:eastAsia="zh-CN"/>
        </w:rPr>
      </w:pPr>
    </w:p>
    <w:p>
      <w:pPr>
        <w:pStyle w:val="13"/>
        <w:spacing w:before="0" w:after="0" w:line="360" w:lineRule="auto"/>
        <w:jc w:val="both"/>
        <w:rPr>
          <w:rFonts w:hint="eastAsia" w:asciiTheme="minorEastAsia" w:hAnsiTheme="minorEastAsia" w:eastAsiaTheme="minorEastAsia" w:cstheme="minorEastAsia"/>
          <w:b/>
          <w:bCs/>
          <w:sz w:val="44"/>
          <w:szCs w:val="44"/>
          <w:lang w:val="en-US" w:eastAsia="zh-CN"/>
        </w:rPr>
      </w:pPr>
    </w:p>
    <w:p>
      <w:pPr>
        <w:pStyle w:val="13"/>
        <w:spacing w:before="0" w:after="0" w:line="360" w:lineRule="auto"/>
        <w:jc w:val="both"/>
        <w:rPr>
          <w:rFonts w:hint="eastAsia" w:asciiTheme="minorEastAsia" w:hAnsiTheme="minorEastAsia" w:eastAsiaTheme="minorEastAsia" w:cstheme="minorEastAsia"/>
          <w:b/>
          <w:bCs/>
          <w:sz w:val="44"/>
          <w:szCs w:val="44"/>
          <w:lang w:val="en-US" w:eastAsia="zh-CN"/>
        </w:rPr>
      </w:pPr>
    </w:p>
    <w:p>
      <w:pPr>
        <w:pStyle w:val="13"/>
        <w:spacing w:before="0" w:after="0" w:line="360" w:lineRule="auto"/>
        <w:jc w:val="both"/>
        <w:rPr>
          <w:rFonts w:hint="eastAsia" w:asciiTheme="minorEastAsia" w:hAnsiTheme="minorEastAsia" w:eastAsiaTheme="minorEastAsia" w:cstheme="minorEastAsia"/>
          <w:b/>
          <w:bCs/>
          <w:sz w:val="44"/>
          <w:szCs w:val="44"/>
          <w:lang w:val="en-US" w:eastAsia="zh-CN"/>
        </w:rPr>
      </w:pPr>
    </w:p>
    <w:p>
      <w:pPr>
        <w:pStyle w:val="13"/>
        <w:spacing w:before="0" w:after="0" w:line="360" w:lineRule="auto"/>
        <w:jc w:val="both"/>
        <w:rPr>
          <w:rFonts w:hint="eastAsia" w:asciiTheme="minorEastAsia" w:hAnsiTheme="minorEastAsia" w:eastAsiaTheme="minorEastAsia" w:cstheme="minorEastAsia"/>
          <w:b/>
          <w:bCs/>
          <w:sz w:val="44"/>
          <w:szCs w:val="44"/>
          <w:lang w:val="en-US" w:eastAsia="zh-CN"/>
        </w:rPr>
      </w:pPr>
    </w:p>
    <w:p>
      <w:pPr>
        <w:pStyle w:val="13"/>
        <w:spacing w:before="0" w:after="0" w:line="360" w:lineRule="auto"/>
        <w:jc w:val="both"/>
        <w:rPr>
          <w:rFonts w:hint="eastAsia" w:asciiTheme="minorEastAsia" w:hAnsiTheme="minorEastAsia" w:eastAsiaTheme="minorEastAsia" w:cstheme="minorEastAsia"/>
          <w:b/>
          <w:bCs/>
          <w:sz w:val="44"/>
          <w:szCs w:val="44"/>
          <w:lang w:val="en-US" w:eastAsia="zh-CN"/>
        </w:rPr>
      </w:pPr>
      <w:bookmarkStart w:id="0" w:name="_GoBack"/>
      <w:bookmarkEnd w:id="0"/>
    </w:p>
    <w:p>
      <w:pPr>
        <w:pStyle w:val="13"/>
        <w:spacing w:before="0" w:after="0" w:line="360" w:lineRule="auto"/>
        <w:jc w:val="both"/>
        <w:rPr>
          <w:rFonts w:hint="eastAsia" w:asciiTheme="minorEastAsia" w:hAnsiTheme="minorEastAsia" w:eastAsiaTheme="minorEastAsia" w:cstheme="minorEastAsia"/>
          <w:b/>
          <w:bCs/>
          <w:sz w:val="44"/>
          <w:szCs w:val="44"/>
          <w:lang w:val="en-US" w:eastAsia="zh-CN"/>
        </w:rPr>
      </w:pPr>
    </w:p>
    <w:p>
      <w:pPr>
        <w:pStyle w:val="13"/>
        <w:spacing w:before="0" w:after="0" w:line="360" w:lineRule="auto"/>
        <w:jc w:val="both"/>
        <w:rPr>
          <w:rFonts w:hint="eastAsia" w:asciiTheme="minorEastAsia" w:hAnsiTheme="minorEastAsia" w:eastAsiaTheme="minorEastAsia" w:cstheme="minorEastAsia"/>
          <w:b/>
          <w:bCs/>
          <w:sz w:val="44"/>
          <w:szCs w:val="44"/>
          <w:lang w:val="en-US" w:eastAsia="zh-CN"/>
        </w:rPr>
      </w:pPr>
    </w:p>
    <w:p>
      <w:pPr>
        <w:pStyle w:val="13"/>
        <w:numPr>
          <w:ilvl w:val="0"/>
          <w:numId w:val="0"/>
        </w:numPr>
        <w:spacing w:before="0" w:after="0" w:line="360" w:lineRule="auto"/>
        <w:jc w:val="both"/>
        <w:rPr>
          <w:rFonts w:hint="eastAsia" w:asciiTheme="minorEastAsia" w:hAnsiTheme="minorEastAsia" w:eastAsiaTheme="minorEastAsia" w:cstheme="minorEastAsia"/>
          <w:b/>
          <w:bCs/>
          <w:sz w:val="44"/>
          <w:szCs w:val="44"/>
          <w:lang w:val="en-US" w:eastAsia="zh-CN"/>
        </w:rPr>
      </w:pPr>
      <w:r>
        <w:rPr>
          <w:rFonts w:hint="eastAsia" w:asciiTheme="minorEastAsia" w:hAnsiTheme="minorEastAsia" w:eastAsiaTheme="minorEastAsia" w:cstheme="minorEastAsia"/>
          <w:b/>
          <w:bCs/>
          <w:sz w:val="44"/>
          <w:szCs w:val="44"/>
          <w:lang w:val="en-US" w:eastAsia="zh-CN"/>
        </w:rPr>
        <w:t>一、项目需求</w:t>
      </w:r>
    </w:p>
    <w:tbl>
      <w:tblPr>
        <w:tblStyle w:val="10"/>
        <w:tblW w:w="138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80"/>
        <w:gridCol w:w="1080"/>
        <w:gridCol w:w="7350"/>
        <w:gridCol w:w="108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80" w:hRule="atLeast"/>
        </w:trPr>
        <w:tc>
          <w:tcPr>
            <w:tcW w:w="13830" w:type="dxa"/>
            <w:gridSpan w:val="7"/>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小学音乐合唱室器材配备清单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编</w:t>
            </w:r>
            <w:r>
              <w:rPr>
                <w:rStyle w:val="23"/>
                <w:rFonts w:eastAsia="宋体"/>
                <w:lang w:val="en-US" w:eastAsia="zh-CN" w:bidi="ar"/>
              </w:rPr>
              <w:t xml:space="preserve">  </w:t>
            </w:r>
            <w:r>
              <w:rPr>
                <w:rFonts w:hint="eastAsia" w:ascii="宋体" w:hAnsi="宋体" w:eastAsia="宋体" w:cs="宋体"/>
                <w:i w:val="0"/>
                <w:color w:val="000000"/>
                <w:kern w:val="0"/>
                <w:sz w:val="22"/>
                <w:szCs w:val="22"/>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w:t>
            </w:r>
            <w:r>
              <w:rPr>
                <w:rStyle w:val="23"/>
                <w:rFonts w:eastAsia="宋体"/>
                <w:lang w:val="en-US" w:eastAsia="zh-CN" w:bidi="ar"/>
              </w:rPr>
              <w:t xml:space="preserve"> </w:t>
            </w:r>
            <w:r>
              <w:rPr>
                <w:rFonts w:hint="eastAsia" w:ascii="宋体" w:hAnsi="宋体" w:eastAsia="宋体" w:cs="宋体"/>
                <w:i w:val="0"/>
                <w:color w:val="000000"/>
                <w:kern w:val="0"/>
                <w:sz w:val="22"/>
                <w:szCs w:val="22"/>
                <w:u w:val="none"/>
                <w:lang w:val="en-US" w:eastAsia="zh-CN" w:bidi="ar"/>
              </w:rPr>
              <w:t>称</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规格型号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1"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合唱台</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1、合唱台台板：</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（1）单块舞台规格为900mm高（不含护栏，护栏500mm高）*1220mm宽度*1150mm深度。；三层合唱台重量37KG。</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（2）台面采用18mm厚建筑胶合板；</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2、舞台支架（国标铝合金6061-T6）</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舞台台板框架为：40*40铝合金方管；</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舞台支架主管为：50*25铝合金目字方通，50*3铝合金圆管等；</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3、底部带有3寸聚氨酯防滑万向轮，可任意移动；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4、表面处理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磷化清洗，使外观色泽靓丽。</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5、舞台高度：舞台配微调螺丝，可以解决地面不平的情况。㎡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音乐凳</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30*25*37六面体三色可选，采用模具成型软塑料边条经机械封饰，配有龄合型软防滑八角，既可以用于学生坐箱又可以利用龄合角组合成合唱阶梯、舞台等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指挥台</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含指挥棒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乐谱架</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高度可自由调节，低至80cm、总长160cm,实际高达145cm左右。三节管径，分别是：19、22、25mm，更稳健、牢固。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谱板宽50cm、高35cm左右，可放置大曲谱</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地毯</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bl>
    <w:p>
      <w:pPr>
        <w:pStyle w:val="13"/>
        <w:numPr>
          <w:ilvl w:val="0"/>
          <w:numId w:val="0"/>
        </w:numPr>
        <w:spacing w:before="0" w:after="0" w:line="360" w:lineRule="auto"/>
        <w:jc w:val="both"/>
        <w:rPr>
          <w:rFonts w:hint="eastAsia" w:asciiTheme="minorEastAsia" w:hAnsiTheme="minorEastAsia" w:eastAsiaTheme="minorEastAsia" w:cstheme="minorEastAsia"/>
          <w:b/>
          <w:bCs/>
          <w:sz w:val="44"/>
          <w:szCs w:val="44"/>
          <w:lang w:val="en-US" w:eastAsia="zh-CN"/>
        </w:rPr>
      </w:pPr>
    </w:p>
    <w:p>
      <w:pPr>
        <w:pStyle w:val="13"/>
        <w:numPr>
          <w:ilvl w:val="0"/>
          <w:numId w:val="0"/>
        </w:numPr>
        <w:spacing w:before="0" w:after="0" w:line="360" w:lineRule="auto"/>
        <w:jc w:val="both"/>
        <w:rPr>
          <w:rFonts w:hint="eastAsia" w:asciiTheme="minorEastAsia" w:hAnsiTheme="minorEastAsia" w:eastAsiaTheme="minorEastAsia" w:cstheme="minorEastAsia"/>
          <w:b/>
          <w:bCs/>
          <w:sz w:val="44"/>
          <w:szCs w:val="44"/>
          <w:lang w:val="en-US" w:eastAsia="zh-CN"/>
        </w:rPr>
      </w:pPr>
    </w:p>
    <w:p>
      <w:pPr>
        <w:pStyle w:val="13"/>
        <w:numPr>
          <w:ilvl w:val="0"/>
          <w:numId w:val="0"/>
        </w:numPr>
        <w:spacing w:before="0" w:after="0" w:line="360" w:lineRule="auto"/>
        <w:jc w:val="both"/>
        <w:rPr>
          <w:rFonts w:hint="eastAsia" w:asciiTheme="minorEastAsia" w:hAnsiTheme="minorEastAsia" w:eastAsiaTheme="minorEastAsia" w:cstheme="minorEastAsia"/>
          <w:b/>
          <w:bCs/>
          <w:sz w:val="44"/>
          <w:szCs w:val="44"/>
          <w:lang w:val="en-US" w:eastAsia="zh-CN"/>
        </w:rPr>
      </w:pPr>
    </w:p>
    <w:p>
      <w:pPr>
        <w:pStyle w:val="13"/>
        <w:numPr>
          <w:ilvl w:val="0"/>
          <w:numId w:val="0"/>
        </w:numPr>
        <w:spacing w:before="0" w:after="0" w:line="360" w:lineRule="auto"/>
        <w:jc w:val="both"/>
        <w:rPr>
          <w:rFonts w:hint="eastAsia" w:asciiTheme="minorEastAsia" w:hAnsiTheme="minorEastAsia" w:eastAsiaTheme="minorEastAsia" w:cstheme="minorEastAsia"/>
          <w:b/>
          <w:bCs/>
          <w:sz w:val="44"/>
          <w:szCs w:val="44"/>
          <w:lang w:val="en-US" w:eastAsia="zh-CN"/>
        </w:rPr>
      </w:pPr>
      <w:r>
        <w:drawing>
          <wp:inline distT="0" distB="0" distL="114300" distR="114300">
            <wp:extent cx="8505825" cy="4953000"/>
            <wp:effectExtent l="0" t="0" r="9525" b="0"/>
            <wp:docPr id="7" name="图片 1" descr="音乐教室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音乐教室2"/>
                    <pic:cNvPicPr>
                      <a:picLocks noChangeAspect="1"/>
                    </pic:cNvPicPr>
                  </pic:nvPicPr>
                  <pic:blipFill>
                    <a:blip r:embed="rId5"/>
                    <a:stretch>
                      <a:fillRect/>
                    </a:stretch>
                  </pic:blipFill>
                  <pic:spPr>
                    <a:xfrm>
                      <a:off x="0" y="0"/>
                      <a:ext cx="8505825" cy="4953000"/>
                    </a:xfrm>
                    <a:prstGeom prst="rect">
                      <a:avLst/>
                    </a:prstGeom>
                    <a:noFill/>
                    <a:ln w="9525">
                      <a:noFill/>
                    </a:ln>
                  </pic:spPr>
                </pic:pic>
              </a:graphicData>
            </a:graphic>
          </wp:inline>
        </w:drawing>
      </w:r>
    </w:p>
    <w:tbl>
      <w:tblPr>
        <w:tblStyle w:val="10"/>
        <w:tblW w:w="138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25"/>
        <w:gridCol w:w="1900"/>
        <w:gridCol w:w="4565"/>
        <w:gridCol w:w="964"/>
        <w:gridCol w:w="1080"/>
        <w:gridCol w:w="1035"/>
        <w:gridCol w:w="585"/>
        <w:gridCol w:w="2070"/>
        <w:gridCol w:w="645"/>
        <w:gridCol w:w="180"/>
        <w:gridCol w:w="255"/>
        <w:gridCol w:w="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3"/>
          <w:wAfter w:w="525" w:type="dxa"/>
          <w:trHeight w:val="495" w:hRule="atLeast"/>
        </w:trPr>
        <w:tc>
          <w:tcPr>
            <w:tcW w:w="13369" w:type="dxa"/>
            <w:gridSpan w:val="9"/>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小学科学仪器参数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525" w:type="dxa"/>
          <w:trHeight w:val="495" w:hRule="atLeast"/>
        </w:trPr>
        <w:tc>
          <w:tcPr>
            <w:tcW w:w="1336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以下为一套</w:t>
            </w:r>
            <w:r>
              <w:rPr>
                <w:rFonts w:hint="eastAsia" w:ascii="宋体" w:hAnsi="宋体" w:cs="宋体"/>
                <w:b/>
                <w:i w:val="0"/>
                <w:color w:val="000000"/>
                <w:kern w:val="0"/>
                <w:sz w:val="28"/>
                <w:szCs w:val="28"/>
                <w:u w:val="none"/>
                <w:lang w:val="en-US" w:eastAsia="zh-CN" w:bidi="ar"/>
              </w:rPr>
              <w:t>(本次采购2套)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525" w:type="dxa"/>
          <w:trHeight w:val="375" w:hRule="atLeast"/>
        </w:trPr>
        <w:tc>
          <w:tcPr>
            <w:tcW w:w="52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90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名称</w:t>
            </w:r>
          </w:p>
        </w:tc>
        <w:tc>
          <w:tcPr>
            <w:tcW w:w="456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规格 型号 功能</w:t>
            </w:r>
          </w:p>
        </w:tc>
        <w:tc>
          <w:tcPr>
            <w:tcW w:w="96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w:t>
            </w:r>
          </w:p>
        </w:tc>
        <w:tc>
          <w:tcPr>
            <w:tcW w:w="2115"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工程量</w:t>
            </w:r>
          </w:p>
        </w:tc>
        <w:tc>
          <w:tcPr>
            <w:tcW w:w="2655"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单价/元</w:t>
            </w:r>
          </w:p>
        </w:tc>
        <w:tc>
          <w:tcPr>
            <w:tcW w:w="64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6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计算器</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1．用于小学数学教学用。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2．类型：简易型。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1．必须符合《电子计算器通用标准》（GB/T4967–1995），符合国家教育部颁布的《课程标准》要求，可完成课程标准提出的教学任务和教学内容。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2．功能和性能要求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按键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符号 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说明 按键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符号 功能说明 按键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符号 功能说明</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ON/C 开机/清除 OFF 关机 + 加号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减号 × 乘号 ÷ 除号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0～９ 数字 • 小数点 = 等号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百分号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圆周率 X2 平方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M+ 存储器累加 M_ 存储器累减 （ 左括弧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右括弧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a 带分数整数部分输入 ac/b＝d/c     带分数与假分数互相转换 F＝D 分数与小数互相转换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c/p 分数 SIMP 约分 ÷R 有余数除法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Avg 平均数 HMS 时间输入与转换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倒数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MR 存储器显示 MC 存储器清除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科学计算器的各类输入操作及显示，应与日常书写顺序一致，输入内容显示字符不小于小四号字；机壳及键盘用安全可靠的材质制成，按键弹动灵活，接触良好，触摸手感舒适；存储器不少于6个；采取直流供电方式；可显示的十进制字长不少于10位，分数线显示为水平直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打孔器</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适用于初中理化生学及小学科学实验中给橡胶塞（软木塞）打孔时使用的手持式打孔器。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为四件成套打孔器。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刀刃硬度不低于HRC55，刃口锋利，无卷刃、缺口等缺陷。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 捅条长105mm，直径3.5mm。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 表面不应有明显的凹痕、裂缝、变形等缺陷。表面涂镀层应均匀，不应起泡、龟裂、脱落和磨损。金属零部件不应有锈蚀及其他机械损伤。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5. 产品性能、外观、结构还应满足JY0001标准第4、6、7章的有关规定。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打气筒</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适用于中学物理及小学科学教学实验用。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多功能手动充气筒。</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质量等级为合格品，气筒外径Φ30mm，长500mm，充气软管为塑胶或橡胶制品，与充气筒底座、气筒气嘴接合密闭，装卸方便。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气筒外管用铝合金、工程塑料或其他同等强度的材质制成。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 充气活塞或充气筒推拉轻便、灵活，无气体泄漏现象。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 气筒配有多功能气筒气嘴两个，气嘴为夹持式一个，插入式一个，适用于自行车胎、摩托车车胎及球类等不同情况下充气需要。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5. 最大充气压力不小于0.8MPa（10kg/cm2）。</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 应符合SB/T 10205 的有关要求。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生物显微镜</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适用于中学生物及小学科学实验教学用。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规格：XSP系列，显微镜的构件须是纯金属制造。</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单筒，总放大倍数：20×—640×。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物镜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倍   数 数值孔径（NA） 有效工作距离（mm）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4 0.1 34.7</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10 0.25 7.63</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40 0.65 0.53</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 目镜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倍 数 焦  距 线  视  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5 50 20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10 25 14</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16 16 6.5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 总放大倍数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 镜 物       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 10× 40×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 20× 50× 200×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 40× 100× 400×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16× 64× 160× 640×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 光源：室内、自然光源。片在镜圈内应有止挡圈，160不得窜动。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 物镜不可有自动下滑现象，并带限位装置。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 光学系统成像应清晰，零件表面无明显缺陷。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 使用物镜转换器换用不同放率的物镜时，各物镜应齐焦，齐焦误差范围应符合标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准GB 2958表四要求。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11. 物镜转换器定位应准确，其最大定位误差，不大于0.03mm.。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 显微镜物镜各传动、转动部分应舒适灵活，无过紧过松及急跳现象。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13. 显微镜的外表应美观。刻度、刻字及铭牌应清晰明显。电镀表面不应有脱落和斑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点，漆面不得有碰伤痕迹，零件表面应光洁，无毛刺，平整美观。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生物显微演示装置</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适用于初中生物和小学科学实验教学用。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㈡技术要求：符合（生物显微演示装置JY/T  0376-2004）要求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放大倍数：40～3000倍。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成像元件：PAL彩色CCD，尺寸≥1/3。</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分辨率：≥480TV线。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信噪比：≥50db。</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 白平衡：自动。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 AGC控制：低增益/高增益。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 逆光补偿：自动/手动。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 输出接口：AV端子。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 可以接驳中小学按配备标准装备的显微镜。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学生显微镜</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㈠适用范围：小学科学课教学学生分组观察用。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组合放大倍数200×，单筒。</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物镜放大倍数20×。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目镜放大倍数10×。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显微镜倍数允差≤15％。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 镜头无明显脱胶，霉斑，窜动等缺陷。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 镜架、镜座、准调可由金属制涂以黑色无光漆或由优质塑料制，各部结构紧凑，调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节灵活，镜筒无自由下滑等缺陷。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 反光镜平整可调。显微镜成像清晰。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放大镜</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㈠适用范围：中学物理、生物分组和小学科学教学实验用。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手持式，有效通光孔不小于30mm，放大倍数为5×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应符合JY/T 0378-2004标准有关要求。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放大镜</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㈠适用范围：小学科学教学分组实验用.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1.手持式，有效通光孔不小于40mm，放大倍数为3X。</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2.应符合JY/T0378-2004标准有关要求。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酒精喷灯</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㈠适用范围、规格型号：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实验中加热、灼烧等操作中使用。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座式酒精喷灯。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用黄铜制成。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密闭无渗漏。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 仪器由灯壶、灯管、空气调节器、预热盘、加料口等部分组成。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 空气调节器可使调节片可靠稳定于调节范围内的任意位置。能自如地调节空气进量而调节火焰大小。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5. 最高温度应能达到800℃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6.仪器的性能、安全、结构及外观的一般要求应分别符合JY0001标准的第4、5、6、7章的有关要求。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 40S内顺利喷火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听诊器</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1.供中小学卫生室诊疗用，双头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1.产品应符合YY91035-1999的规定。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水槽</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符合中华人民共和国教育部2006年7月19日发布的《中华人民共和国教育行业标准》。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方座支架</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㈠适用范围、型号规格：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适用于中学物理、化学、生物和小学科学实验教学用。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型号规格：J1102型。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方座支架附烧瓶夹一只，大小铁环各一只，垂直夹二只，平行夹一只；</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底座尺寸不小于210×135mm，表面平整、喷塑；立杆直径不小于12mm,长不小于600mm,表面镀铬，一端有M10×18mm螺纹。；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大铁环内径90mm,柄长105mm。小铁环内径50mm，柄长125mm.。圆环开口中心线与环柄呈120°夹角，开口宽约20mm；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 烧瓶夹夹口材料厚度不小于2mm，宽度不小于22mm，夹口内贴绒布缓压层；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5. 垂直夹、平行夹夹体为S形，顶部有M6紧固螺钉，夹持直径范围为6mm～14mm；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 底座放置平稳，支承夹持可靠，立杆与底座间的垂直度不大于3mm，铁环组装后与立杆垂直，垂直度不大于4mm；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7. 其它符合JY0393-2007第4章有关规定。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三脚架</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适用于初中物理、化学、生物和小学科学实验用。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采用碳钢或φ6mm冷拉钢材造，三脚均布，高度不小于156mm，三脚内接圆直径不小于120mm。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上支承环平整，直径&gt;80mm。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三支撑脚与圆环间焊接牢靠，分布均匀，焊点光滑、平稳，三脚及支承环钢材直径不小于6mm，表面经酸洗，磷化后喷塑或喷黑色防锈、耐热强化漆。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表面不应有明显的凹痕、裂缝、变形等缺陷；表面涂镀层应均匀，不应起泡、龟裂、脱落和磨损；不应有锈蚀及其他机械损伤。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试管架</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适用于初中化学、生物和小学科学实验中用。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产品为木质或塑料制品，木质制品所用木材需经脱脂干燥处理；塑料制品（透明聚碳酸脂注塑成型）产品外观无明显扭曲、变形现象。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2.，底座厚度≥8mm，孔板厚度≥8mm。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产品为12孔型式，φ22±1 mm孔径8孔，φ26±1mm孔径4孔，各孔中心间距30±1mm。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试管柱12个，直径φ10±1mm，长65±5mm。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 孔板与底座上表面间距70±5mm。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 底座上表面对应孔板上的各孔大小，刻有便于试管放置的凹槽，槽深约3mm。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 试管柱与底座上表面的垂直度不大于2mm。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 塑料制品的试管架，底座应做配重处理。产品在工作台面上放置，应稳定可靠。</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9. 仪器的性能、安全、结构及外观的一般要求应分别符合JY0001标准的第4、5、6、7章的有关要求。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旋转架</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初中物理和小学科学教学作磁铁性质，两种电荷的相互作用实验时支撑，搁置T054条形磁铁，玻璃棒、胶棒等用。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可折式，成对配置。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仪器由底座、支杆、旋转体构成。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底座长90mm、宽60mm、高15mm壁厚≥1.5mm，中部轴套安装固定孔Φ8×6mm；轴套外径14mm，总高52mm上部有Φ22mm小孔，下部有Φ8×6mm柱，壁厚≥1.5mm；旋转架长38mm宽22mm高17mm，上面开有槽应便于放置玻棒和小条形磁铁，下面正中有选择套，尺寸为Φ2mm×6mm壁厚≥1.5mm，应便于放置玻棒和条形磁铁，组合后转动无阻滞现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百叶箱支架</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适用于初中地理和小学科学实验教学。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产品为全钢结构，由立柱和座架组成，支架整体稳定牢靠，表面做防锈处理。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2.支架高度为1500mm，座架宽窄应于百叶箱尺寸配套（约540mm×330mm）。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3.座架为30mm×30mm×3mm角钢制成，立柱结实牢固。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支架与支撑杆之间用螺丝固定（可拆卸）。</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 百叶箱支架牢固的埋入地下，顶端约高出地面1200mm，埋入地下的部分，要涂防腐油。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百叶箱</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初中地理和小学科学教学和校内气象站使用。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箱体内尺寸约460mm×290mm×537mm（高、宽、深）。</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应选松木并经干燥脱脂处理，百叶为双层，人字形排列。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箱内外应涂白色漆，箱体榫接成形，应牢固，无变形。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箱内应有干湿球温度计和最高、最低温度计的固定架。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百叶箱顶盖应是横竖两层木板镶合而成，前面高于后面10mm，以保护箱内仪器免受损害。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教学电源</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适用于小学科学和初中化学教学演示实验用教学电源。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12V/5A，稳压。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1.交流输出：2V～12V，每2V一档，额定电流5A；</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2.直流稳压输出：1.5V～12V，分为1.5V、3V、4.5V、6V、9V、12V六档，额定电流2A，有过载保护；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3.电源开关采用无锁按钮，避免卡死失灵；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4.输出端子应采用φ4mm防脱帽的插、接两用铜芯接线柱（可插可接）；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5.每台电源应附有备用保险管3只；</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6.其余应符合JY0361第4章有关规定。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电池盒</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㈠适用范围、型号规格：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适用于小学科学教学实验用。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1.电池盒由塑料盒底、正负极弹簧片、插接件组成。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2.电池盒为组装式，配1号电池,四个为一组;即可并联多个,也可串联多个，组合方便，接触性好。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3.盒体用无毒、性能较好的塑料注塑而成，表面光洁，色泽均匀，无尖端、无毛刺。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4.导电片为铜质，不得有氧化现象,额定工作电流为1A。</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5.弹簧经钝化处理，夹持应稳定，其夹持力应≥2.5N。</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直尺</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小学、初中实验测量长度使用，500mm.执行JY168标准。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软尺</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适用于初中生物和小学科学实验测量用。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规格：1500mm。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材料：布制涂漆，宽度15mm，表面印有从0～1500mm的标志。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外观应平整、光滑。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 刻度线清晰，字迹清楚。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 最小分度值：2mm。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5. 示值误差：±1mm。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6. 线纹宽度应为0.3mm～0.5mm。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托盘天平</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初中物理、化学及小学科学实验教学称量用。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规格：500g、0.5g,所配砝码为6级（M2级）。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外形尺寸：300㎜×120㎜×175mm,托盘直径120mm。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 双托盘、单杠等臂式、横梁上装有刻度尺。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最大称量500克，刻度尺最大称量10克。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最小分度值0.5克。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 最大称量时感量为0.5克。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 配6级砝码及镊子一套。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7. 天平应符合GB4168第2章的有关要求级JJG156第1章要求。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8. 砝码应符合GB4167第2章的有关要求。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金属钩码</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适用于小学科学教学演示实验和学生分组实验用钩码。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50g×10。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结构、外观应符合JY 0001第6、7章有关要求及JY 105第1.3条要求。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材料应符合JY 105第2.1条要求，每只钩码质量为200g，密度应符合JY 105第2.3条要求，强度应符合2.5条要求。其余应符合2.6条要求。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体重计</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小学学生监测体重用。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规格：附测身高装置。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由金属底座、脚踏面、刻度盘、调零旋钮等构成。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体重计回零误差不大小1/2分度。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体重计任一点的平均示差不大小1个分度。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脚踏面和底座用厚度不小于2mm的金属板制成，稳定、牢靠，无变形现象。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5. 脚踏面上的观察面用有机玻璃制成，透明度良好，应能清楚的观察到刻度盘上的任一数字和刻度。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 刻度盘标有0～120kg的字迹和相应的刻度线，刻度线及字迹应清晰、均匀、工整。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 调零旋钮运用灵活，无卡滞现象。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 体重计的使用寿命不少于10000次。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 性能、结构、外观应符合JY0001第4、6、7章的有关要求。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电子停表</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㈠适用范围：适用于中学物理、生物和小学数学、科学实验教学计时用。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产品应采用微型电脑芯片，液晶显示屏。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外观质量：机芯在表壳组件应稳固，液晶屏显示清晰、表玻璃透明无伤、印字清楚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正确、表壳与玻璃后盖的配合应紧密，不得有明显的缝隙；表壳外棱角无锋利感；镀层无气泡，不脱落。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 分辨率：1/100s</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 工作电压：1.5或3.0V</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5. 走时精度：-0.5～+0.5s/d</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6. 产品还应符合QB/T1908-1993中4 技术要求中的有关条款。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7. 0.1s。</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块</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温度计</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实验教学温度计量用。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规格：红液0℃～100℃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1. 执行JJG 130标准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2.最小分度值：1℃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示值允差：±1.0℃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温度计各部位无严重内应力集中现象，不应有影响其强度及温度测量的缺陷。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 标度刻线和感温液柱清晰、醒目，不得有断线。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温度计</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实验教学温度计量用。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规格：水银0—100℃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最小分度值：1℃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示值允差：±1.0℃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温度计各部位无严重内应力集中现象，不应有影响其强度及温度测量的缺陷。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标度刻线和感温液柱清晰、醒目，不得有断线。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 执行JJG 130标准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体温计</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小学和中学物理实验测量温度用。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产品为腋下用玻璃体温计。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测量范围为：35℃～42℃。39℃以上，误差小于±0.2℃。39℃以下，误差小于±0.15℃。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刻度均匀、清晰，不得有断线。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应符合《GB/T 21416-2008 医用电子体温计》标准。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寒暑表</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中学物理、地理和小学科学教学演示实验用。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由木质材料镶嵌玻璃棒芯组成。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采用摄氏（℃）和华氏（℉）木板双刻度，面板标有：摄氏 -30℃～50℃；华氏 -20℃～120℃的标志。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玻璃棒芯感温液，正面放大玻璃液读数。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温度准确度：±1℃（0℃～30℃）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 最小分度值：1℃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 储藏条件：-30℃～60℃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7. 参考尺寸：不小于250mm×49mm×9mm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8. 性能、结构、外观应符合JY0001第4、6、7的有关要求。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最高温度表</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小学科学教学演示实验用。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1.感液及示值范围：红液，-16℃～+81℃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2.标志，刻度清晰，字迹清楚。液柱不应有中断现象。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3.玻璃管表面平整光洁，无划痕、气泡、结石、条纹等现象。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4.温度计各部位应经良好退火，无严重内应力集中现象。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最低温度表</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小学科学教学演示实验用。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1.感液及示值范围：红液，-52～+41℃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2.标志，刻度清晰，字迹清楚。液柱不应有中断现象。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3.玻璃管表面平整光洁，无划痕、气泡、结石、条纹等现象。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4.温度计各部位应经良好退火，无严重内应力集中现象。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条形盒测力计</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适用于中学物理教学和小学科学教学及学生分组实验用测力计。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J2101型， 5N。</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结构、外观应符合JY0001第6、7章有关规定及JY0127第4.3条要求。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零位可调、拉力式条形盒型、最大量程5N，最小分度值0.2N。</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 其余应符合JY0127第5章的有关要求。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条形盒测力计</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适用于中学物理教学和小学科学教学及学生分组实验用测力计。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J2101型， 2.5N。</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结构、外观应符合JY0001第6、7章有关规定及JY0127第4.3条要求。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零位可调、拉力式条形盒型、最大量程5N，最小分度值0.2N。</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 其余应符合JY0127第5章的有关要求。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条形盒测力计</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适用于中学物理教学和小学科学教学及学生分组实验用测力计。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J2101型， 1N。</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结构、外观应符合JY0001第6、7章有关规定及JY0127第4.3条要求。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零位可调、拉力式条形盒型、最大量程5N，最小分度值0.2N。</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 其余应符合JY0127第5章的有关要求。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多用电表（原来26--现40）</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㈠适用范围、型号规格：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适用于中学物理、化学和小学科学实验教学。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J0401型。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参考测量范围：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直流电压：0～2.5～10～50～100～250～500～1000V；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交流电压：0～10～50～250～500V；</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直流电流：0～0.05～0.5～5～50～500mA； 2.5A；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电    阻：0～2～20～200～20000KΩ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电    平：-10～＋16～＋30～＋42～＋50～＋56dB；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电    容：0～0.05μf</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电    感：20～1000H；晶体管放大系数（hFE）：0～300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准确度等级：直流电压、电流2.5级；交流电压、电流5.0级；电阻：2.5级。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灵敏度：直流≥20K</w:t>
            </w:r>
            <w:r>
              <w:rPr>
                <w:rFonts w:ascii="BatangChe" w:hAnsi="BatangChe" w:eastAsia="BatangChe" w:cs="BatangChe"/>
                <w:i w:val="0"/>
                <w:color w:val="000000"/>
                <w:kern w:val="0"/>
                <w:sz w:val="20"/>
                <w:szCs w:val="20"/>
                <w:u w:val="none"/>
                <w:lang w:val="en-US" w:eastAsia="zh-CN" w:bidi="ar"/>
              </w:rPr>
              <w:t>Ω</w:t>
            </w:r>
            <w:r>
              <w:rPr>
                <w:rFonts w:hint="eastAsia" w:ascii="宋体" w:hAnsi="宋体" w:eastAsia="宋体" w:cs="宋体"/>
                <w:i w:val="0"/>
                <w:color w:val="000000"/>
                <w:kern w:val="0"/>
                <w:sz w:val="20"/>
                <w:szCs w:val="20"/>
                <w:u w:val="none"/>
                <w:lang w:val="en-US" w:eastAsia="zh-CN" w:bidi="ar"/>
              </w:rPr>
              <w:t>/V，交流≥9K</w:t>
            </w:r>
            <w:r>
              <w:rPr>
                <w:rFonts w:ascii="BatangChe" w:hAnsi="BatangChe" w:eastAsia="BatangChe" w:cs="BatangChe"/>
                <w:i w:val="0"/>
                <w:color w:val="000000"/>
                <w:kern w:val="0"/>
                <w:sz w:val="20"/>
                <w:szCs w:val="20"/>
                <w:u w:val="none"/>
                <w:lang w:val="en-US" w:eastAsia="zh-CN" w:bidi="ar"/>
              </w:rPr>
              <w:t>Ω</w:t>
            </w:r>
            <w:r>
              <w:rPr>
                <w:rFonts w:hint="eastAsia" w:ascii="宋体" w:hAnsi="宋体" w:eastAsia="宋体" w:cs="宋体"/>
                <w:i w:val="0"/>
                <w:color w:val="000000"/>
                <w:kern w:val="0"/>
                <w:sz w:val="20"/>
                <w:szCs w:val="20"/>
                <w:u w:val="none"/>
                <w:lang w:val="en-US" w:eastAsia="zh-CN" w:bidi="ar"/>
              </w:rPr>
              <w:t>/V</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 影响量的标准值应符合JY 0330第5.1条要求。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 基本误差极限应符合JY 0330第5.2条要求。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5. 升降变差应符合JY 0330第5.2.2条要求。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6. 标称适用范围和改变量应符合JY 0330第5.3条要求。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7. 阻尼应符合JY 0330第5.4条要求。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8. 标度尺与表度盘除应符合JY 0330第5.5条要求。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9. 指针应符合JY 0330第5.6条要求。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10. 偏离零位和零位调节器应符合JY 0330第5.7条要求。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11. 表壳应符合JY 0330第5.8条要求。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12. 面板与装配应符合JY 0330第5.9条要求。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13. 仪器的性能、安全、结构及外观的一般要求应分别符合JY 0001第4、5、6、7章的有关要求。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14. 产品标志应符合JY 0330第5.10条要求。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15. 仪表和（或）附件的过载能力应符合JY 0330第5.11条要求。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16. 其他应符合JY 0330第5.12、5.13、5.14、5.15条要求。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湿度计</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初中物理和小学科学实验教学用。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规格：指针式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由铁皮外壳、玻璃面罩、游丝、指针、刻度盘组成。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铁皮外壳、外壳上装有悬挂装置。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 刻度盘为圆形，刻度盘厚度不小于1mm，直径不小于100mm。标有 计量仪器标志。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 铁皮外壳、刻度盘的漆层附着牢固，不脱落，表面平整光滑、薄厚均匀，不应有剥落和露底。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5. 盘面印有0%～100%的刻度，最小分度值1%，刻度清晰，字迹清楚，示值允差±5%。指针转动灵活，无卡滞现象。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6. 结构、外观应符合JY 0001第6、7的有关要求执行。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指南针</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初中地理和小学科学教学分组实验用。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指南针由塑料圆盒、方位盘、小指针、有机塑料盖组合。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塑料圆盒直径不小于50mm，并带有悬挂孔。</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塑料圆盒内的方位盘中央印有八方向标志，边缘每50划一短细分度线，划线应均匀，清晰无断线，每150标明不同方位的刻度，字迹清楚。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4. 指针轴承座镶嵌玻璃轴承，小指针印有蓝红两色标志南北极。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 有机塑料盖透明度良好，表面清洁无划痕，无溶迹、缩迹且无毛刺破边现象。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肺活量计</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㈠适用范围、规格型号：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适用于小学科学教学用。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规格型号：FLG-A型单浮筒式肺活量计。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量程：0～7000ml。</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环境温度范围：-40℃～55℃。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 环境湿度范围：≤90°。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4.误差≤5%，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5. 产品表面应细致、光滑，不应有毛刺，接合紧密、牢固。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6. 产品还应符合JY0001-2003中第4、5、6、7章的有关要求。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7. 一次性吹嘴。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雨量器</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小学科学课分组实验用。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1.由承水器（漏斗）、储水筒（外筒）、储水瓶组成。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2.承水口内径：Φ200mm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3.雨量量筒标准范围：0.05mm～10mm ；雨量量筒的最小分度：0.1mm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4.储水器容量：2000ml～2500ml。</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风杯式风速表</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小学科学课分组实验用。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有直读装置。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可测量风速范围：1m/s～30m/s。</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风向0°～360°（分16个方位）。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旋杯启动风速0.8m/s。</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测量精度：修正后小于0.4m/s，读取方位时误差不大于1个方位。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斜面</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适用于小学科学实验教学用。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由斜面板、摩擦块、砝码桶、支撑杆等组成。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斜面板：尺寸：815㎜×100㎜×20㎜，刻度0～80㎝。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摩擦块也称滑块：为木制品，尺寸：100㎜×80㎜×40㎜，有二个摩擦面不涂漆，100㎜×80㎜和100㎜×40㎜二个面。二个摩擦面的背面都有砝码槽。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砝码桶质量小于6g。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压簧</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适用于小学科学实验教学用。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压簧采用直径1.5mm优质钢丝绕制而成。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自然长度为58mm，绕制直径30mm。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其余应符合JY 0001第4、5、6、7章要求。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拉簧</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适用于小学科学实验教学用。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1.拉簧采用直径1.5mm优质钢丝绕制而成。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自然长度为58mm，绕制直径30mm。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拉簧两端带挂钩。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其余应符合JY 0001第4、5、6、7章要求。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沉浮块</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适用于小学科学实验教学用。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实验套件配备器材如下：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序号 名称 规  格 数量 备注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1 水槽及盖  1套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 立方体块 大小不同，质量相同 5个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3 半球体 大小相同，质量不同 4个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4 圆柱筒 φ30×56mm，45g 1个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 浮体 塑料鸡蛋，内空，可打开 1个 可改变质量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 浮筒 带盖 1个 可改变质量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2。同体积不同质量、同质量不同形状、可改变质量等物体。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3.其余应符合JY 0001第4、5、6、7章要求。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杠杆尺及支架</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适用于小学科学实验教学用。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外形不小于420mm×28mm×7mm,结构及外观的一般要求应分别符合JY 0001的相关要求。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产品性能满足小学科学实验教学的要求。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个  </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滑轮组及支架</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适用于小学科学实验教学用。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结构及外观的一般要求应分别符合JY 0001的相关要求。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产品性能满足小学科学实验教学的要求。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轮轴及支架</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适用于小学科学实验教学用。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结构及外观的一般要求应分别符合JY 0001的相关要求。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产品性能满足小学科学实验教学的要求。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齿轮组及支架</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适用于小学科学实验教学用。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学具盒内配备器材如下表：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序号 名称 规格 数量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立杆 φ11×210 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盒底 280×100×36 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盒盖 285×100×10 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固定螺丝 M4×12 3</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 大齿轮 m=2z=28 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 小齿轮 m=2z=14 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 摇手  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2.各个部件组装后转动顺畅，咬合紧密。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弹簧片</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适用于小学科学实验教学用。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结构及外观的一般要求应分别符合JY 0001的相关要求。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产品性能满足小学科学实验教学的要求。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小车</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105×60×25mm，小车一端有挂钩，另一端有纸带夹，直线运动偏差小于5mm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三球仪</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初中地理和小学科学实验教学用。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仪器结构应包括：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日球：用灯泡代替，它的中心高度与地轴中心高相等。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地球：上北下南，中间红线表示赤道，赤道两侧是南、北回归线，上下两圈表示南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北极圈。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月球：中心平均高度应与地球中心高相等。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地轴：倾斜角度为23.5°，地球绕太阳旋转永远朝着一个方向。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节气盘：应表示春、夏、秋、冬四季，应具有地球绕太阳旋转的指示针。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月相盘：用于表示月相位置。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月球轨道：月球绕地球旋转，应呈25°左右角。</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各部比例应符合科学性，着色应鲜明、清晰。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 转动应灵活，运动轨迹符合各相关比例，稳定性良好。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太阳高度测量器</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小学科学教学学生测量太阳高度角用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仪器由铝制量角器、测量架、重锤、底座等组成，应能测量太阳在天体座标中高度。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仪器底座应装置调平螺丝，并使重锤能对准基尖。</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旋转测量架十字孔与投影屏十字线的同轴度≤0.1mm。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其余应符合JY 0001第4、5、6、7章要求。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风的形成实验材料</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适用于小学科学课教学演示用。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其材料由箱体、蜡烛、蚊香、火柴组成。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箱体由不小于2mm的铁皮制成，箱体尺寸不小于300mm×200mm×150mm,漆层附着牢固，不脱落，表面平整光滑、薄厚均匀，不应有流疤、剥落和漏底。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观察面用玻璃或有机玻璃制成，玻璃应符合 JY 0001表4的有关要求，有机玻璃透明度良好，表面无划痕、气泡。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箱体内部涂漆颜色与烟雾颜色有显明对比。</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 箱体左侧开有圆形小孔，小孔直径约20mm。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 配二支蜡烛，高度不小于80 mm，直径约18mm。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 结构、外观应符合JY 0001第6、7章有关规定。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组装风车材料</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适用于小学科学实验教学用。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由风车叶二份（为一方型纸板）和手持轴柄组成。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轴柄端塑料小球拧动顺畅，咬合紧密。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风车叶轴柄间转动顺畅，迎风即可转动，无风时用嘴吹风也可以转动。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组装水轮材料</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㈠适用范围、规格型号：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小学科学教学演示实验用。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由底板、叶轮芯、叶轮片6片，C形支架等组成。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2．全塑料制成，叶片可旋转角度。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3．可立式，卧式安装，配有彩色安装图。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太阳能的应用材料</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㈠适用范围、规格型号：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小学科学教学演示实验用。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仪器由太阳能电池板、小电机插件组成。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2．太阳能电池板：最大开路电压约3.4V，最大短路电流约50mA。</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3．小电机插件：工作电压3V，工作电流约30mA。</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音叉</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㈠适用范围、型号规格：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适用于中学物理教学演示实验用F256音叉。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J2204型，F256音叉。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1.音叉表面镀铬，音叉表面应有256频率标志。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2.音叉叉股宽约8.54mm；两叉股内间距8.94；音叉全长不小于200mm。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3.叉股厚度不小于5.5mm。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4.音叉磓用橡胶制作，球半径约25mm。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5.杆为木材，长度为约182mm。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6.频率：256Hz±0.5Hz。</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7．执行JY227标准。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小鼓</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㈠适用范围、规格型号：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小学科学教学演示实验用。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圆形，直径不小于150mm，高度不小于45mm。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2．木制壳体，两面羊皮鼓面，带有挂带，二个小锤。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3．每个小鼓应硬纸盒包装。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组装土电话材料</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㈠适用范围、规格型号：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小学科学教学演示实验用。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本仪器有塑料外套、土电话筒、薄膜、导线等组成。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2．产品应符合JY0001《教学仪器产品一般质量要求》。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热传导实验材料</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㈠适用范围、规格型号：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小学科学教学演示实验用。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由木片，金属片，塑料片，玻璃片，陶瓷片、棉花、石棉等材料组成，配有塑料盒体。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2．其中金属片2片，木片、金属片、塑料片、玻璃片、陶瓷片长80mm，宽20mm，厚0.5～4mm.。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3．产品应符合JY0001《教学仪器产品一般质量要求》。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物体热涨冷缩实验材料</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㈠适用范围、规格型号：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小学科学教学演示实验用。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由铜球、塑料球、实验环组成。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2．铜球、塑料球直径不小于Ф19mm。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3．铜球、塑料球、均应带有悬挂链及手柄。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4．实验环与铜球，塑料球直径相配套，带有手柄，实验效果明显。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灯座及灯泡</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㈠适用范围、规格型号：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小学科学实验教学用。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由螺口灯座，底部电极，连接片，接线柱和底板组成，导电部分为铜质。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2．底座：75mm×35mm×10mm，工作电压不大于36V，工作电流不大于2.5A。</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3．执行JY 116标准。配2.5V小灯泡1个。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开关</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适用于小学科学实验教学。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工作环境：温度0～50℃，湿度：≤90%RH。</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额定电压：AC220V/50Hz。</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额定电流：10A。</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接触电阻：≤20mΩ。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 绝缘电阻：≥100MΩ。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 抗电强度：≥500V。</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物体导电性实验材料</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㈠适用范围、规格型号：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小学科学教学演示实验用。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由透明杯体、杯盖、电极，插座卡，发光二极管，电池盒及测试片（铜、铁、铝、塑料）组成。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2．电池使用5#电池两节。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条形磁铁</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㈠适用范围、型号规格：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适用于中学物理和小学科学实验教学用条形磁铁。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D—CG—LT—180型。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结构外观应符合JY 0001第6、7章有关规定。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磁铁的外形尺寸为170mm×20.5mm×10mm。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 磁铁经高温老化处理后两磁极磁感应强度平均值应不小于70mT。</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 铝铁碳、铁氧体材料磁钢的磁特性(室温磁化到饱合后的最小值)应不小于下表规定：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材料牌号 型号 剩磁 矫顽力 最大磁能积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Br Wb/㎡ Hc  KA/m (BH)max  KJ/㎡</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铝铁碳 LTT3.6 0.50 11.2 2.8～3.6</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铁氧体 Y10T 0.20 128～160 6.4～9.6</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Y15 0.28～0.36 128～192 14.3～17.5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 其它技术要求应符合JY 0057第6章要求。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条形磁铁</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㈠适用范围、型号规格：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适用于小学科学实验教学用条形磁铁。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学生用，条形。铁氧体材料，磁铁长36㎜，宽9㎜，厚6㎜，成对配置。产品符合JY 0122-91《小学磁铁性质实验盒》中有关条形磁铁的要求。一对产品有一个纸盒包装。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蹄形磁铁</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after="200" w:afterAutospacing="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㈠适用范围、型号规格：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适用于中学物理和小学科学实验教学用蹄形磁铁。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D—CG—LU—80型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结构外观应符合JY 0001第6、7章的有关规定。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其它技术要求符合JY 0057第4章的有关规定。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 磁铁经高温老化处理后两磁极磁感应强度平均值应不小于70mT。</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 铝铁碳、铁氧体材料磁钢的磁特性(室温磁化到饱合后的最小值)应不小于下表规定：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材料牌号 型号 剩磁 矫顽力 最大磁能积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Br Wb/㎡ Hc  KA/m (BH)max  KJ/㎡</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铝铁碳 LTT3.6 0.50 11.2 2.8～3.6</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铁氧体 Y10T 0.20 128～160 6.4～9.6</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Y15 0.28～0.36 128～192 14.3～17.5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蹄形磁铁</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after="200" w:afterAutospacing="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㈠适用范围、型号规格：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适用于小学科学实验教学用蹄形磁铁。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D—CG—LU—80型（D—CG—LU—100型）。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结构外观应符合JY 0001第6、7章的有关规定。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其它技术要求符合JY 0057第4章的有关规定。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 磁铁经高温老化处理后两磁极磁感应强度平均值应不小于70mT。</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 铝铁碳、铁氧体材料磁钢的磁特性(室温磁化到饱合后的最小值)应不小于下表规定：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材料牌号  剩磁 矫顽力 最大磁能积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Br Wb/㎡ Hc  KA/m (BH)max  KJ/㎡</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铝铁碳 LTT3.6 0.50 11.2 2.8～3.6</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铁氧体 Y10T 0.20 128～160 6.4～9.6</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Y15 0.28～0.36 128～192 14.3～17.5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磁针</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㈠适用范围、型号规格：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适用于小学科学教学演示实验用磁针。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J2405型。翼形磁针，每组2支。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磁针体长140±2.0㎜、宽8±0.7㎜。</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支座底径71±1.5㎜，总高112±1.7㎜。</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 磁针平均剩磁不小于9mT。</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 其余应符合JY 0012第5章的有关要求。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环形磁铁</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㈠适用范围、型号规格：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适用于小学科学实验教学用。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由两只厚度为5.5mm，Ф16 mm×5 mm的环形强力磁铁组成。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每只磁铁上有红、蓝两面，分别表示N、S两极。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 其余应符合JY 0012第5章的有关要求。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电磁铁组装材料</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适用于小学科学实验教学。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电磁铁组装材料由以下配件组成：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序号 名  称 数量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U形铁芯 1个</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圆柱形铁芯 1个</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线    圈 2个</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小指南针 2个</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 衔  铁 1个</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 联接线 3根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 塑料盒 1只</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 大头针 5枚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采用1号电池一节提供1.5V电源。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线圈有二组，每组线圈约200匝，中间有抽头，每组线圈配有3个接线柱，可在U形铁芯和圆柱形铁芯上互换使用。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U形铁芯配有衔铁，铁芯和衔铁均有挂钩，供吸合时作拉力实验用。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5. 其余应符合JY 0012第5章的有关要求。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电磁铁</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㈠适用范围、型号规格：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适用于小学科学实验教学用。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由一个U形铁芯、两个线圈和一块衔铁组成。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铁芯上部和衔铁下方中间均有挂钩。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 线圈外面有绕向标志。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 其余应符合JY 0012第5章的有关要求。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5.演示用。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手摇发电机</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小学科学实验演示发电机的工作原理用。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电源型。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由底座、电刷、磁块，大、小皮带轮，手柄轴、电路板等组成。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交流输出电压≥1.5V，两只发光二级管交替发光。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磁块应有N极S极标志，Ｎ极为红色，Ｓ极为白色或蓝色。</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各部件无明显缺陷，配合良好。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 整机结构紧凑，效果明显。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激光笔</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㈠适用范围、规格：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小学科学教学用。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1.产品由塑胶笔身和激光头、钮扣电池组成。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2.使用范围7-15m，波长650nm。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小孔成像装置</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㈠适用范围、型号规格：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适用于小学科学教实验教学用。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产品由烛台、小孔板、毛玻璃、投影屏及底座组成。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其余应符合JY 0012第5章的有关要求。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平面镜及支架</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㈠适用范围、型号规格：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适用于小学科学教实验教学用。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由平面镜、支架组成。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2.平面镜为镀膜玻璃镜，不小于135mm×75 mm×4 mm。镜面光滑无痕、镀层均匀。边缘整齐无裂纹。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3.性能、安全、结构、外观应符合JY 0001第4、5、6、7的有关要求执行。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透镜、棱镜及支架</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㈠适用范围、型号规格：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适用于小学科学教实验教学用。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由柱形凹、凸透镜、三棱镜固定的实验平台，带三缝光栏的光源两部分组成。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光源：直流 6V/5W。</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 光源用圆杆作立柱，实验平台用互成直角的铁片作立柱</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 其余应符合JY 0012第5章的有关要求。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成像屏及支架</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光屏、支杆和支架组成，光屏表面光洁，无毛刺，支架安装方便，灵活。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昆虫观察盒</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小学科学教学课内外观察各种昆虫形态用。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带放大镜盖。</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盒体尺寸：75mm×75mm×70mm ，镜片直径50mm，放大倍数不小于5×；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镜片无明显气泡，条纹，结石及破边等缺陷，透明度良好；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盒体用聚苯或其它透明材料制作,模具成形,应光滑、平整、透明、无毛刺、划痕、裂纹等缺陷；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底座（盒子下底）应划分为均等的方格（3×3），盒体与盒盖配合良好，开启方便。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动物饲养笼</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小学科学课分组饲养小动物用。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1.由箱体和观察面组成。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2.箱体由木质或塑料件制成，观察面用金属网制成，表面作防锈处理。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3.箱体由直径2mm的钢丝制造，钢丝间距约为30mm，尺寸约400mm×270mm×330mm,箱体开启放便。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4.塑料件、金属件应符合 JY 0001的7.7和7.2条的有关要求。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5.性能、结构、外观应符合 JY 0001第4、6、7章的有关要求。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塑料注射器</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㈠适用范围、规格型号：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小学科学教学演示实验用。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医用，一次性注射器，30ml。</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2．产品应符合JY0001《教学仪器产品一般质量要求》。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儿童骨骼模型</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（一）适用范围、规格：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小学科学课演示用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少年体型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产品应采用硬质塑料或复合材料制成，为男性少年体型骨骼模型，串制成正常直立姿势立于支架上，模型高65-70cm。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直立的骨骼模型从生理弯曲和骨的颜色上应突出少年型的特征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 骨的形态特征应明显清晰，软骨和骨在质感和颜色上应有明显区分。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 在同一模型上，同一种颜色的另件，不得有目视上的色差。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5. 骨的比例应正确，胸腔各径应准确，骨盆各角度应近似实际。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6. 产品应执行JY 159的全部要求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7. 支架底座应有足以稳定模型的质量，连接物应为不锈钢丝或铜丝。</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8. 模型各部位应贴名签或号签，如贴号签应作注解，贴在适当位置。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儿童牙列模型</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小学科学教学演示用。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儿童牙列模型（附牙刷）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模型取正常儿童男性牙齿的上颌和下颌部分，用蛇形管连接，可自由张开、闭合，并附牙刷。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上颌和下颌由玻璃纤维增强硬塑料制成，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规格：上颌部分：不小于160mm×130mm×60mm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下颌部分：不小于160mm×130mm×55mm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 蛇形管由金属材料制成，外表面镀铬处理，可使上下颌闭合、张开。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 模型上下颌的牙齿形状、大小、排列顺序应符合儿童的生理特点。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5. 上下颌及牙齿颜色符合JY 0001第9章的有关要求。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少年人体半身模型</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小学科学实验教学演示用。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应为少年体型。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产品选用硬质塑料或复合材料制作的高65-70cm的男性少年人头、颈、躯干解剖模型。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产品应显示人体内脏器官的正常位置，形态结构及相互关系，重点显示呼吸、消化和泌尿三个系统。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 内脏各器官形态正确，比例适当，纹理清晰，连接正确，切面平整，注意少年生理发育特征。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 各部结构着色应准确、鲜明，颜色不应溶出分界。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5. 头颈部应作正中矢状切面，颈部作水平切面。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6. 胸腹部两侧近腋前线切下胸腹壁，在其断面上示肋骨和胸腹壁肌。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7. 心脏、两肺、气管和支气管、食管与胸主动脉、膈、肝、胃、肠和脾均可拆下，归位应方便。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8. 金属另件和嵌件均应作表面处理，定位准确牢固，松紧适度，拆装方便。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9. 模型上各部位或器官均应贴名签或号签，如贴号签必须有对应的注解，贴在合适位置。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10. 产品应执行JY 158的全部规定。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眼构造模型</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适用于小学科学实验教学用。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结构及外观的一般要求应分别符合JY 0001的相关要求。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产品性能满足小学科学实验教学的要求。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啄木鸟仿真模型</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（一）适用范围 ：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适用于小学科学课教学、陈列。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模型应为自然大小、居于一段树干上，用喙捉虫的仿真模型，整体固定在底盘上。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模型应用羽毛全部覆盖成型的体架，各种羽毛的分布与着色应呈自然状，特征鲜明、逼真、形象。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 应显示喙直坚硬，末端尖锐的特征。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 应符合JY0001中9.7～9.8的规定。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件</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猫头鹰仿真模型</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适用于小学科学课课堂教学、陈列。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模型应为自然大小、棲于一段树干上的仿真模型，整体固定在底盘上。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模型应用羽毛全部覆盖成型的体架，各种羽毛的分布与着色应呈自然状，特征鲜明、逼真、形象。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 应突出眼睛的瞳孔大，喙坚硬，末端尖锐，向下钩曲，趾端有长而锐利的钩爪。</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 应符合JY0001中9.6～9.7的规定。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件</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平面政区地球仪</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初中地理教学用。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（二）技术要求：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1、产品由球体、支架（包括底座）、时区环等组成。Ф32cm，比例尺为1/40000000。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2、球体正圆，可以在支架上自由转动，能停止在任一位置，静置和转动能有一定稳度。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3、地轴的倾角66.5°，春分、夏至、秋分、冬至四季点在同一平面上。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4、各瓣图片之间的纬线、地物都接准，在南北纬60°之间，其错动、重叠和裂隙一般不超过0.3mm，个别线段不超过0.5mm。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5、嵌贴之球面不得有压字、压线和重字，重线、国界线清楚，不得有压盖、间断和错位。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6、球面不得有明显的裂纹和起皱。</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7、球面用胶质薄膜层保护、光亮整洁，能防潮防污。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平面地形地球仪</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初中地理教学用。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（二）技术要求：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1、产品由球体、支架（包括底座）、时区环等组成。Ф32cm，比例尺为1/40000000。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2、球体正圆，可以在支架上自由转动，能停止在任一位置，静置和转动能有一定稳度。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3、地轴的倾角66.5°，春分、夏至、秋分、冬至四季点在同一平面上。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4、各瓣图片之间的纬线、地物都接准，在南北纬60°之间，其错动、重叠和裂隙一般不超过0.3mm，个别线段不超过0.5mm。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5、嵌贴之球面不得有压字、压线和重字，重线、国界线清楚，不得有压盖、间断和错位。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6、球面不得有明显的裂纹和起皱。</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7、球面用胶质薄膜层保护、光亮整洁，能防潮防污。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地球构造模型</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适用于小学科学课演示地球构造及结构用。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模型用无毒材料制成，色泽美观、颜色搭配协调、合理。各地球构造、位置排列分布内容正确。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产品表面无破损、裂纹及脱色现象。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 模型应能演示：地表的基本面貌、地球的内部圈层、地壳结构、折皱、断裂等小学科学课课程标准所规定的演示内容。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 产品外观、结构、性能等要求应符合JY0001标准第4、5、6、7章的有关技术要求。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件</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月相变化演示器</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适合于小学科学讲授月相变化的直观过程用。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1.能快速直观的演示出一个月内月相的变化。月相变化由（多个月-峨眉-上弦月凸月满月-下弦月-峨眉月-多个月）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2.能满足教材教学实验要求，演示效果明显、准确，符合自然科学原理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件</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蟾蜍浸制标本</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适用于小学科学课堂演示。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用大形蟾蜍或青蛙制作。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其它技术要求应符合JY145第2章的有关要求。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 标本一般应牢固地绑缚在衬板上，装于无色透明的容器内，并固定衬板，使之不能串动。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 容器的口与盖应密合。容器应无色透明、形态端正，无破损及妨碍观察标本的各种缺陷。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5. 产品不得倒置或横位存放，也不得在0℃以下的环境中运输。产品保管的环境温度为0℃～40℃，并应避免阳光直射。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6. 其它技术要求应符合JY143第3章的有关要求。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河蚌浸制标本</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适用于小学科学课堂演示。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标本应选用前后端长度不小于80mm的河蚌制作。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标本一般应牢固地绑缚在衬板上，装于无色透明的容器内，并固定衬板，使之不能串动。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 容器的口与盖应密合。容器应无色透明、形态端正，无破损及妨碍观察标本的各种缺陷。标本一般应牢固地绑缚在衬板上，装于无色透明的容器内，并固定衬板，使之不能串动。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 产品不得倒置或横位存放，也不得在0℃以下的环境中运输。产品保管的环境温度为0℃～40℃，并应避免阳光直射。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5. 其它技术要求应符合JY143第3章的有关要求。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爬行类动物浸制标本</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适用于小学科学课堂演示。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用体长不小于100mm蜥蜴制成。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标本沿腹中线切开，体壁翻向两侧，前、后肢体自然伸展。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 口呈张开状示舌，头基两侧的耳孔和背部的鳞片保持完整。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 标本一般应牢固地绑缚在衬板上，装于无色透明的容器内，并固定衬板，使之不能串动。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5. 容器的口与盖应密合。容器应无色透明、形态端正，无破损及妨碍观察标本的各种缺陷。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6 产品不得倒置或横位存放，也不得在0℃以下的环境中运输。产品保管的环境温度为0℃～40℃，并应避免阳光直射。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7. 其它技术要求应符合JY143第3章的有关要求。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蛙发育顺序标本</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适用于小学科学课堂演示。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产品由蛙的下列八个发育期组成：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①单细胞期；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②尾芽期（已能区分头尾）；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③具外鳃的蝌蚪；</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④具内鳃蝌蚪；</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⑤具后肢的蝌蚪；</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⑥具前后肢的蝌蚪；</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⑦尾缩期的蝌蚪</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⑧幼蛙。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①～③期在容器中不定位，④～⑧期以腹面向下定位。再按发育顺序自左向右排列。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 应符合JY143-82《动物浸制标本通用技术条件（试行）》的规定。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 ①～②期中的每一个标本应具透明、清晰和膨胀的卵胶膜。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5. ①～③期的标本应各不少于五个。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6. ③期的标本应能目见不少于一对外鳃。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7. ④期的标本一个腹面向下，一个腹面向上，互相平行。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8. ⑤期与⑦期的尾长应有明显区别。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9. ⑦期与⑧期所显示的色泽和斑纹应基本相似。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10. 标本具下列一项时为二级品；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10.1 单细胞期的卵胶膜不膨胀；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10.2 卵胶膜混浊。但尚能透见标本的形态；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10.3 不能目视外鳃，但在3×放大镜下尚能见到。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昆虫标本</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（一）适用范围、规格：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适用于小学科学课学习观察用。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规格：常见益虫,害虫各（6-7）种。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产品应包括六种以上的常见益虫、害虫标本，固定，成套，装盒。</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标本应固定牢固，不易脱落，不应有虫蛀。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 盒应便于观察，不易破损，接合紧密并有防虫措施。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桑蚕生活史标本</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小学科学实验教学用。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标本应由卵、四龄幼虫、蛹、雌雄成虫及茧组成，附蚕丝、丝绸及桑叶。按生活史顺序排列。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卵、幼虫和蛹浸制或干制,成虫干制,浸制标本定位封装在安瓿内。蚕体清洁，桑叶应作保色或染色处理展平。茧两个，大小、色泽应相似，不应变形，一个示完整的外形，另 一个纵剖示茧内的蛹和脱下的皮，蛹体完整，不变形，呈棕黄色、背面向下定位。雌雄成虫体形正常，易于区分，针插，展翅，鳞片和触角应完整。蚕丝成束色白，丝绸品应洁净，不小于30mm×30mm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 各部应有名签，贴在各标本的下部，排列整齐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 其余应符合JY 0325第4.1－4.10条要求。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兔外形标本</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（一）适用范围：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适用于小学科学课教学演示用。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兔外形应直观、逼真，兔毛清洁，无脱毛现象。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标本应经过防腐处理。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 填充物应采用清洁卫生，质地柔软的材料，填充保满，无变形现象。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 应有一稳定的底座，标本与底座结合牢固。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5. 结构、外观应符合JY0001中第6、7章的规定。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件</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植物种子传播方式标本</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小学科学教学了解植物种子的传播方式用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应按照植物种子传播方式的不用，分别制作不同的标本，主要由随风传播标本、果实成熟时弹开传播标本、借助动物咬食传播标本、借助水漂浮传播标本、借助动物身体传播标本等部分组成。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各个组成部分应直观、清晰，形态完整，制作洁净。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 各个组成部分应能长期保存不腐烂，不变形。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 其余技术要求应符合JY 0001第10章的有关要求。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矿物标本</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小学科学地理知识教学观察用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小学科学教学使用的矿物标本应包括四种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选用的标本必须特征显著、清晰、易于辨识，表面应清洁无尘或粘附其它杂质。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块状标本应选用未经风化的原产矿物，至少有一个新鲜断面。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4. 其余应符合JY 0001和JY 156有关要求。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岩石标本</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小学科学地理知识教学观察用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1.小学科学教学使用的岩石标本应包括岩石五种。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2.选用的标本必须特征显著、清晰、易于辨识，表面应清洁无尘或粘附其它杂质。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3.块状标本应选用未经风化的原产岩石，至少有一个新鲜断面。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4.其余应符合JY 0001和JY 156有关要求。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金属矿物标本</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小学科学地理知识教学观察用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1.小学科学教学使用的金属矿物标本盒包括以下五种：铜、铁、铝、钨、锡等矿物标本。</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选用的标本必须特征显著、大小适当、标注齐全、完整、正确，表面应清洁无尘或粘附其它杂质。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3.块状标本应选用未经风化的原产矿物，至少有一个新鲜断面。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4.性能、结构、外观应符合JY0001第4、6、7章的有关要求。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土壤标本</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小学科学地理知识教学观察用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1.产品黏质土、壤土、腐殖土、沙质土组成；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2.每种标本应做干燥处理，并装入Φ28mm×58mm玻璃瓶封装，瓶上应贴所装土壤的名称标签，应正确，清晰；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3.产品定位放置在盒内。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4.性能、结构、外观应符合JY0001第4、6、7章的有关要求。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矿物提炼物标本</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适用于小学科学实验教学用。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1.提炼物不少于7种；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2.每种标本应具有一定的可见度，能满足正常的教学需要；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3.标本应特征明显，在标本盒内固定牢靠。</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4.每种样品均应有相应标志性质、特征、用途的文字简介。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5.安全及外观的要求应分别符合JY0001标准的第4、5、7章的有关要求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洋葱表皮装片</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适用于小学科学课观察玻片标本用。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取材为新鲜的洋葱鳞片叶的表皮，每片取材不小于2×2㎜，四周剪切整齐。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取材平铺装片，不带表皮下的组织，可轻度染色。</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 在80×和200×显微镜下可清楚观察到排列整齐的许多小长方体（小格），同时可观察到细胞壁、细胞膜、细胞质及数个液泡。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 应符合JY67-82《生物玻片标本通用技术条件（试行）》的规定。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叶片横切</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适用于小学科学实验教学用。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结构及外观的一般要求应分别符合JY 0001的相关要求。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产品性能满足小学科学实验教学的要求。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107</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叶片气孔装片</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适用于小学科学实验教学用。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结构及外观的一般要求应分别符合JY 0001的相关要求。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产品性能满足小学科学实验教学的要求。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动物表皮细胞装片</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（一）适用范围：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适用于小学科学课显微镜观察叶片组织用。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标本应从刚死不久的动物尸体上取材。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在80×和200×学生显微镜下观察表皮细胞的显微结构。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 能看清表皮、真皮和皮下组织。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 在表皮部分应看清角质层、透明层、颗粒层、棘细胞层和基底层。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5. 符合JY67-82《生物玻片标本通用技术条件（试行）》的规定。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6. 其它技术要求应符合JY92的有关规定。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109</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蛙卵细胞切片</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（一）适用范围：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适用于小学科学课显微镜观察用。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标本取材于成团的单细胞蛙，染色。</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2.应符合JY67-82《生物玻片标本通用技术条件（试行）》的规定。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 其它技术要求应符合JY85的有关规定。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骨细胞切片</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（一）适用范围：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适用于小学科学课显微镜观察用。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采用骨细胞。</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在200×学生显微镜下观察骨细胞的结构。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 能看清在骨陷窝、骨小管中的骨细胞。</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 应符合JY67的有关要求。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口腔粘膜细胞装片</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（一）适用范围：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适用于小学科学课显微镜观察用。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选用清洁的口腔粘膜细胞；</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在200×学生显微镜下观察口腔粘膜细胞的结构；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 能看清复层扁平上皮和固有层及固有层中的小唾液腺；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 应符合JY67的有关要求。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人血细胞装片</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一）适用范围、型号规格：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适用于小学科学课堂观察。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型号：J4257型。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取材为人的新鲜血液，能看清红血细胞和白血细胞和血小板。血细胞变形者不宜使用。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血膜应涂布均匀，无污染；血细胞不重叠，无变形和自溶现象。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 用苏木精、曙红双重染色。</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 在400×生物显微镜下清楚观察血液血细胞的形态。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5. 符合JY67中 2.4的规定。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中国政区地图</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不小于1000mm×700mm；纸张规格：不小于128克铜版纸；印刷：彩色胶印。图形：逼真，色彩鲜明，线条清晰。印刷质量：符合GB7705－87《平面装潢印刷品标准》。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中国地形地图</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不小于1000mm×700mm；纸张规格：不小于128克铜版纸；印刷：彩色胶印。图形：逼真，色彩鲜明，线条清晰。印刷质量：符合GB7705－87《平面装潢印刷品标准》。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小学科学安全操作挂图</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不少于25张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116</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植物分类图谱</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幅面：16开；纸张规格：不小于150克铜版纸；印刷：彩色胶印。图形逼真，色彩鲜明，线条清晰。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动物分类图谱</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幅面：16开；纸张规格：不小于150克铜版纸；印刷：彩色胶印。图形逼真，色彩鲜明，线条清晰。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小学科学教学素材库</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适用于按照《全日制九年义务教育科学课程标准》编写的并经国家教材审定通过的各种版本的小学科学教材，用于教师制作课件，素材内容应结合教学内容与教材配套。读碟顺畅，图文清晰。盘面光洁，无划痕。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量筒</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量杯</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甘油注射器</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试管</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92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123</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试管</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124</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烧杯</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烧杯</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烧杯</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127</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烧杯</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烧瓶</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129</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锥形瓶</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酒精灯</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㈠适用范围、规格型号：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实验中加热、灼烧等操作中使用。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座式酒精灯。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1．规格：150mL，单头。灯体高80±10mm，灯盖高62±3mm，全高120±12mm，灯体直径84±5mm，灯口直径20±2mm，灯颈高25±5mm，灯体壁厚1.5±0.5mm，灯盖壁厚2.5±1mm。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2.以酒精为燃料的加热工具，由灯体、灯芯管和陶瓷灯帽组成，灯身与灯盖盖合精密。灯身无密集气泡，无密集条纹。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3.符合中华人民共和国教育行业标准 JY0001─2003《教学仪器产品一般质量要求》。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漏斗</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Y形管</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滴管</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集气瓶</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镊子</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试管夹</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137</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石棉网</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符合中华人民共和国教育部2006年7月19日发布的《中华人民共和国教育行业标准》。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燃烧匙</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139</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药匙</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玻璃管</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千克</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玻璃棒</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橡胶管</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千克</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143</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橡胶塞</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千克</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试管刷</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烧瓶刷</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146</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培养皿</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蒸发皿</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瓷，60mm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148</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塑料量杯</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149</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硫酸铝钾(明矾)</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克</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酒精</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千克</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151</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pH广范围试纸</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高锰酸钾</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千克</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153</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盐酸</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千克</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小学科学一般实验材料</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　</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155</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载玻片</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盖玻片</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5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157</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测电笔</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after="200" w:afterAutospacing="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 . 由测电头、绝缘手柄组成。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 采用数字显示；光示感应，数字显示准确、清晰；光亮显示明显。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 测量范围：交流12V—220V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 手柄绝缘性能良好。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158</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一字螺丝刀</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　.塑料柄一字螺丝刀。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.全长约230ｍｍ。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159</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十字螺丝刀</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尖嘴钳</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符合ＱＢ/Ｔ2443的规定。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木工锯</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技术要求应符合 QB/T2094.1的相关规定。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钢丝钳</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技术要求应符合QB/T2441的相关规定。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163</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手锤</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型号规格：0.5kg （圆柱形），锤体用45＃优质碳素钢制成，手锤把为空心钢管。手锤把与手锤连接牢固。技术要求应符合HB3252的相关规定。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164</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活扳手</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 型号规格：200mm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 活板手应符合 GB 4440的有关要求。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剪刀</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1.剪刀为钢质，表面镀铬或防氧化处理，表面光洁无锈蚀。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2.剪轴销与两刀体连接松紧适度。刃口锋利，无崩裂，剪口前端应对齐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3.刃口长≧80mm。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166</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花盆</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167</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小刀</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1.全不锈钢材料制作。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2.刀刃长度≦60mm。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塑料桶</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1.桶口直径大于200mm，深≧250mm。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2.提把配合稳固。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手摇铃</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  钟形金属壳体,木质手柄,口径不小于100mm。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手持筛子</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  不锈钢圈及丝网,直径不小于20cm,深不小于5cm。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喷水壶</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1.供喷水用，容积≧1000ml。</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2.喷壶为塑料制产品，喷壶嘴孔大小一致，出水流畅。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172</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吹风机</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after="200" w:afterAutospacing="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1.学生实验吹干物品用。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2.本品材质：为ABS、PVC、PP。</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3.额定功率：1000W。电源电压：220V，频率50HZ。</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4.电抗试验：1.5kV、3KV；1min无击穿。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5.绝缘电阻：≧20M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173</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采集捕捞工具</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采集捕捞工具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榨汁器</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1.电动式。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2.工作电压：220V/50Hz。</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3.功率：250W。</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4.转速：12000-16000转/分。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5.杯体采用食品级塑料，不锈钢过滤网。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6.绝缘电阻：≧20M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7.电抗试验：1500V、3000V/min无击穿。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345" w:type="dxa"/>
          <w:trHeight w:val="540" w:hRule="atLeast"/>
        </w:trPr>
        <w:tc>
          <w:tcPr>
            <w:tcW w:w="13549" w:type="dxa"/>
            <w:gridSpan w:val="10"/>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★提供科学仪器10个以上品种2017年以来国家级检测报告原件（检测报告必须带二维码防伪识别，以辨真伪）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345" w:type="dxa"/>
          <w:trHeight w:val="285" w:hRule="atLeast"/>
        </w:trPr>
        <w:tc>
          <w:tcPr>
            <w:tcW w:w="13549" w:type="dxa"/>
            <w:gridSpan w:val="10"/>
            <w:vMerge w:val="continue"/>
            <w:shd w:val="clear" w:color="auto" w:fill="auto"/>
            <w:vAlign w:val="center"/>
          </w:tcPr>
          <w:p>
            <w:pPr>
              <w:rPr>
                <w:rFonts w:hint="eastAsia" w:ascii="宋体" w:hAnsi="宋体" w:eastAsia="宋体" w:cs="宋体"/>
                <w:i w:val="0"/>
                <w:color w:val="FF0000"/>
                <w:sz w:val="24"/>
                <w:szCs w:val="24"/>
                <w:u w:val="none"/>
              </w:rPr>
            </w:pPr>
          </w:p>
        </w:tc>
      </w:tr>
    </w:tbl>
    <w:p>
      <w:pPr>
        <w:pStyle w:val="13"/>
        <w:numPr>
          <w:ilvl w:val="0"/>
          <w:numId w:val="0"/>
        </w:numPr>
        <w:spacing w:before="0" w:after="0" w:line="360" w:lineRule="auto"/>
        <w:jc w:val="both"/>
        <w:rPr>
          <w:rFonts w:hint="eastAsia" w:asciiTheme="minorEastAsia" w:hAnsiTheme="minorEastAsia" w:eastAsiaTheme="minorEastAsia" w:cstheme="minorEastAsia"/>
          <w:b/>
          <w:bCs/>
          <w:sz w:val="44"/>
          <w:szCs w:val="44"/>
          <w:lang w:val="en-US" w:eastAsia="zh-CN"/>
        </w:rPr>
      </w:pPr>
    </w:p>
    <w:p>
      <w:pPr>
        <w:pStyle w:val="13"/>
        <w:numPr>
          <w:ilvl w:val="0"/>
          <w:numId w:val="0"/>
        </w:numPr>
        <w:spacing w:before="0" w:after="0" w:line="360" w:lineRule="auto"/>
        <w:jc w:val="both"/>
        <w:rPr>
          <w:rFonts w:hint="eastAsia" w:asciiTheme="minorEastAsia" w:hAnsiTheme="minorEastAsia" w:eastAsiaTheme="minorEastAsia" w:cstheme="minorEastAsia"/>
          <w:b/>
          <w:bCs/>
          <w:sz w:val="44"/>
          <w:szCs w:val="44"/>
          <w:lang w:val="en-US" w:eastAsia="zh-CN"/>
        </w:rPr>
      </w:pPr>
    </w:p>
    <w:p>
      <w:pPr>
        <w:pStyle w:val="13"/>
        <w:numPr>
          <w:ilvl w:val="0"/>
          <w:numId w:val="0"/>
        </w:numPr>
        <w:spacing w:before="0" w:after="0" w:line="360" w:lineRule="auto"/>
        <w:jc w:val="both"/>
        <w:rPr>
          <w:rFonts w:hint="eastAsia" w:asciiTheme="minorEastAsia" w:hAnsiTheme="minorEastAsia" w:eastAsiaTheme="minorEastAsia" w:cstheme="minorEastAsia"/>
          <w:b/>
          <w:bCs/>
          <w:sz w:val="44"/>
          <w:szCs w:val="44"/>
          <w:lang w:val="en-US" w:eastAsia="zh-CN"/>
        </w:rPr>
      </w:pPr>
    </w:p>
    <w:p>
      <w:pPr>
        <w:pStyle w:val="13"/>
        <w:numPr>
          <w:ilvl w:val="0"/>
          <w:numId w:val="0"/>
        </w:numPr>
        <w:spacing w:before="0" w:after="0" w:line="360" w:lineRule="auto"/>
        <w:jc w:val="both"/>
        <w:rPr>
          <w:rFonts w:hint="eastAsia" w:asciiTheme="minorEastAsia" w:hAnsiTheme="minorEastAsia" w:eastAsiaTheme="minorEastAsia" w:cstheme="minorEastAsia"/>
          <w:b/>
          <w:bCs/>
          <w:sz w:val="44"/>
          <w:szCs w:val="44"/>
          <w:lang w:val="en-US" w:eastAsia="zh-CN"/>
        </w:rPr>
      </w:pPr>
    </w:p>
    <w:p>
      <w:pPr>
        <w:pStyle w:val="13"/>
        <w:numPr>
          <w:ilvl w:val="0"/>
          <w:numId w:val="0"/>
        </w:numPr>
        <w:spacing w:before="0" w:after="0" w:line="360" w:lineRule="auto"/>
        <w:jc w:val="both"/>
        <w:rPr>
          <w:rFonts w:hint="eastAsia" w:asciiTheme="minorEastAsia" w:hAnsiTheme="minorEastAsia" w:eastAsiaTheme="minorEastAsia" w:cstheme="minorEastAsia"/>
          <w:b/>
          <w:bCs/>
          <w:sz w:val="44"/>
          <w:szCs w:val="44"/>
          <w:lang w:val="en-US" w:eastAsia="zh-CN"/>
        </w:rPr>
      </w:pPr>
    </w:p>
    <w:tbl>
      <w:tblPr>
        <w:tblStyle w:val="10"/>
        <w:tblW w:w="143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65"/>
        <w:gridCol w:w="1605"/>
        <w:gridCol w:w="6315"/>
        <w:gridCol w:w="915"/>
        <w:gridCol w:w="1080"/>
        <w:gridCol w:w="1470"/>
        <w:gridCol w:w="112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5" w:hRule="atLeast"/>
        </w:trPr>
        <w:tc>
          <w:tcPr>
            <w:tcW w:w="14355" w:type="dxa"/>
            <w:gridSpan w:val="8"/>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p>
          <w:tbl>
            <w:tblPr>
              <w:tblStyle w:val="10"/>
              <w:tblW w:w="982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31"/>
              <w:gridCol w:w="819"/>
              <w:gridCol w:w="1422"/>
              <w:gridCol w:w="3204"/>
              <w:gridCol w:w="819"/>
              <w:gridCol w:w="819"/>
              <w:gridCol w:w="819"/>
              <w:gridCol w:w="790"/>
              <w:gridCol w:w="3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398" w:type="dxa"/>
                <w:trHeight w:val="690" w:hRule="atLeast"/>
              </w:trPr>
              <w:tc>
                <w:tcPr>
                  <w:tcW w:w="9423" w:type="dxa"/>
                  <w:gridSpan w:val="8"/>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小学数学仪器参数清单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398" w:type="dxa"/>
                <w:trHeight w:val="540" w:hRule="atLeast"/>
              </w:trPr>
              <w:tc>
                <w:tcPr>
                  <w:tcW w:w="9423" w:type="dxa"/>
                  <w:gridSpan w:val="8"/>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以下为一套</w:t>
                  </w:r>
                  <w:r>
                    <w:rPr>
                      <w:rFonts w:hint="eastAsia" w:ascii="宋体" w:hAnsi="宋体" w:cs="宋体"/>
                      <w:b/>
                      <w:i w:val="0"/>
                      <w:color w:val="000000"/>
                      <w:kern w:val="0"/>
                      <w:sz w:val="28"/>
                      <w:szCs w:val="28"/>
                      <w:u w:val="none"/>
                      <w:lang w:val="en-US" w:eastAsia="zh-CN" w:bidi="ar"/>
                    </w:rPr>
                    <w:t>（本次采购2套）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465"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名称</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项目特征描述</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工程量</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单价/元</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819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计算器</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1．用于小学数学教学用。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2．类型：简易型。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1．必须符合《电子计算器通用标准》（GB/T4967–1995），符合国家教育部颁布的《课程标准》要求，可完成课程标准提出的教学任务和教学内容。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2．功能和性能要求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按键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符号 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说明 按键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符号 功能说明 按键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符号 功能说明</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ON/C 开机/清除 OFF 关机 + 加号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减号 × 乘号 ÷ 除号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0～９ 数字 • 小数点 = 等号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百分号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圆周率 X2 平方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M+ 存储器累加 M_ 存储器累减 （ 左括弧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右括弧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a 带分数整数部分输入 ac/b＝d/c     带分数与假分数互相转换 F＝D 分数与小数互相转换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c/p 分数 SIMP 约分 ÷R 有余数除法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Avg 平均数 HMS 时间输入与转换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倒数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MR 存储器显示 MC 存储器清除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科学计算器的各类输入操作及显示，应与日常书写顺序一致，输入内容显示字符不小于小四号字；机壳及键盘用安全可靠的材质制成，按键弹动灵活，接触良好，触摸手感舒适；存储器不少于6个；采取直流供电方式；可显示的十进制字长不少于10位，分数线显示为水平直线。</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35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288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软尺</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适用于小学数学实验测量用。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规格：2000mm。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材料：布制涂漆，宽度15mm，表面印有从0～2000mm的标志。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外观应平整、光滑。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 刻度线清晰，字迹清楚。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 最小分度值：2mm。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5. 示值误差：±1mm。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6. 线纹宽度应为0.3mm～0.5mm。</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384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卷尺</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㈠适用范围、型号规格：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适用于小学数学实验教学用。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规格：20m。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结构外观：应符合SG167第一章有关要求。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卷尺尺带、尺盒、摇柄的主要材料应符合SG167第二章表1的要求。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 卷尺的全长、每米、每厘米的误差应符合SG167第三章第5条的要求。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 任一中间线纹到卷尺的零点端或某段起点端的实际长度的误差应符合SG 167第三章第6条的要求。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5. 卷尺尺带应符合SG167第三章第7条的要求。</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432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托盘天平</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小学数学教学演示用。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规格：500g、1g。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外形尺寸：300㎜×120㎜×175mm,托盘直径120mm。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双托盘、单杠等臂式、横梁上装有刻度尺。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 最大称量500克，刻度尺最大称量10克。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 最小分度值1克。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5. 最大称量时感量为1克。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 配6级砝码及镊子一套。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7. 天平应符合GB4168第2章的有关要求级JJG156第1章要求。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8. 砝码应符合GB4167第2章的有关要求。</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504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简易天平</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适用于小学数学教学用。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仪器由底座、立柱、杠杆、平衡砣、桂钩、盛物盘、量桶及挂码组成。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外形尺寸：杠杆长≥300mm、立柱200mm；盛物盘两只：≥Φ100×15mm、量桶两只容积500ml。</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3. 最大载荷：每盘（桶）≥500g。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4. 灵敏度：空盘时向左或右盘加载1.5g，扛杆明显偏斜；全载时向左或右盘加载10g、扛杆明显偏斜。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5. 片码为钢制，数量不少于10枚，表面镀铬，每片质量≥15g，标称质量允差≤±0.5g或每片的最大质量减最小质量允差≤0.5g。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6. 简易天平组装后应有足够的稳度并便于调整、安放，实验操作。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7. 性能、外观、安全等应符合JY0001-2003第4、5、6、7章的规定。</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216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弹簧度盘秤</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适用于小学数学教学用。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规格：1kg，指针式。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产品为指针式弹簧度盘秤。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最大称量值为1kg。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产品外观、结构、性能符合GB/T11884《弹簧度盘秤》标准规定。</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192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弹簧秤</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适用于小学数学教学用。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规格：2.5kg。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结构外观应符合JY0127第4.3条及JY0001第5、6章有关规定。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其余应符合JY0127第5章的有关要求。</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432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电子停表</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㈠适用范围：适用于中学物理、生物和小学数学、科学实验教学计时用。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产品应采用微型电脑芯片，液晶显示屏。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外观质量：机芯在表壳组件应稳固，液晶屏显示清晰、表玻璃透明无伤、印字清楚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正确、表壳与玻璃后盖的配合应紧密，不得有明显的缝隙；表壳外棱角无锋利感；镀层无气泡，不脱落。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 分辨率：1/100s</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 工作电压：1.5或3.0V</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5. 走时精度：-0.5～+0.5s/d</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6. 产品还应符合QB/T1908-1993中4 技术要求中的有关条款。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7. 0.1s。</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块</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384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三角板</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初中和小学数学教学用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60°、45°各１块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用木材或五合板制成，木材经脱脂干燥处理，含水率≤15％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平整光洁，无断裂变形，表面涂浅色漆。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刻线应均匀、清晰、无断线，每100mm标注量程。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角度允差0.50，全量程允差≤3mm。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 工作边直线度允差≤0.8mm，平面度允差≤1.5mm。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 其余应符合JY0001-2003第6、7章有关要求。</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456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圆规</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初中和小学数学教学用。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木制、附橡胶脚。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外形尺寸为400×25×20mm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用木材制造，木材应经脱脂干燥处理，含水率≤15％，应无断裂和明显变形，表面涂漆，并符合JY0001-2003第7.4.3条要求。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支架两脚间最大张距≥600mm，紧固螺钉调整方便，上紧可靠,并做防锈处理。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粉笔夹爪用塑料或金属制成，夹持粉笔方便可靠，脚针安装牢固，并做防锈处理。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 圆规可作半径为30--250mm的圆。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 附橡胶脚１只。</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 其余应符合JY0001-2003第6、7章的有关要求。</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360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量角器</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初中和小学数学教学使用。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0-180°、500mm。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用木材或五合板制成、木材应经脱脂干燥处理,含水率≤15%。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两面的翘曲度≤1.34mm，直边的直线度允差≤0.55mm。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量角器的刻度：最小分度值为1°,最大分度值5°,最大分度值累计允差≤15′。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板面涂浅色漆，色调美观，刻线与数字符号清晰，无断线。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 其余应符合JY0001-2003第6.28、7.4.3、7.8条要求。</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528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专用直尺</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㈠适用范围、型号规格：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小学数学教学用。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1000mm。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用木制材料或有机玻璃制成。木直尺漆层均匀、整洁，表面无伤痕、无毛刺。经干燥处理，无节疤、无裂纹、无变形。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全长1000mm，尺宽≥25mm。尺面两侧均有刻度，是测量面。尺面最小刻度1mm、刻线长度较短，每10mm一小格、刻线长度中等，每100mm一大格、刻线长度较长。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尺面刻线均匀清晰，垂直尺边、无断线。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尺面平整挺直，平面度≤3mm，尺边直线度≤2mm。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 1m全长示值允差≤±1.5mm。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 0.01m示值允差≤±0.5mm。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 结构及外观的一般要求应分别符合JY0001第4、5、6、7章的有关要求。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 符合《学生用品的安全通用要求》（GB21027-2007）。</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264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标杆</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小学数学教学测量用。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Φ25mm×1600mm。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标杆直径25mm。长度1600mm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木质，木材经干燥处理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标杆以200mm的间距为单位,分别涂红、白相间的色漆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标杆的一头应装有铁制尖脚，其表面涂防锈漆。</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384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测绳</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1.小学数学教学测量长度用。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50m涤纶绳。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标称测量范围50m,绳粗≥2.5mm，分度值1m，分度值允差±10mm，每10米允差±50mm，总长允差±250mm，分度标记清晰,应与测绳结合牢固。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在正常使用情况下及常温贮存一年以上,其总长度变化应≤50mm,总长允差应≤300mm。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测绳两端装有金属拉环，金属拉环表面镀铬，金属拉环与绳结合牢固。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其余应符合JY0001-2003第6、7章的有关要求。</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216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塑料球</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㈠适用范围、规格型号：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适于小学数学计数用。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1.外径不小于15mm，三种颜色每种20个，不透明袋子2个，尺寸为150mm×130mm；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2.包装美观结实耐用；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3．产品应符合JY0001《教学仪器产品一般质量要求》。</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288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塑料小球</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㈠适用范围、规格型号：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适于小学数学计数用。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规格：五种颜色。</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1.配五种颜色塑料球，外径≥15mm，每色20个；</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2.配不透明袋子2个，尺寸为150mm×130mm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3.包装美观结实耐用；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4.产品应符合JY0001《教学仪器产品一般质量要求》。</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384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竖式计数器</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小学数学教学演示用。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 五档。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木制件所用的木材应经干燥处理、外观无明显变形，胶合件应结合牢固不得脱层、开裂错位。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油漆覆盖层应平整清洁、色调美观、薄厚均匀、有足够的附着力、表面无流挂、针孔、起泡等缺陷。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塑料件表面平整无划痕、溶迹、缩迹、汽泡、夹生现象，边缘不得有毛刺、破边、凸凹不平等缺陷。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 金属应有镀层，表面无锈蚀。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5. 组装牢固端正，放置平稳。</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528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竖式计数器</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小学数学教学演示用。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 五档。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规格尺寸如下表：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型号 型式 档数 每档珠数 珠径㎜ 珠色</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J202 竖式 五档 10 ≥30 单色</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底座用金属制成，色泽鲜亮，在相应档位上标有“个、十、百、千、万”字样，字迹清晰、无断线；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3.木制件所用的木材应经干燥处理、外观无明显变形，胶合件应结合牢固不得脱层、开裂错位；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4.油漆覆盖层应平整清洁、色调美观、薄厚均匀、有足够的附着力、表面无流挂、针孔、起泡等缺陷；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5.塑料件表面平整无划痕、溶迹、缩迹、汽泡、夹生现象，边缘不得有毛刺、破边、凸凹不平等缺陷；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6.金属应有镀层，表面无锈蚀；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7.组装牢固端正，放置平稳。</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456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竖式计数器</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小学数学教学用。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 五档，学生用。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规格尺寸如下表：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型号 型式 档数 每档珠数 珠径㎜ 珠色</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290 竖式 五档 10 ≥14 单色</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底座用塑料制成，色泽鲜亮，在相应的档位上标有“个、十、百、千、万”字样，字迹清晰、无断线；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塑料件表面平整、清洁、色调美观，无划痕、浴迹、缩迹、无气泡、夹生、无毛刺破边及凹凸不平等缺陷；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塑料件表面平整无划痕、溶迹、缩迹、汽泡、夹生现象，边缘不得有毛刺、破边、凸凹不平等缺陷；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 金属应有镀层，表面无锈蚀；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 组装牢固端正，放置平稳。</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216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计数棒</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小学数学演示教学用。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1.计数棒分为10捆，每捆10根，计数棒数量为100根，至少有4种颜色，其长100mm,外径5mm,壁厚0.3mm，表面应圆滑，颜色均匀；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2.包装结实耐用美观。</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192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钉板</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小学数学教学演示用。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底板为木质或塑料件，尺寸为390×590mm；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2.其它要求应符合JY0344第4.1.1－4.1.6，4.3－4.10条的规定。</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192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钉板</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小学数学教学用分组实验用。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钉板的底板为塑料件，尺寸不小于140×140mm；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钉板的其它要求应符合JY0344-94第4.1.1－4.1.6条，4.3－4.10条的规定。</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288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数字骰子</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小学数学教学用。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1.采用透明塑料盒包装，外形尺寸不小于130mm×100mm×25mm；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2.骰子外形尺寸不小于12mm×12mm×12mm,每6个装一小袋，共10袋。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结构及外观的一般要求应分别符合JY 0001的相关要求。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产品满足小学数学教学的要求。</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288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空白骰子</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小学数学教学用。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采用透明塑料盒包装，外形尺寸不小于130mm×100mm×25mm；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2.骰子外形尺寸不小于12mm×12mm×12mm,每6个装一小袋，共10袋。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结构及外观的一般要求应分别符合JY 0001的相关要求。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产品满足小学数学教学的要求。</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240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数字转盘</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㈠适用范围、规格型号：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适用于小学数学教学。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仪器由底座、面板、转盘、指针、主轴、指针螺母、面板坚固螺母组成。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2.转轮直径不小于150mm，轮缘不小于20mm，壁厚不小于2mm；转盘直径不小于145mm，面板为0、1、2……9数字；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3.底座直径不小于110mm，放置平稳。</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240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色块转盘</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㈠适用范围、规格型号：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适用于小学数学教学。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仪器由底座、面板、转盘、指针、主轴、指针螺母、面板坚固螺母组成。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2.转轮直径不小于150mm，轮缘不小于20mm，壁厚不小于2mm；转盘直径不小于145mm，面板为扇形色块；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3.底座直径不小于110mm，放置平稳。</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240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空白转盘</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㈠适用范围、规格型号：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适用于小学数学教学。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仪器由底座、面板、转盘、指针、主轴、指针螺母、面板坚固螺母组成。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转轮直径不小于150mm，轮缘不小于20mm，壁厚不小于2mm；转盘直径不小于145mm，面板为空白圆盘。</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3.底座直径不小于110mm，放置平稳。</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648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几何图形片</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㈠适用范围、规格型号：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适用于小学数学教学。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规格：套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产品为小学生认知几何图形用的塑料片。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产品包括：正方形尺寸不小于50mm×50mm、长方形尺寸不小于80mm×30mm、平行四边形尺寸不小于70mm×37mm、梯形尺寸不小于70mm×40mm×40mm、直角梯形尺寸不小于60mm×40mm×40mm、等腰梯形尺寸不小于70mm×40mm×40mm、直角三角形尺寸不小于100mm×57mm、等腰三角形尺寸不小于底边100mm×70mm、等边三角形边长尺寸不小于70mm和直径尺寸不小于60mm的圆形各1片组成；，各种几何图形边厚度不小于3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 片厚：≥1㎜。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 材料：工程塑料注塑成型。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5. 结构外观：应平整清洁，不应有划痕、溶迹、缩迹，不应有毛刺、变形、破边和凹凸不平。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 外包装美观结实耐用。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7.产品应符合JY0001《教学仪器产品一般质量要求》。</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240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集合圈</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（一）适用范围；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1．小学数学教学分组实验用。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1.由不少于24片的弧形条组成，颜色不少于3种；能组装成的圆环不少于4个，每个圆环均可折叠；</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2.包装美观结实耐用；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3.产品应符合JY0001《教学仪器产品一般质量要求》。</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216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七巧板</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（一）适用范围；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1．小学数学教学实验用。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1.七种颜色，所组成的正方形不小于80mm×80mm，厚不小于1mm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2.包装美观结实耐用；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3.产品应符合JY0001《教学仪器产品一般质量要求》。</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384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角操作材料</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㈠适用范围、规格型号：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适用于小学数学教学分组实验。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产品应采用无毒、无污染或少污染的塑料制成。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连接杆不小于2根，长度≥60㎜，厚≥1㎜，宽≥5㎜。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 能正确显示角的顶点和两边。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 能进行角的大小变化操作。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5. 结构外观：应平整清洁，不应有划痕、溶迹、缩迹，不应有毛刺、变形、破边和凹凸不平。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6.包装美观结实耐用。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7.产品应符合JY0001《教学仪器产品一般质量要求》。</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528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图形变换操作材料</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㈠适用范围、规格型号：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适用于小学数学教学。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产品应采用无毒、无污染或少污染的塑料制成，片厚≥1㎜。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产品应能显示图形的平移、旋转、对称。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 产品应包括梯形、平行四边形、三角形、圆各一对及15cM×20cM方格图纸（座标纸）1张。</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尺寸：梯形，上底≥40㎜，下底≥60㎜，高≥30㎜；平行四边形，长≥50㎜，高≥35㎜；三角形，最小边≥30㎜，圆直径30㎜，方格图纸（座标纸）不小于15cM×20cM。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 结构外观：应平整清洁，不应有划痕、溶迹、缩迹，不应有毛刺、变形、破边和凹凸不平。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6.包装美观结实耐用。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7.产品应符合JY0001《教学仪器产品一般质量要求》。</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288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面积测量器</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适用于小学数学教学分组实验。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产品应采用无色无毒透明材料，韧性好，不易折断、破损。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能正确显示1dm²及1cm²。</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 能测量边长小于10cm且是整厘米数的长方形和正方形的面积。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4.包装美观结实耐用。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5.产品应符合JY0001《教学仪器产品一般质量要求》。</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480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探索几何图形面积计算公式材料</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适用于小学数学教学分组实验。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1.产品应至少包含正方形、长方形各1片，相同的平行四边形、梯形、直角三角形、锐角三角形、钝角三角形各2片，八等分、16等分半圆片各2片组成；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正方形尺寸不小于50mm×50mm、长方形尺寸不小于60mm×40mm、直角梯形尺寸不小于60mm×40mm×40mm、直角三角形尺寸不小于40mm×20mm、锐角三角形尺寸不小于60mm×40mm、锐角三角形尺寸不小于30mm×40mm、均刻有10mm×10mm方格、八等分及16等分半圆片能拼成直径80mm的圆及等面积长方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能计算几何图形的面积。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包装美观结实耐用。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4. 产品应符合JY0001《教学仪器产品一般质量要求》。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408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探索几何形体体积计算公式材料</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适用于小学数学教学分组实验。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产品由正方体、长方体、圆柱体、圆锥体各1个，八等分半圆柱1套组成；正方体尺寸不小于30mm×30mm×30mm、长方体尺寸不小于50mm×30mm×20mm、圆柱体尺寸不小于Φ45mm×52mm、壁厚尺寸不小于1.5mm，透明，有三等分容量刻线、圆锥体尺寸不小于Φ45mm×52mm，壁厚尺寸不小于1.5mm，八等分半圆柱能拼组尺寸不小于Φ40mm×48mm圆柱与等体积长方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能计算几何形体的体积。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3.包装美观结实耐用。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4.产品应符合JY0001《教学仪器产品一般质量要求》。</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264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口算练习器</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㈠适用范围、型号规格：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小学1--3年级数学教学学生练习口算用。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活动型。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由面板和数字转盘、运算符号组成。面板直径不小于240mm，有二个窗口，中间有运算符号条，通过转动符号条可形成＋、—、×、÷符号。数字转盘有二个，转盘上印有0--9的数字，数字高度不小于25mm。</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336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分数片</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适用于小学数学教学分组实验。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产品由整圆1、1/2等分圆、1/3等分圆、1/4等分圆、1/5等分圆、1/6等分圆、1/7等分圆、1/8等分圆、1/9等分圆、1/10等分圆、1/11等分圆、1/12等分圆等组成。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2.各等分划线明显，颜色应有区别。</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3.各等分圆间能直观比较大小。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4.包装美观结实耐用。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5.产品应符合JY0001《教学仪器产品一般质量要求》</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144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塑料量杯</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适用于小学实验教学中盛量液体。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容积≥2升，杯身厚度≥1mm，每格刻度100ml，圆柱形，透明。</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144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塑料量杯</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适用于小学实验教学中盛量液体。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容积≥1.5升，杯身厚度≥1mm，每格刻度100ml，棱柱形，透明。</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408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塑料量杯</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1．小学数学教学演示实验用。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2．规格：透明，水杯形，1L。</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外形尺寸要求：全高350±15mm，底部直径大于85 mm，壁厚大于1mm，底厚大于4 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最小分度值：5ml。</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示值允差：标准温度20℃时≤±0.8ml。</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分度线宽度不应超过0.5mm。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 分度线清晰、完整。刻线宽不大于0.4mm。长线长度大于周长的1/4，中线长度大于周长的1/6，短线大于周长的1/8。</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 表面应平整光洁、无划痕、溶迹、缩迹，边缘无毛刺和凹凸不平现象。</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720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小学低年级数学磁性教具</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㈠适用范围、型号规格：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1.小学数学教学演示用。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1.磁性教具，不少于13个品种。内容应包括计数片，计数棒，数字片，符号片，五档计数器，立体图形，平面图形，七巧板，多边形框架，可能性演示材料，卷尺，钟面及钉板，强磁图钉等；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2.每种磁性片卡工作面磁场强度应≥5mT，卡片与磁性原件结合牢固，并能牢靠的吸附于钢制黑板上，不得自行滑落或移位，且吸附方向可随意调正，相互间不干扰吸附位置和方向；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3.用塑料或其它强度较好，不易变形的材料制造图卡、色调美观、鲜艳图画生动、形象；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4.钟面尺寸不小于420mm×360mm,色块转盘直径不小于200mm，七巧板应能拼成边长不小于110mm的正方形，平面图形最小连长不小于40mm，立体图形最小边不小于60mm。其它材料可见度要高；</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5.能演示小学数学100以内数数以及＋、－、×、÷的运算；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6.演示效果明显，产品结实、耐用、美观；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7.包装箱采用铝合金框架结构，耐压防潮；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8.产品应符合JY0001《教学仪器产品一般质量要求》。</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696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小学中年级数学磁性教具</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㈠适用范围、型号规格：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1. 小学数学教学演示用。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磁性教具，不少于15个品种。包括钟面模型及钉板、多边形插条，七巧板、分数片、搭配图片，建筑物图片，面积图片，三角形内角和图片，普通三角形，直角三角形，等边三角形，长方形，正六边形，乘除法操作材料，强磁图钉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每种磁性片卡工作面磁场强度应≥5mT，卡片与磁性原件结合牢固，并能牢靠的吸附于钢制黑板上，不得自行滑落或移位，且吸附方向可随意调正，相互间不干扰吸附位置和方向；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用塑料或其它强度较好，不易变形的材料制造图卡、色调美观、鲜艳图画生动、形象；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钟面尺寸不小于420×360mm,七巧板应能拼成边长不小于110mm的正方形，搭配图片，建筑物图片边长不小于150mm，厚度不小于1.2mm。其它图片也应有较大可见度；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5.能演示小学数学100以内数数以及＋、－、×、÷的运算；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6.演示效果明显，产品结实、耐用、美观；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7.包装箱采用铝合金框架结构，耐压防潮；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8.产品应符合JY0001《教学仪器产品一般质量要求》。</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792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小学高年级数学磁性教具</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㈠适用范围、型号规格：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小学数学教学演示用。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磁性教具，不少于17个品种。包括转盘及钉板、圆柱、圆锥、球、正方体、长方体，多边形面积计算公式演示片，正方体表面积展开模型，长方体表面积展开模型，圆柱体表面展开模型、三棱柱展开模型，圆周率演示器，圆面积公式演示器，圆柱体体积计算公式演示器，轴对称图片，强磁图钉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2.每种磁性片卡工作面磁场强度应≥5mT，卡片与磁性原件结合牢固，并能牢靠的吸附于钢制黑板上，不得自行滑落或移位，且吸附方向可随意调正，相互间不干扰吸附位置和方向；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3.用塑料或其它强度较好，不易变形的材料制造图卡、色调美观、鲜艳图画生动、形象；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色块转盘直径不小于200mm,圆柱底面直径不小于90mm、高不小于120mm,圆锥底面直径不小于90mm、高不小于120mm,球直径不小于100mm、能演示剖面，正方体、长方体最小棱长不小于60mm，圆面积计算公式演示器直径不小于200mm，厚度不小于1.2mm，其它图片也应有较大可见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5.演示效果明显，产品结实、耐用、美观；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6.包装箱采用铝合金框架结构，耐压防潮；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7.产品应符合JY0001《教学仪器产品一般质量要求》。</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72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钟表模型</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演示用，两针，非联动，12时表示。时针、分针和秒针联动，能正确显示1小时等于60分。</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72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钟表模型</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演示用，三针，联动，12时表示。时针、分针和秒针联动，能正确显示1小时等于60分。</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432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钟表模型</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适用于小学数学教学演示。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演示用，三针联动，24小时表示。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1. 表盘为圆形，直径：250-300mm，有24小时的整时数和分刻度线标识。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时针、分针和秒针联动，能正确显示1小时等于60分，并符合JY0061-91中4.2.1～4.2.5的各条要求。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 垂直放置时指针可停留在任意位置，秒针长度大于分针长度，分针长度大于时针长度，秒针、分针、时针上下一次装配，秒针不易变形。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 联动装置应符合JY0061-91第4.3.1-4.3.3条要求。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5. 其余应符合JY0061-91第4.4-4.6条要求。</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285"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钟表模型</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学生用，两针，非联动。</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432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钟表模型</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适用于小学数学教学演示。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学生用，三针联动，24小时表示。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1. 表盘为圆形，直径：250-300mm，有24小时的整时数和分刻度线标识。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时针、分针和秒针联动，能正确显示1小时等于60分，并符合JY0061-91中4.2.1-4.2.5的各条要求。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垂直放置时指针可停留在任意位置，秒针长度大于分针长度，分针长度大于时针长度，秒针、分针、时针上下一次装配，秒针不易变形。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联动装置应符合JY0061-91第4.3.1-4.3.3条要求。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 其余应符合JY0061-91第4.4-4.6条要求。</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408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几何形体模型</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1.小学数学教学分组实验用。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1.由长方体、正方体、实心圆柱、空心圆柱、圆锥体、球组成；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二种长方体尺寸分别为：不小于50mm×30mm×20mm、不小于40mm×30mm×30mm、正方体棱长30mm；实心圆柱尺寸不小于Φ38mm×40mm、空心圆柱尺寸不小于Φ38mm×40mm、中心孔尺寸不小于Φ18mm×40mm、等底等高圆锥尺寸不小于Φ38mm×40mm、等底不等高圆锥尺寸不小于Φ38mm×30mm、等高不等底圆锥尺寸不小于Φ28mm×40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3.包装美观结实耐用；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4.应符合JY0001-2003的要求。</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192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厘米立方块</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小学数学教学使用。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1.产品为塑料块，2种颜色，每色30粒装；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棱长1cm；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3.包装美观结实耐用；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应符合JY0001-2003的要求。</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408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几何形体表面积展开模型</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小学数学教学使用。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展开模型由长方体、特殊长方体、圆柱体、正方体及它们相应的展开图构成。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2.正方体：棱长60mm，长方体：90mm×60mm×30mm，特殊长方体：80mm×50mm×50mm，圆柱：Φ60mm×80mm；各种展开材料模切规整，颜色。</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面板材料不易变形。材料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塑料件应符合JY0001-2003第6.27、7.7条要求。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 木制件应符合JY0001-2003第6.28、7.4.3、7.8条要求。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6、纸质材料可使用300克板纸。</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288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圆面积、圆周率计算公式推导演示模型</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小学数学教学使用。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400×80×8mm。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由面板扇形分解块组成的圆面和Φ10cm圆盘等组成。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面板材料不易变形。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塑料件应符合JY0001-2003第6.27、7.7条要求。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木制件应符合JY0001-2003第6.28、7.4.3、7.8条要求。</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285"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物品卡片</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双面履膜，彩色胶印，购物游戏用。</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小学数学数与代数部分教学挂图</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纸质挂图不少于39张</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小学数学空间与图形部分教学挂图</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不少于22张</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小学数学统计与概率教学挂图</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不少于11张</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168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圆柱形塑料杯</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after="200" w:afterAutospacing="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（一）适用范围；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1．小学数学教学实验用。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容积≥1升，杯身厚度≥1mm，每格刻度100ml，圆柱形，透明。</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144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方形塑料杯</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（一）适用范围；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1．小学数学教学实验用。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容积≥1升，杯身厚度≥1mm，每格刻度100ml，方形，透明。</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398" w:type="dxa"/>
                <w:trHeight w:val="780" w:hRule="atLeast"/>
              </w:trPr>
              <w:tc>
                <w:tcPr>
                  <w:tcW w:w="9423" w:type="dxa"/>
                  <w:gridSpan w:val="8"/>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★提供数学仪器10个以上品种2017年以来国家级检测报告原件（检测报告必须带二维码防伪识别，以辨真伪）</w:t>
                  </w:r>
                </w:p>
              </w:tc>
            </w:tr>
          </w:tbl>
          <w:p>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p>
          <w:tbl>
            <w:tblPr>
              <w:tblStyle w:val="10"/>
              <w:tblW w:w="135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64"/>
              <w:gridCol w:w="1057"/>
              <w:gridCol w:w="1057"/>
              <w:gridCol w:w="5237"/>
              <w:gridCol w:w="1057"/>
              <w:gridCol w:w="1057"/>
              <w:gridCol w:w="1057"/>
              <w:gridCol w:w="1012"/>
              <w:gridCol w:w="10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012" w:type="dxa"/>
                <w:trHeight w:val="600" w:hRule="atLeast"/>
              </w:trPr>
              <w:tc>
                <w:tcPr>
                  <w:tcW w:w="12498" w:type="dxa"/>
                  <w:gridSpan w:val="8"/>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cs="宋体"/>
                      <w:i w:val="0"/>
                      <w:color w:val="000000"/>
                      <w:kern w:val="0"/>
                      <w:sz w:val="32"/>
                      <w:szCs w:val="32"/>
                      <w:u w:val="none"/>
                      <w:lang w:val="en-US" w:eastAsia="zh-CN" w:bidi="ar"/>
                    </w:rPr>
                    <w:t xml:space="preserve">      </w:t>
                  </w:r>
                  <w:r>
                    <w:rPr>
                      <w:rFonts w:hint="eastAsia" w:ascii="宋体" w:hAnsi="宋体" w:eastAsia="宋体" w:cs="宋体"/>
                      <w:i w:val="0"/>
                      <w:color w:val="000000"/>
                      <w:kern w:val="0"/>
                      <w:sz w:val="32"/>
                      <w:szCs w:val="32"/>
                      <w:u w:val="none"/>
                      <w:lang w:val="en-US" w:eastAsia="zh-CN" w:bidi="ar"/>
                    </w:rPr>
                    <w:t>准备室参数清单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964" w:type="dxa"/>
                <w:trHeight w:val="405" w:hRule="atLeast"/>
              </w:trPr>
              <w:tc>
                <w:tcPr>
                  <w:tcW w:w="1254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以下为一套</w:t>
                  </w:r>
                  <w:r>
                    <w:rPr>
                      <w:rFonts w:hint="eastAsia" w:ascii="宋体" w:hAnsi="宋体" w:cs="宋体"/>
                      <w:i w:val="0"/>
                      <w:color w:val="000000"/>
                      <w:kern w:val="0"/>
                      <w:sz w:val="32"/>
                      <w:szCs w:val="32"/>
                      <w:u w:val="none"/>
                      <w:lang w:val="en-US" w:eastAsia="zh-CN" w:bidi="ar"/>
                    </w:rPr>
                    <w:t>（本次采购2套）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964" w:type="dxa"/>
                <w:trHeight w:val="450" w:hRule="atLeast"/>
              </w:trPr>
              <w:tc>
                <w:tcPr>
                  <w:tcW w:w="105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105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产品名称</w:t>
                  </w:r>
                </w:p>
              </w:tc>
              <w:tc>
                <w:tcPr>
                  <w:tcW w:w="523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主要技术指标</w:t>
                  </w:r>
                </w:p>
              </w:tc>
              <w:tc>
                <w:tcPr>
                  <w:tcW w:w="105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w:t>
                  </w:r>
                </w:p>
              </w:tc>
              <w:tc>
                <w:tcPr>
                  <w:tcW w:w="105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工程量</w:t>
                  </w:r>
                </w:p>
              </w:tc>
              <w:tc>
                <w:tcPr>
                  <w:tcW w:w="105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单价/元</w:t>
                  </w:r>
                </w:p>
              </w:tc>
              <w:tc>
                <w:tcPr>
                  <w:tcW w:w="2024"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964" w:type="dxa"/>
                <w:trHeight w:val="600" w:hRule="atLeast"/>
              </w:trPr>
              <w:tc>
                <w:tcPr>
                  <w:tcW w:w="1057"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57" w:type="dxa"/>
                  <w:vMerge w:val="restart"/>
                  <w:tcBorders>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准备台</w:t>
                  </w:r>
                </w:p>
              </w:tc>
              <w:tc>
                <w:tcPr>
                  <w:tcW w:w="5237" w:type="dxa"/>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木结构，一体化台面，双面设计，每边4个抽屉、两组对开门，基本要求如下：</w:t>
                  </w:r>
                </w:p>
              </w:tc>
              <w:tc>
                <w:tcPr>
                  <w:tcW w:w="1057"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1057"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57" w:type="dxa"/>
                  <w:vMerge w:val="restart"/>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024" w:type="dxa"/>
                  <w:gridSpan w:val="2"/>
                  <w:vMerge w:val="restart"/>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964" w:type="dxa"/>
                <w:trHeight w:val="510" w:hRule="atLeast"/>
              </w:trPr>
              <w:tc>
                <w:tcPr>
                  <w:tcW w:w="105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57" w:type="dxa"/>
                  <w:vMerge w:val="continue"/>
                  <w:tcBorders>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237" w:type="dxa"/>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（1）台面尺寸（度宽高）2400mm×1100mm×850mm。</w:t>
                  </w:r>
                </w:p>
              </w:tc>
              <w:tc>
                <w:tcPr>
                  <w:tcW w:w="1057"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5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5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024" w:type="dxa"/>
                  <w:gridSpan w:val="2"/>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964" w:type="dxa"/>
                <w:trHeight w:val="540" w:hRule="atLeast"/>
              </w:trPr>
              <w:tc>
                <w:tcPr>
                  <w:tcW w:w="105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57" w:type="dxa"/>
                  <w:vMerge w:val="continue"/>
                  <w:tcBorders>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237" w:type="dxa"/>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（2）桌下净空尺寸（高宽）不小于580mm×520mm。</w:t>
                  </w:r>
                </w:p>
              </w:tc>
              <w:tc>
                <w:tcPr>
                  <w:tcW w:w="1057"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5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5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024" w:type="dxa"/>
                  <w:gridSpan w:val="2"/>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964" w:type="dxa"/>
                <w:trHeight w:val="795" w:hRule="atLeast"/>
              </w:trPr>
              <w:tc>
                <w:tcPr>
                  <w:tcW w:w="105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57" w:type="dxa"/>
                  <w:vMerge w:val="continue"/>
                  <w:tcBorders>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237" w:type="dxa"/>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（3）台面材料：采用国内知名品牌生产的优质实芯理化板或抗化板，台面厚度不小于12.7mm，边缘加厚至25.4 mm。</w:t>
                  </w:r>
                </w:p>
              </w:tc>
              <w:tc>
                <w:tcPr>
                  <w:tcW w:w="1057"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5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5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024" w:type="dxa"/>
                  <w:gridSpan w:val="2"/>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964" w:type="dxa"/>
                <w:trHeight w:val="1995" w:hRule="atLeast"/>
              </w:trPr>
              <w:tc>
                <w:tcPr>
                  <w:tcW w:w="105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57" w:type="dxa"/>
                  <w:vMerge w:val="continue"/>
                  <w:tcBorders>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237" w:type="dxa"/>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台体框架：采用模具成型的专用铝合金型材制作，铝合金型材的壁厚不小于1.2mm。框架的立柱为圆管或方管，框架的横梁为方管，通过ABS或金属专用连接件组装而成，应保证组装接缝严密，连接牢固，无松动现象。采用圆管立柱的，其外径不小于50mm；采用方管立柱的，其外径最小的边长不小于28mm。铝合金型材应带凹槽或山型槽，槽的宽度、深度应与所采用的柜体板材相匹配，接缝严密，无晃动现象。铝合金型材表面需经静电粉沫喷涂处理，整体耐腐蚀、防火、防潮、稳固耐用。</w:t>
                  </w:r>
                </w:p>
              </w:tc>
              <w:tc>
                <w:tcPr>
                  <w:tcW w:w="1057"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5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5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024" w:type="dxa"/>
                  <w:gridSpan w:val="2"/>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964" w:type="dxa"/>
                <w:trHeight w:val="1095" w:hRule="atLeast"/>
              </w:trPr>
              <w:tc>
                <w:tcPr>
                  <w:tcW w:w="105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57" w:type="dxa"/>
                  <w:vMerge w:val="continue"/>
                  <w:tcBorders>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237" w:type="dxa"/>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（5）台体衬板：用厚度为16mm±0.3 mm、彩色和灰白色双面三聚氰胺板（即双饰面板）作为台体衬板，其内芯的基材为聚木屑纤维板，外漏截面采用1.5mm厚塑制优质封边条机械封边；甲醛释放限量指标应符合GB18580的要求。</w:t>
                  </w:r>
                </w:p>
              </w:tc>
              <w:tc>
                <w:tcPr>
                  <w:tcW w:w="1057"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5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5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024" w:type="dxa"/>
                  <w:gridSpan w:val="2"/>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964" w:type="dxa"/>
                <w:trHeight w:val="900" w:hRule="atLeast"/>
              </w:trPr>
              <w:tc>
                <w:tcPr>
                  <w:tcW w:w="105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57" w:type="dxa"/>
                  <w:vMerge w:val="continue"/>
                  <w:tcBorders>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237" w:type="dxa"/>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（6）水池柜：演示台一侧应设置水池柜，安放水槽，并设置活动检修门，便于进行维护。</w:t>
                  </w:r>
                </w:p>
              </w:tc>
              <w:tc>
                <w:tcPr>
                  <w:tcW w:w="1057"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5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5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024" w:type="dxa"/>
                  <w:gridSpan w:val="2"/>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964" w:type="dxa"/>
                <w:trHeight w:val="795" w:hRule="atLeast"/>
              </w:trPr>
              <w:tc>
                <w:tcPr>
                  <w:tcW w:w="105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57" w:type="dxa"/>
                  <w:vMerge w:val="continue"/>
                  <w:tcBorders>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237" w:type="dxa"/>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（7）支脚：采用直径不小于10mm的不锈钢螺杆与ABS工程塑料一次注塑成型的脚垫，高度可调节，并可锁紧。</w:t>
                  </w:r>
                </w:p>
              </w:tc>
              <w:tc>
                <w:tcPr>
                  <w:tcW w:w="1057"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5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5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024" w:type="dxa"/>
                  <w:gridSpan w:val="2"/>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964" w:type="dxa"/>
                <w:trHeight w:val="780" w:hRule="atLeast"/>
              </w:trPr>
              <w:tc>
                <w:tcPr>
                  <w:tcW w:w="105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57" w:type="dxa"/>
                  <w:vMerge w:val="continue"/>
                  <w:tcBorders>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237" w:type="dxa"/>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（8）柜门铰链：采用优质不锈钢定位铰链，铰链的壁厚不小于1.5mm，安全、牢固、防腐、耐用。</w:t>
                  </w:r>
                </w:p>
              </w:tc>
              <w:tc>
                <w:tcPr>
                  <w:tcW w:w="1057"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5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5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024" w:type="dxa"/>
                  <w:gridSpan w:val="2"/>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964" w:type="dxa"/>
                <w:trHeight w:val="855" w:hRule="atLeast"/>
              </w:trPr>
              <w:tc>
                <w:tcPr>
                  <w:tcW w:w="105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57" w:type="dxa"/>
                  <w:vMerge w:val="continue"/>
                  <w:tcBorders>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237" w:type="dxa"/>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（9）抽屉滑道：采用优质消声三节滑轨，壁厚1.5mm优质合金钢板一次性成型加工，表面经环氧树脂静电喷涂。</w:t>
                  </w:r>
                </w:p>
              </w:tc>
              <w:tc>
                <w:tcPr>
                  <w:tcW w:w="1057"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5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5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024" w:type="dxa"/>
                  <w:gridSpan w:val="2"/>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964" w:type="dxa"/>
                <w:trHeight w:val="1080" w:hRule="atLeast"/>
              </w:trPr>
              <w:tc>
                <w:tcPr>
                  <w:tcW w:w="10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57"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教师凳</w:t>
                  </w:r>
                </w:p>
              </w:tc>
              <w:tc>
                <w:tcPr>
                  <w:tcW w:w="5237"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1）圆形固定凳。立地的脚用优质铁板制作，厚度不小于1.2mm。凳脚合围在立管外侧。</w:t>
                  </w:r>
                </w:p>
              </w:tc>
              <w:tc>
                <w:tcPr>
                  <w:tcW w:w="1057"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02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964" w:type="dxa"/>
                <w:trHeight w:val="915" w:hRule="atLeast"/>
              </w:trPr>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57"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237" w:type="dxa"/>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（2）立管采用国标优质钢材，外径不小于50mm，壁厚不小于1.0mm，立管上部有钢板与凳面结合。</w:t>
                  </w:r>
                </w:p>
              </w:tc>
              <w:tc>
                <w:tcPr>
                  <w:tcW w:w="1057"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0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964" w:type="dxa"/>
                <w:trHeight w:val="735" w:hRule="atLeast"/>
              </w:trPr>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57"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237" w:type="dxa"/>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（3）凳面为ABS工程塑料，直径为300mm（±20mm）。</w:t>
                  </w:r>
                </w:p>
              </w:tc>
              <w:tc>
                <w:tcPr>
                  <w:tcW w:w="1057"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0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964" w:type="dxa"/>
                <w:trHeight w:val="990" w:hRule="atLeast"/>
              </w:trPr>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57"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23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（4）凳体立管、凳脚需经酸洗、磷化、喷涂处理。</w:t>
                  </w:r>
                </w:p>
              </w:tc>
              <w:tc>
                <w:tcPr>
                  <w:tcW w:w="1057"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0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bl>
          <w:p>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p>
          <w:tbl>
            <w:tblPr>
              <w:tblStyle w:val="10"/>
              <w:tblW w:w="125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04"/>
              <w:gridCol w:w="1084"/>
              <w:gridCol w:w="1084"/>
              <w:gridCol w:w="4469"/>
              <w:gridCol w:w="1084"/>
              <w:gridCol w:w="1084"/>
              <w:gridCol w:w="1084"/>
              <w:gridCol w:w="1056"/>
              <w:gridCol w:w="5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558" w:type="dxa"/>
                <w:trHeight w:val="450" w:hRule="atLeast"/>
              </w:trPr>
              <w:tc>
                <w:tcPr>
                  <w:tcW w:w="11949" w:type="dxa"/>
                  <w:gridSpan w:val="8"/>
                  <w:tcBorders>
                    <w:bottom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仪器柜参数清单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1004" w:type="dxa"/>
                <w:trHeight w:val="540" w:hRule="atLeast"/>
              </w:trPr>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货物名称</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规格要求</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工程量</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单价/元</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1004" w:type="dxa"/>
                <w:trHeight w:val="3450" w:hRule="atLeast"/>
              </w:trPr>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仪器柜</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规格：长</w:t>
                  </w:r>
                  <w:r>
                    <w:rPr>
                      <w:rFonts w:hint="default" w:ascii="Times New Roman" w:hAnsi="Times New Roman" w:eastAsia="宋体" w:cs="Times New Roman"/>
                      <w:i w:val="0"/>
                      <w:color w:val="000000"/>
                      <w:kern w:val="0"/>
                      <w:sz w:val="21"/>
                      <w:szCs w:val="21"/>
                      <w:u w:val="none"/>
                      <w:lang w:val="en-US" w:eastAsia="zh-CN" w:bidi="ar"/>
                    </w:rPr>
                    <w:t>1000mm</w:t>
                  </w:r>
                  <w:r>
                    <w:rPr>
                      <w:rFonts w:hint="eastAsia" w:ascii="宋体" w:hAnsi="宋体" w:eastAsia="宋体" w:cs="宋体"/>
                      <w:i w:val="0"/>
                      <w:color w:val="000000"/>
                      <w:kern w:val="0"/>
                      <w:sz w:val="21"/>
                      <w:szCs w:val="21"/>
                      <w:u w:val="none"/>
                      <w:lang w:val="en-US" w:eastAsia="zh-CN" w:bidi="ar"/>
                    </w:rPr>
                    <w:t>Χ宽</w:t>
                  </w:r>
                  <w:r>
                    <w:rPr>
                      <w:rFonts w:hint="default" w:ascii="Times New Roman" w:hAnsi="Times New Roman" w:eastAsia="宋体" w:cs="Times New Roman"/>
                      <w:i w:val="0"/>
                      <w:color w:val="000000"/>
                      <w:kern w:val="0"/>
                      <w:sz w:val="21"/>
                      <w:szCs w:val="21"/>
                      <w:u w:val="none"/>
                      <w:lang w:val="en-US" w:eastAsia="zh-CN" w:bidi="ar"/>
                    </w:rPr>
                    <w:t>500mm</w:t>
                  </w:r>
                  <w:r>
                    <w:rPr>
                      <w:rFonts w:hint="eastAsia" w:ascii="宋体" w:hAnsi="宋体" w:eastAsia="宋体" w:cs="宋体"/>
                      <w:i w:val="0"/>
                      <w:color w:val="000000"/>
                      <w:kern w:val="0"/>
                      <w:sz w:val="21"/>
                      <w:szCs w:val="21"/>
                      <w:u w:val="none"/>
                      <w:lang w:val="en-US" w:eastAsia="zh-CN" w:bidi="ar"/>
                    </w:rPr>
                    <w:t>Χ高</w:t>
                  </w:r>
                  <w:r>
                    <w:rPr>
                      <w:rFonts w:hint="default" w:ascii="Times New Roman" w:hAnsi="Times New Roman" w:eastAsia="宋体" w:cs="Times New Roman"/>
                      <w:i w:val="0"/>
                      <w:color w:val="000000"/>
                      <w:kern w:val="0"/>
                      <w:sz w:val="21"/>
                      <w:szCs w:val="21"/>
                      <w:u w:val="none"/>
                      <w:lang w:val="en-US" w:eastAsia="zh-CN" w:bidi="ar"/>
                    </w:rPr>
                    <w:t>2000mm(</w:t>
                  </w:r>
                  <w:r>
                    <w:rPr>
                      <w:rFonts w:hint="eastAsia" w:ascii="宋体" w:hAnsi="宋体" w:eastAsia="宋体" w:cs="宋体"/>
                      <w:i w:val="0"/>
                      <w:color w:val="000000"/>
                      <w:kern w:val="0"/>
                      <w:sz w:val="21"/>
                      <w:szCs w:val="21"/>
                      <w:u w:val="none"/>
                      <w:lang w:val="en-US" w:eastAsia="zh-CN" w:bidi="ar"/>
                    </w:rPr>
                    <w:t>误差不大于</w:t>
                  </w:r>
                  <w:r>
                    <w:rPr>
                      <w:rFonts w:hint="default" w:ascii="Times New Roman" w:hAnsi="Times New Roman" w:eastAsia="宋体" w:cs="Times New Roman"/>
                      <w:i w:val="0"/>
                      <w:color w:val="000000"/>
                      <w:kern w:val="0"/>
                      <w:sz w:val="21"/>
                      <w:szCs w:val="21"/>
                      <w:u w:val="none"/>
                      <w:lang w:val="en-US" w:eastAsia="zh-CN" w:bidi="ar"/>
                    </w:rPr>
                    <w:t>20mm)</w:t>
                  </w:r>
                  <w:r>
                    <w:rPr>
                      <w:rFonts w:hint="eastAsia" w:ascii="宋体" w:hAnsi="宋体" w:eastAsia="宋体" w:cs="宋体"/>
                      <w:i w:val="0"/>
                      <w:color w:val="000000"/>
                      <w:kern w:val="0"/>
                      <w:sz w:val="21"/>
                      <w:szCs w:val="21"/>
                      <w:u w:val="none"/>
                      <w:lang w:val="en-US" w:eastAsia="zh-CN" w:bidi="ar"/>
                    </w:rPr>
                    <w:t>，实木颗粒板  三聚氰胺贴面</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厚度：18mm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环保级别： 欧洲E0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密度：g/cm3   0.60----0.90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E0标准 甲醛释放量 ＜=   0.5</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封边：与板材同色1.0封边</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封边胶：无醛封边胶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生产标准：全自动生产线切割</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五金：不锈钢液压缓冲铰链</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柜体和背板均采用18cm板材</w:t>
                  </w:r>
                  <w:r>
                    <w:rPr>
                      <w:rFonts w:hint="eastAsia" w:ascii="宋体" w:hAnsi="宋体" w:eastAsia="宋体" w:cs="宋体"/>
                      <w:i w:val="0"/>
                      <w:color w:val="FF0000"/>
                      <w:kern w:val="0"/>
                      <w:sz w:val="21"/>
                      <w:szCs w:val="21"/>
                      <w:u w:val="none"/>
                      <w:lang w:val="en-US" w:eastAsia="zh-CN" w:bidi="ar"/>
                    </w:rPr>
                    <w:t>（提供板材检测报告）</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bl>
          <w:p>
            <w:pPr>
              <w:keepNext w:val="0"/>
              <w:keepLines w:val="0"/>
              <w:widowControl/>
              <w:suppressLineNumbers w:val="0"/>
              <w:jc w:val="both"/>
              <w:textAlignment w:val="center"/>
              <w:rPr>
                <w:rFonts w:hint="eastAsia" w:ascii="宋体" w:hAnsi="宋体" w:eastAsia="宋体" w:cs="宋体"/>
                <w:b/>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pPr>
          </w:p>
          <w:tbl>
            <w:tblPr>
              <w:tblStyle w:val="10"/>
              <w:tblW w:w="142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70"/>
              <w:gridCol w:w="1080"/>
              <w:gridCol w:w="6045"/>
              <w:gridCol w:w="540"/>
              <w:gridCol w:w="570"/>
              <w:gridCol w:w="735"/>
              <w:gridCol w:w="1290"/>
              <w:gridCol w:w="3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142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书法教室参数清单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货物名称</w:t>
                  </w:r>
                </w:p>
              </w:tc>
              <w:tc>
                <w:tcPr>
                  <w:tcW w:w="6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规格</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单位</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数量</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单价</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5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书法桌（教师）</w:t>
                  </w:r>
                </w:p>
              </w:tc>
              <w:tc>
                <w:tcPr>
                  <w:tcW w:w="6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适用范围：适用于小学、初中美术教学使用。二、技术要求：教师用书画桌，外观尺寸不小于1600*600*900mm，桌面厚度不小于25mm，两端带上翘角头，桌面下带装饰雕花，四根支撑腿，优质实木，采用榫卯结构，结实牢靠。该书画桌简洁大方，纹理通达清晰，外观鲜明光亮，仿古色。应符合JY0001-2003的有关规定。</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书法凳（教师）</w:t>
                  </w:r>
                </w:p>
              </w:tc>
              <w:tc>
                <w:tcPr>
                  <w:tcW w:w="6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适用范围：适用于小学、初中美术教学使用。二、技术要求：同书画桌搭配使用，靠背椅，外观尺寸不小于450*420*450mm，优质实木，采用榫卯结构，结实牢靠。该书画凳简洁大方，纹理通达清晰，外观鲜明光亮，仿古色。应符合JY0001-2003的有关规定。颜色与书法桌一致。</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drawing>
                      <wp:inline distT="0" distB="0" distL="114300" distR="114300">
                        <wp:extent cx="1085850" cy="1000125"/>
                        <wp:effectExtent l="0" t="0" r="0"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6"/>
                                <a:stretch>
                                  <a:fillRect/>
                                </a:stretch>
                              </pic:blipFill>
                              <pic:spPr>
                                <a:xfrm>
                                  <a:off x="0" y="0"/>
                                  <a:ext cx="1085850" cy="1000125"/>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9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书法桌（学生）</w:t>
                  </w:r>
                </w:p>
              </w:tc>
              <w:tc>
                <w:tcPr>
                  <w:tcW w:w="6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适用范围：适用于小学、初中美术教学使用。二、技术要求：学生双人书画桌，外观尺寸不小于1500*500*780mm，两端带上翘角头，桌面下带装饰雕花，四根支撑腿，优质实木，采用榫卯结构，结实牢靠。该书画桌简洁大方，纹理通达清晰，外观鲜明光亮，仿古色。应符合JY0001-2003的有关规定。</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drawing>
                      <wp:inline distT="0" distB="0" distL="114300" distR="114300">
                        <wp:extent cx="1828800" cy="1028700"/>
                        <wp:effectExtent l="0" t="0" r="0" b="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7"/>
                                <a:stretch>
                                  <a:fillRect/>
                                </a:stretch>
                              </pic:blipFill>
                              <pic:spPr>
                                <a:xfrm>
                                  <a:off x="0" y="0"/>
                                  <a:ext cx="1828800" cy="1028700"/>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1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书法凳（学生）</w:t>
                  </w:r>
                </w:p>
              </w:tc>
              <w:tc>
                <w:tcPr>
                  <w:tcW w:w="6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适用范围：适用于小学、初中美术教学使用。二、技术要求：同书画桌搭配使用，鼓凳，凳面直径不小于290mm，高度不小于430mm，优质实木，采用榫卯结构，结实牢靠。该书画凳简洁大方，纹理通达清晰，外观鲜明光亮，仿古色。应符合JY0001-2003的有关规定。颜色与书法桌一致。</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drawing>
                      <wp:inline distT="0" distB="0" distL="114300" distR="114300">
                        <wp:extent cx="1143000" cy="1209675"/>
                        <wp:effectExtent l="0" t="0" r="0" b="9525"/>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8"/>
                                <a:stretch>
                                  <a:fillRect/>
                                </a:stretch>
                              </pic:blipFill>
                              <pic:spPr>
                                <a:xfrm>
                                  <a:off x="0" y="0"/>
                                  <a:ext cx="1143000" cy="1209675"/>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毛笔</w:t>
                  </w:r>
                </w:p>
              </w:tc>
              <w:tc>
                <w:tcPr>
                  <w:tcW w:w="6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加健毛笔：大提斗、中白云、中兰竹、花枝俏、小依纹各一支</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3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书画毡（教师）</w:t>
                  </w:r>
                </w:p>
              </w:tc>
              <w:tc>
                <w:tcPr>
                  <w:tcW w:w="6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白色优质澳洲羊毛书画毡，尺寸不小于800*1500mm</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画毡（学生） </w:t>
                  </w:r>
                </w:p>
              </w:tc>
              <w:tc>
                <w:tcPr>
                  <w:tcW w:w="6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优质书画画毡，尺寸不小于700*1400mm</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笔洗</w:t>
                  </w:r>
                </w:p>
              </w:tc>
              <w:tc>
                <w:tcPr>
                  <w:tcW w:w="6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青花小号笔洗，直径不小于155mm，高度不小于55mm</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drawing>
                      <wp:inline distT="0" distB="0" distL="114300" distR="114300">
                        <wp:extent cx="600075" cy="600075"/>
                        <wp:effectExtent l="0" t="0" r="9525" b="9525"/>
                        <wp:docPr id="5"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9"/>
                                <pic:cNvPicPr>
                                  <a:picLocks noChangeAspect="1"/>
                                </pic:cNvPicPr>
                              </pic:nvPicPr>
                              <pic:blipFill>
                                <a:blip r:embed="rId9"/>
                                <a:stretch>
                                  <a:fillRect/>
                                </a:stretch>
                              </pic:blipFill>
                              <pic:spPr>
                                <a:xfrm>
                                  <a:off x="0" y="0"/>
                                  <a:ext cx="600075" cy="600075"/>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笔架</w:t>
                  </w:r>
                </w:p>
              </w:tc>
              <w:tc>
                <w:tcPr>
                  <w:tcW w:w="6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鸡翅木大号双龙笔架</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笔搁</w:t>
                  </w:r>
                </w:p>
              </w:tc>
              <w:tc>
                <w:tcPr>
                  <w:tcW w:w="6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青花材质，长度不小于155mm，七头</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drawing>
                      <wp:inline distT="0" distB="0" distL="114300" distR="114300">
                        <wp:extent cx="1085850" cy="428625"/>
                        <wp:effectExtent l="0" t="0" r="0" b="9525"/>
                        <wp:docPr id="4"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IMG_260"/>
                                <pic:cNvPicPr>
                                  <a:picLocks noChangeAspect="1"/>
                                </pic:cNvPicPr>
                              </pic:nvPicPr>
                              <pic:blipFill>
                                <a:blip r:embed="rId10"/>
                                <a:stretch>
                                  <a:fillRect/>
                                </a:stretch>
                              </pic:blipFill>
                              <pic:spPr>
                                <a:xfrm>
                                  <a:off x="0" y="0"/>
                                  <a:ext cx="1085850" cy="428625"/>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毛边纸</w:t>
                  </w:r>
                </w:p>
              </w:tc>
              <w:tc>
                <w:tcPr>
                  <w:tcW w:w="6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刀</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宣纸</w:t>
                  </w:r>
                </w:p>
              </w:tc>
              <w:tc>
                <w:tcPr>
                  <w:tcW w:w="6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四尺生宣</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刀</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笔筒</w:t>
                  </w:r>
                </w:p>
              </w:tc>
              <w:tc>
                <w:tcPr>
                  <w:tcW w:w="6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瓷质、青花瓷纹样</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墨</w:t>
                  </w:r>
                </w:p>
              </w:tc>
              <w:tc>
                <w:tcPr>
                  <w:tcW w:w="6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1两金不换墨块</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块</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砚台</w:t>
                  </w:r>
                </w:p>
              </w:tc>
              <w:tc>
                <w:tcPr>
                  <w:tcW w:w="6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5寸古车马，雕花戴盖</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方</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drawing>
                      <wp:inline distT="0" distB="0" distL="114300" distR="114300">
                        <wp:extent cx="552450" cy="542925"/>
                        <wp:effectExtent l="0" t="0" r="0" b="9525"/>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11"/>
                                <a:stretch>
                                  <a:fillRect/>
                                </a:stretch>
                              </pic:blipFill>
                              <pic:spPr>
                                <a:xfrm>
                                  <a:off x="0" y="0"/>
                                  <a:ext cx="552450" cy="542925"/>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镇纸</w:t>
                  </w:r>
                </w:p>
              </w:tc>
              <w:tc>
                <w:tcPr>
                  <w:tcW w:w="6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优质红檀木，长度不小于280mm</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付</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笔帘</w:t>
                  </w:r>
                </w:p>
              </w:tc>
              <w:tc>
                <w:tcPr>
                  <w:tcW w:w="6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竹制，外观尺寸不小于：320*300mm</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书籍</w:t>
                  </w:r>
                </w:p>
              </w:tc>
              <w:tc>
                <w:tcPr>
                  <w:tcW w:w="6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历代书法名家练习字帖 </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30" w:hRule="atLeast"/>
              </w:trPr>
              <w:tc>
                <w:tcPr>
                  <w:tcW w:w="87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08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条幅</w:t>
                  </w:r>
                </w:p>
              </w:tc>
              <w:tc>
                <w:tcPr>
                  <w:tcW w:w="604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中国历代书法名家作品展示</w:t>
                  </w:r>
                </w:p>
              </w:tc>
              <w:tc>
                <w:tcPr>
                  <w:tcW w:w="54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57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735" w:type="dxa"/>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150" w:type="dxa"/>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博古架</w:t>
                  </w:r>
                </w:p>
              </w:tc>
              <w:tc>
                <w:tcPr>
                  <w:tcW w:w="6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外观尺寸不小于980*300*1980mm，优质实木，采用榫卯结构，结实牢靠，纹理通达清晰，外观鲜明光亮</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bl>
          <w:p>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科学实验室成套设备设计方案（六边形）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1435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以下为一套</w:t>
            </w:r>
            <w:r>
              <w:rPr>
                <w:rFonts w:hint="eastAsia" w:ascii="宋体" w:hAnsi="宋体" w:cs="宋体"/>
                <w:b/>
                <w:i w:val="0"/>
                <w:color w:val="000000"/>
                <w:kern w:val="0"/>
                <w:sz w:val="32"/>
                <w:szCs w:val="32"/>
                <w:u w:val="none"/>
                <w:lang w:val="en-US" w:eastAsia="zh-CN" w:bidi="ar"/>
              </w:rPr>
              <w:t>（本次采购2套）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765" w:type="dxa"/>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序号</w:t>
            </w:r>
          </w:p>
        </w:tc>
        <w:tc>
          <w:tcPr>
            <w:tcW w:w="1605" w:type="dxa"/>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设备名称</w:t>
            </w:r>
          </w:p>
        </w:tc>
        <w:tc>
          <w:tcPr>
            <w:tcW w:w="6315" w:type="dxa"/>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规格型号、技术要求</w:t>
            </w:r>
          </w:p>
        </w:tc>
        <w:tc>
          <w:tcPr>
            <w:tcW w:w="915" w:type="dxa"/>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单位</w:t>
            </w:r>
          </w:p>
        </w:tc>
        <w:tc>
          <w:tcPr>
            <w:tcW w:w="1080" w:type="dxa"/>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数量</w:t>
            </w:r>
          </w:p>
        </w:tc>
        <w:tc>
          <w:tcPr>
            <w:tcW w:w="1470" w:type="dxa"/>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单价</w:t>
            </w:r>
          </w:p>
        </w:tc>
        <w:tc>
          <w:tcPr>
            <w:tcW w:w="1125" w:type="dxa"/>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合计</w:t>
            </w:r>
          </w:p>
        </w:tc>
        <w:tc>
          <w:tcPr>
            <w:tcW w:w="1080" w:type="dxa"/>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教师演示桌</w:t>
            </w:r>
          </w:p>
        </w:tc>
        <w:tc>
          <w:tcPr>
            <w:tcW w:w="6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700×850mm，铝合金框架结构，静电喷塑处理，主体立柱为65×50mm带山行槽的方管或椭圆形管，横连接杆为40×30mm方管，壁厚不小于1.5mm；台面为12.7mm厚实芯理化板,四周覆厚为25.4mm；其余板材为18mm厚E1级彩色三聚氰胺板，采用ABS模具注塑防水防腐脚垫；预留电脑显示器位置，品牌滑轨铰链，品牌三合一连接件，品牌2mmPVC封边条，国外进口热熔胶。台身结构：预含有多媒体功能架、电脑主机箱柜及散热片、电源总控台、中控台等，内置多功能插座，视频展台柜。</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教师主控电源</w:t>
            </w:r>
          </w:p>
        </w:tc>
        <w:tc>
          <w:tcPr>
            <w:tcW w:w="6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电源控制台（教师电源、主变压器控制箱）采用抽屉式。2、分四组向学生桌输出安全的220V交流电源，具有漏电及过载保护功能，并具备防雷功能。3、交流输入电压和四组输出电压由0~300V的数字电压表分别显示电压值。4、其他电性能应符合《JY0374—2004》中的相关要求</w:t>
            </w:r>
            <w:r>
              <w:rPr>
                <w:rFonts w:hint="default" w:ascii="仿宋_GB2312" w:hAnsi="宋体" w:eastAsia="仿宋_GB2312" w:cs="仿宋_GB2312"/>
                <w:i w:val="0"/>
                <w:color w:val="FF0000"/>
                <w:kern w:val="0"/>
                <w:sz w:val="24"/>
                <w:szCs w:val="24"/>
                <w:u w:val="none"/>
                <w:lang w:val="en-US" w:eastAsia="zh-CN" w:bidi="ar"/>
              </w:rPr>
              <w:t>。5、电源系统必须具有当年度教育部教育装备研究与发展中心教学仪器设备产品质量检测中心的检测报告。6、必须有CCC认证，网上查验。</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1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学生实验桌</w:t>
            </w:r>
          </w:p>
        </w:tc>
        <w:tc>
          <w:tcPr>
            <w:tcW w:w="6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1400×1200×700×780mm六边形，铝合金框架结构，静电喷塑处理，主体立柱为65×50mm带山行槽的方管或椭圆形管，横连接杆为40×30mm方管，壁厚不小于1.5mm；台面为12.7mm厚彩色实芯理化板（4种颜色，见效果图）,四周覆厚为25mm；其余板材为18mm厚E1级彩色三聚氰胺板，采用ABS模具注塑防水防腐脚垫；品牌滑轨铰链，品牌三合一连接件，品牌2mmPVC封边条，国外进口热熔胶。</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学生电源</w:t>
            </w:r>
          </w:p>
        </w:tc>
        <w:tc>
          <w:tcPr>
            <w:tcW w:w="6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多功能六孔插座，安装于学生实验台侧面，总控在教师演示台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学生凳</w:t>
            </w:r>
          </w:p>
        </w:tc>
        <w:tc>
          <w:tcPr>
            <w:tcW w:w="6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规格：高度420-500mm连续可调,采用ABS工程塑料注塑成蓝色圆凳面，喷塑钢管架，三脚支撑，升降可调。</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水池柜</w:t>
            </w:r>
          </w:p>
        </w:tc>
        <w:tc>
          <w:tcPr>
            <w:tcW w:w="6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2400*600*780mm，材质同学生实验台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水槽</w:t>
            </w:r>
          </w:p>
        </w:tc>
        <w:tc>
          <w:tcPr>
            <w:tcW w:w="6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黑色，400×340×190mm，PP正体专用化验水槽，水封式，可防止废水气体回流和废渣堵塞。</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水嘴</w:t>
            </w:r>
          </w:p>
        </w:tc>
        <w:tc>
          <w:tcPr>
            <w:tcW w:w="6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鹅颈三联高压水嘴，铜质覆塑，陶瓷芯阀。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实验室地面以上水管布置</w:t>
            </w:r>
          </w:p>
        </w:tc>
        <w:tc>
          <w:tcPr>
            <w:tcW w:w="6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给排水连接管和管件用品牌</w:t>
            </w:r>
            <w:r>
              <w:rPr>
                <w:rFonts w:hint="default" w:ascii="Times New Roman" w:hAnsi="Times New Roman" w:eastAsia="宋体" w:cs="Times New Roman"/>
                <w:i w:val="0"/>
                <w:color w:val="000000"/>
                <w:kern w:val="0"/>
                <w:sz w:val="22"/>
                <w:szCs w:val="22"/>
                <w:u w:val="none"/>
                <w:lang w:val="en-US" w:eastAsia="zh-CN" w:bidi="ar"/>
              </w:rPr>
              <w:t>PP-R</w:t>
            </w:r>
            <w:r>
              <w:rPr>
                <w:rFonts w:hint="eastAsia" w:ascii="宋体" w:hAnsi="宋体" w:eastAsia="宋体" w:cs="宋体"/>
                <w:i w:val="0"/>
                <w:color w:val="000000"/>
                <w:kern w:val="0"/>
                <w:sz w:val="22"/>
                <w:szCs w:val="22"/>
                <w:u w:val="none"/>
                <w:lang w:val="en-US" w:eastAsia="zh-CN" w:bidi="ar"/>
              </w:rPr>
              <w:t>产品及</w:t>
            </w:r>
            <w:r>
              <w:rPr>
                <w:rFonts w:hint="default" w:ascii="Times New Roman" w:hAnsi="Times New Roman" w:eastAsia="宋体" w:cs="Times New Roman"/>
                <w:i w:val="0"/>
                <w:color w:val="000000"/>
                <w:kern w:val="0"/>
                <w:sz w:val="22"/>
                <w:szCs w:val="22"/>
                <w:u w:val="none"/>
                <w:lang w:val="en-US" w:eastAsia="zh-CN" w:bidi="ar"/>
              </w:rPr>
              <w:t>UPVC</w:t>
            </w:r>
            <w:r>
              <w:rPr>
                <w:rFonts w:hint="eastAsia" w:ascii="宋体" w:hAnsi="宋体" w:eastAsia="宋体" w:cs="宋体"/>
                <w:i w:val="0"/>
                <w:color w:val="000000"/>
                <w:kern w:val="0"/>
                <w:sz w:val="22"/>
                <w:szCs w:val="22"/>
                <w:u w:val="none"/>
                <w:lang w:val="en-US" w:eastAsia="zh-CN" w:bidi="ar"/>
              </w:rPr>
              <w:t>产品。</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实验室地面以上电器布线及线管</w:t>
            </w:r>
          </w:p>
        </w:tc>
        <w:tc>
          <w:tcPr>
            <w:tcW w:w="6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r>
              <w:rPr>
                <w:rFonts w:hint="eastAsia" w:ascii="宋体" w:hAnsi="宋体" w:eastAsia="宋体" w:cs="宋体"/>
                <w:i w:val="0"/>
                <w:color w:val="000000"/>
                <w:kern w:val="0"/>
                <w:sz w:val="22"/>
                <w:szCs w:val="22"/>
                <w:u w:val="none"/>
                <w:lang w:val="en-US" w:eastAsia="zh-CN" w:bidi="ar"/>
              </w:rPr>
              <w:t>.5-2.5平方的优质国标铜芯线，线管为品牌</w:t>
            </w:r>
            <w:r>
              <w:rPr>
                <w:rFonts w:hint="default" w:ascii="Times New Roman" w:hAnsi="Times New Roman" w:eastAsia="宋体" w:cs="Times New Roman"/>
                <w:i w:val="0"/>
                <w:color w:val="000000"/>
                <w:kern w:val="0"/>
                <w:sz w:val="22"/>
                <w:szCs w:val="22"/>
                <w:u w:val="none"/>
                <w:lang w:val="en-US" w:eastAsia="zh-CN" w:bidi="ar"/>
              </w:rPr>
              <w:t>PVC</w:t>
            </w:r>
            <w:r>
              <w:rPr>
                <w:rFonts w:hint="eastAsia" w:ascii="宋体" w:hAnsi="宋体" w:eastAsia="宋体" w:cs="宋体"/>
                <w:i w:val="0"/>
                <w:color w:val="000000"/>
                <w:kern w:val="0"/>
                <w:sz w:val="22"/>
                <w:szCs w:val="22"/>
                <w:u w:val="none"/>
                <w:lang w:val="en-US" w:eastAsia="zh-CN" w:bidi="ar"/>
              </w:rPr>
              <w:t>管。</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bl>
    <w:p>
      <w:pPr>
        <w:pStyle w:val="13"/>
        <w:tabs>
          <w:tab w:val="left" w:pos="949"/>
        </w:tabs>
        <w:spacing w:before="0" w:after="0" w:line="360" w:lineRule="auto"/>
        <w:ind w:firstLine="3360" w:firstLineChars="1400"/>
        <w:jc w:val="both"/>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ab/>
      </w:r>
    </w:p>
    <w:p>
      <w:pPr>
        <w:pStyle w:val="13"/>
        <w:spacing w:before="0" w:after="0" w:line="360" w:lineRule="auto"/>
        <w:ind w:firstLine="3360" w:firstLineChars="1400"/>
        <w:jc w:val="both"/>
        <w:rPr>
          <w:rFonts w:hint="eastAsia" w:asciiTheme="minorEastAsia" w:hAnsiTheme="minorEastAsia" w:eastAsiaTheme="minorEastAsia" w:cstheme="minorEastAsia"/>
          <w:b/>
          <w:bCs/>
          <w:lang w:val="en-US" w:eastAsia="zh-CN"/>
        </w:rPr>
        <w:sectPr>
          <w:footerReference r:id="rId3" w:type="first"/>
          <w:pgSz w:w="16838" w:h="11906" w:orient="landscape"/>
          <w:pgMar w:top="1134" w:right="1134" w:bottom="1134" w:left="1134" w:header="851" w:footer="992" w:gutter="0"/>
          <w:cols w:space="0" w:num="1"/>
          <w:titlePg/>
          <w:rtlGutter w:val="0"/>
          <w:docGrid w:type="linesAndChars" w:linePitch="315" w:charSpace="0"/>
        </w:sectPr>
      </w:pPr>
    </w:p>
    <w:p>
      <w:pPr>
        <w:pStyle w:val="12"/>
        <w:spacing w:line="357" w:lineRule="atLeast"/>
        <w:rPr>
          <w:rFonts w:asciiTheme="minorEastAsia" w:hAnsiTheme="minorEastAsia" w:eastAsiaTheme="minorEastAsia" w:cstheme="minorEastAsia"/>
          <w:b/>
          <w:bCs/>
          <w:sz w:val="24"/>
          <w:szCs w:val="24"/>
        </w:rPr>
      </w:pPr>
      <w:r>
        <w:rPr>
          <w:rFonts w:hint="eastAsia" w:cs="Arial" w:asciiTheme="minorEastAsia" w:hAnsiTheme="minorEastAsia" w:eastAsiaTheme="minorEastAsia"/>
          <w:color w:val="000000"/>
          <w:sz w:val="24"/>
          <w:szCs w:val="24"/>
        </w:rPr>
        <w:t>    </w:t>
      </w:r>
    </w:p>
    <w:tbl>
      <w:tblPr>
        <w:tblStyle w:val="10"/>
        <w:tblW w:w="16504" w:type="dxa"/>
        <w:tblInd w:w="-1264" w:type="dxa"/>
        <w:tblLayout w:type="fixed"/>
        <w:tblCellMar>
          <w:top w:w="0" w:type="dxa"/>
          <w:left w:w="108" w:type="dxa"/>
          <w:bottom w:w="0" w:type="dxa"/>
          <w:right w:w="108" w:type="dxa"/>
        </w:tblCellMar>
      </w:tblPr>
      <w:tblGrid>
        <w:gridCol w:w="4930"/>
        <w:gridCol w:w="222"/>
        <w:gridCol w:w="5682"/>
        <w:gridCol w:w="996"/>
        <w:gridCol w:w="996"/>
        <w:gridCol w:w="996"/>
        <w:gridCol w:w="996"/>
        <w:gridCol w:w="1155"/>
        <w:gridCol w:w="309"/>
        <w:gridCol w:w="222"/>
      </w:tblGrid>
      <w:tr>
        <w:tblPrEx>
          <w:tblLayout w:type="fixed"/>
          <w:tblCellMar>
            <w:top w:w="0" w:type="dxa"/>
            <w:left w:w="108" w:type="dxa"/>
            <w:bottom w:w="0" w:type="dxa"/>
            <w:right w:w="108" w:type="dxa"/>
          </w:tblCellMar>
        </w:tblPrEx>
        <w:trPr>
          <w:trHeight w:val="480" w:hRule="atLeast"/>
        </w:trPr>
        <w:tc>
          <w:tcPr>
            <w:tcW w:w="16504" w:type="dxa"/>
            <w:gridSpan w:val="10"/>
            <w:tcBorders>
              <w:top w:val="nil"/>
              <w:left w:val="nil"/>
              <w:bottom w:val="single" w:color="auto" w:sz="4" w:space="0"/>
              <w:right w:val="nil"/>
            </w:tcBorders>
            <w:shd w:val="clear" w:color="auto" w:fill="auto"/>
            <w:vAlign w:val="center"/>
          </w:tcPr>
          <w:p>
            <w:pPr>
              <w:widowControl/>
              <w:ind w:firstLine="1908" w:firstLineChars="900"/>
            </w:pPr>
            <w:r>
              <w:drawing>
                <wp:inline distT="0" distB="0" distL="114300" distR="114300">
                  <wp:extent cx="4448175" cy="2165350"/>
                  <wp:effectExtent l="0" t="0" r="9525" b="6350"/>
                  <wp:docPr id="1025" name="Picture 1" descr="小学科学效果图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descr="小学科学效果图4"/>
                          <pic:cNvPicPr>
                            <a:picLocks noChangeAspect="1"/>
                          </pic:cNvPicPr>
                        </pic:nvPicPr>
                        <pic:blipFill>
                          <a:blip r:embed="rId12"/>
                          <a:stretch>
                            <a:fillRect/>
                          </a:stretch>
                        </pic:blipFill>
                        <pic:spPr>
                          <a:xfrm>
                            <a:off x="0" y="0"/>
                            <a:ext cx="4448175" cy="2165350"/>
                          </a:xfrm>
                          <a:prstGeom prst="rect">
                            <a:avLst/>
                          </a:prstGeom>
                          <a:noFill/>
                          <a:ln w="9525">
                            <a:noFill/>
                          </a:ln>
                        </pic:spPr>
                      </pic:pic>
                    </a:graphicData>
                  </a:graphic>
                </wp:inline>
              </w:drawing>
            </w:r>
            <w:r>
              <w:drawing>
                <wp:inline distT="0" distB="0" distL="114300" distR="114300">
                  <wp:extent cx="3133725" cy="1965960"/>
                  <wp:effectExtent l="0" t="0" r="9525" b="15240"/>
                  <wp:docPr id="1026" name="Picture 2" descr="9RX@}U89AXHJ{E4@[7]IAH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9RX@}U89AXHJ{E4@[7]IAHL"/>
                          <pic:cNvPicPr>
                            <a:picLocks noChangeAspect="1"/>
                          </pic:cNvPicPr>
                        </pic:nvPicPr>
                        <pic:blipFill>
                          <a:blip r:embed="rId13"/>
                          <a:stretch>
                            <a:fillRect/>
                          </a:stretch>
                        </pic:blipFill>
                        <pic:spPr>
                          <a:xfrm>
                            <a:off x="0" y="0"/>
                            <a:ext cx="3133725" cy="1965960"/>
                          </a:xfrm>
                          <a:prstGeom prst="rect">
                            <a:avLst/>
                          </a:prstGeom>
                          <a:noFill/>
                          <a:ln w="9525">
                            <a:noFill/>
                          </a:ln>
                        </pic:spPr>
                      </pic:pic>
                    </a:graphicData>
                  </a:graphic>
                </wp:inline>
              </w:drawing>
            </w:r>
          </w:p>
          <w:p>
            <w:pPr>
              <w:widowControl/>
              <w:ind w:firstLine="1908" w:firstLineChars="900"/>
            </w:pPr>
          </w:p>
          <w:p>
            <w:pPr>
              <w:widowControl/>
              <w:ind w:firstLine="1908" w:firstLineChars="900"/>
            </w:pPr>
          </w:p>
          <w:p>
            <w:pPr>
              <w:widowControl/>
              <w:ind w:firstLine="1908" w:firstLineChars="900"/>
            </w:pPr>
          </w:p>
          <w:p>
            <w:pPr>
              <w:widowControl/>
              <w:ind w:firstLine="1908" w:firstLineChars="900"/>
            </w:pPr>
          </w:p>
          <w:p>
            <w:pPr>
              <w:widowControl/>
              <w:ind w:firstLine="1908" w:firstLineChars="900"/>
            </w:pPr>
          </w:p>
          <w:p>
            <w:pPr>
              <w:widowControl/>
              <w:ind w:firstLine="1908" w:firstLineChars="900"/>
            </w:pPr>
          </w:p>
          <w:p>
            <w:pPr>
              <w:widowControl/>
              <w:ind w:firstLine="1908" w:firstLineChars="900"/>
              <w:rPr>
                <w:rFonts w:hint="eastAsia"/>
              </w:rPr>
            </w:pPr>
          </w:p>
          <w:p>
            <w:pPr>
              <w:widowControl/>
              <w:ind w:firstLine="5058" w:firstLineChars="900"/>
              <w:rPr>
                <w:rFonts w:hint="eastAsia" w:ascii="宋体" w:hAnsi="宋体" w:eastAsia="宋体" w:cs="宋体"/>
                <w:b/>
                <w:bCs/>
                <w:kern w:val="0"/>
                <w:sz w:val="56"/>
                <w:szCs w:val="56"/>
              </w:rPr>
            </w:pPr>
          </w:p>
          <w:p>
            <w:pPr>
              <w:widowControl/>
              <w:rPr>
                <w:rFonts w:hint="eastAsia" w:ascii="宋体" w:hAnsi="宋体" w:eastAsia="宋体" w:cs="宋体"/>
                <w:b/>
                <w:bCs/>
                <w:kern w:val="0"/>
                <w:sz w:val="56"/>
                <w:szCs w:val="56"/>
              </w:rPr>
            </w:pPr>
          </w:p>
          <w:p>
            <w:pPr>
              <w:widowControl/>
              <w:ind w:firstLine="5058" w:firstLineChars="900"/>
              <w:rPr>
                <w:rFonts w:hint="eastAsia" w:ascii="宋体" w:hAnsi="宋体" w:eastAsia="宋体" w:cs="宋体"/>
                <w:b/>
                <w:bCs/>
                <w:kern w:val="0"/>
                <w:sz w:val="56"/>
                <w:szCs w:val="56"/>
              </w:rPr>
            </w:pPr>
          </w:p>
          <w:p>
            <w:pPr>
              <w:widowControl/>
              <w:ind w:firstLine="5058" w:firstLineChars="900"/>
              <w:rPr>
                <w:rFonts w:hint="eastAsia" w:ascii="宋体" w:hAnsi="宋体" w:eastAsia="宋体" w:cs="宋体"/>
                <w:kern w:val="0"/>
                <w:sz w:val="24"/>
                <w:szCs w:val="24"/>
              </w:rPr>
            </w:pPr>
            <w:r>
              <w:rPr>
                <w:rFonts w:hint="eastAsia" w:ascii="宋体" w:hAnsi="宋体" w:eastAsia="宋体" w:cs="宋体"/>
                <w:b/>
                <w:bCs/>
                <w:kern w:val="0"/>
                <w:sz w:val="56"/>
                <w:szCs w:val="56"/>
              </w:rPr>
              <w:t>襄城县政府采购中心询价表</w:t>
            </w:r>
          </w:p>
          <w:p>
            <w:pPr>
              <w:widowControl/>
              <w:rPr>
                <w:rFonts w:hint="eastAsia" w:ascii="宋体" w:hAnsi="宋体" w:eastAsia="宋体" w:cs="宋体"/>
                <w:kern w:val="0"/>
                <w:sz w:val="24"/>
                <w:szCs w:val="24"/>
              </w:rPr>
            </w:pPr>
          </w:p>
          <w:p>
            <w:pPr>
              <w:widowControl/>
              <w:rPr>
                <w:rFonts w:hint="eastAsia" w:ascii="宋体" w:hAnsi="宋体" w:eastAsia="宋体" w:cs="宋体"/>
                <w:kern w:val="0"/>
                <w:sz w:val="24"/>
                <w:szCs w:val="24"/>
              </w:rPr>
            </w:pPr>
          </w:p>
          <w:p>
            <w:pPr>
              <w:widowControl/>
              <w:rPr>
                <w:rFonts w:ascii="宋体" w:hAnsi="宋体" w:eastAsia="宋体" w:cs="宋体"/>
                <w:kern w:val="0"/>
                <w:sz w:val="24"/>
                <w:szCs w:val="24"/>
              </w:rPr>
            </w:pPr>
            <w:r>
              <w:rPr>
                <w:rFonts w:hint="eastAsia" w:ascii="宋体" w:hAnsi="宋体" w:eastAsia="宋体" w:cs="宋体"/>
                <w:kern w:val="0"/>
                <w:sz w:val="24"/>
                <w:szCs w:val="24"/>
              </w:rPr>
              <w:t xml:space="preserve">项目名称：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 xml:space="preserve"> 年     月     日</w:t>
            </w:r>
          </w:p>
        </w:tc>
      </w:tr>
      <w:tr>
        <w:tblPrEx>
          <w:tblLayout w:type="fixed"/>
          <w:tblCellMar>
            <w:top w:w="0" w:type="dxa"/>
            <w:left w:w="108" w:type="dxa"/>
            <w:bottom w:w="0" w:type="dxa"/>
            <w:right w:w="108" w:type="dxa"/>
          </w:tblCellMar>
        </w:tblPrEx>
        <w:trPr>
          <w:trHeight w:val="990" w:hRule="atLeast"/>
        </w:trPr>
        <w:tc>
          <w:tcPr>
            <w:tcW w:w="49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供应商名称（公章）</w:t>
            </w:r>
          </w:p>
        </w:tc>
        <w:tc>
          <w:tcPr>
            <w:tcW w:w="590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rPr>
              <w:t>法人或委托代理人（签名）</w:t>
            </w:r>
          </w:p>
        </w:tc>
        <w:tc>
          <w:tcPr>
            <w:tcW w:w="199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电话</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联系人</w:t>
            </w:r>
          </w:p>
        </w:tc>
        <w:tc>
          <w:tcPr>
            <w:tcW w:w="53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855" w:hRule="atLeast"/>
        </w:trPr>
        <w:tc>
          <w:tcPr>
            <w:tcW w:w="4930" w:type="dxa"/>
            <w:tcBorders>
              <w:top w:val="nil"/>
              <w:left w:val="single" w:color="auto" w:sz="4" w:space="0"/>
              <w:bottom w:val="single" w:color="auto" w:sz="4" w:space="0"/>
              <w:right w:val="single" w:color="auto" w:sz="4" w:space="0"/>
              <w:tl2br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项目                  货物名称</w:t>
            </w:r>
          </w:p>
        </w:tc>
        <w:tc>
          <w:tcPr>
            <w:tcW w:w="590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规格型号或技术参数</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数量</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单位</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单价</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总价</w:t>
            </w:r>
          </w:p>
        </w:tc>
        <w:tc>
          <w:tcPr>
            <w:tcW w:w="168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厂家、厂地</w:t>
            </w:r>
          </w:p>
        </w:tc>
      </w:tr>
      <w:tr>
        <w:tblPrEx>
          <w:tblLayout w:type="fixed"/>
          <w:tblCellMar>
            <w:top w:w="0" w:type="dxa"/>
            <w:left w:w="108" w:type="dxa"/>
            <w:bottom w:w="0" w:type="dxa"/>
            <w:right w:w="108" w:type="dxa"/>
          </w:tblCellMar>
        </w:tblPrEx>
        <w:trPr>
          <w:trHeight w:val="660" w:hRule="atLeast"/>
        </w:trPr>
        <w:tc>
          <w:tcPr>
            <w:tcW w:w="49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590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686"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660" w:hRule="atLeast"/>
        </w:trPr>
        <w:tc>
          <w:tcPr>
            <w:tcW w:w="49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590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68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600" w:hRule="atLeast"/>
        </w:trPr>
        <w:tc>
          <w:tcPr>
            <w:tcW w:w="49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590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68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660" w:hRule="atLeast"/>
        </w:trPr>
        <w:tc>
          <w:tcPr>
            <w:tcW w:w="49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1574" w:type="dxa"/>
            <w:gridSpan w:val="9"/>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大写：                                                            小写：</w:t>
            </w:r>
          </w:p>
        </w:tc>
      </w:tr>
      <w:tr>
        <w:tblPrEx>
          <w:tblLayout w:type="fixed"/>
          <w:tblCellMar>
            <w:top w:w="0" w:type="dxa"/>
            <w:left w:w="108" w:type="dxa"/>
            <w:bottom w:w="0" w:type="dxa"/>
            <w:right w:w="108" w:type="dxa"/>
          </w:tblCellMar>
        </w:tblPrEx>
        <w:trPr>
          <w:trHeight w:val="285" w:hRule="atLeast"/>
        </w:trPr>
        <w:tc>
          <w:tcPr>
            <w:tcW w:w="5152" w:type="dxa"/>
            <w:gridSpan w:val="2"/>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注：此表格可扩展也可另附技术</w:t>
            </w:r>
            <w:r>
              <w:rPr>
                <w:rFonts w:hint="eastAsia" w:ascii="宋体" w:hAnsi="宋体" w:cs="宋体"/>
                <w:kern w:val="0"/>
                <w:sz w:val="24"/>
                <w:szCs w:val="24"/>
                <w:lang w:eastAsia="zh-CN"/>
              </w:rPr>
              <w:t>参数</w:t>
            </w:r>
            <w:r>
              <w:rPr>
                <w:rFonts w:hint="eastAsia" w:ascii="宋体" w:hAnsi="宋体" w:eastAsia="宋体" w:cs="宋体"/>
                <w:kern w:val="0"/>
                <w:sz w:val="24"/>
                <w:szCs w:val="24"/>
              </w:rPr>
              <w:t>及</w:t>
            </w:r>
            <w:r>
              <w:rPr>
                <w:rFonts w:hint="eastAsia" w:ascii="宋体" w:hAnsi="宋体" w:cs="宋体"/>
                <w:kern w:val="0"/>
                <w:sz w:val="24"/>
                <w:szCs w:val="24"/>
                <w:lang w:eastAsia="zh-CN"/>
              </w:rPr>
              <w:t>型号</w:t>
            </w:r>
          </w:p>
        </w:tc>
        <w:tc>
          <w:tcPr>
            <w:tcW w:w="5682" w:type="dxa"/>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p>
        </w:tc>
        <w:tc>
          <w:tcPr>
            <w:tcW w:w="996" w:type="dxa"/>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p>
        </w:tc>
        <w:tc>
          <w:tcPr>
            <w:tcW w:w="996" w:type="dxa"/>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p>
        </w:tc>
        <w:tc>
          <w:tcPr>
            <w:tcW w:w="996" w:type="dxa"/>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p>
        </w:tc>
        <w:tc>
          <w:tcPr>
            <w:tcW w:w="996" w:type="dxa"/>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p>
        </w:tc>
        <w:tc>
          <w:tcPr>
            <w:tcW w:w="1464" w:type="dxa"/>
            <w:gridSpan w:val="2"/>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p>
        </w:tc>
        <w:tc>
          <w:tcPr>
            <w:tcW w:w="222" w:type="dxa"/>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p>
        </w:tc>
      </w:tr>
    </w:tbl>
    <w:p>
      <w:pPr>
        <w:ind w:firstLine="5808" w:firstLineChars="2400"/>
        <w:jc w:val="left"/>
        <w:rPr>
          <w:rFonts w:hint="eastAsia" w:asciiTheme="minorEastAsia" w:hAnsiTheme="minorEastAsia" w:eastAsiaTheme="minorEastAsia" w:cstheme="minorEastAsia"/>
          <w:sz w:val="24"/>
          <w:lang w:eastAsia="zh-CN"/>
        </w:rPr>
      </w:pPr>
    </w:p>
    <w:p>
      <w:pPr>
        <w:ind w:firstLine="5808" w:firstLineChars="2400"/>
        <w:jc w:val="left"/>
        <w:rPr>
          <w:rFonts w:hint="eastAsia" w:asciiTheme="minorEastAsia" w:hAnsiTheme="minorEastAsia" w:eastAsiaTheme="minorEastAsia" w:cstheme="minorEastAsia"/>
          <w:sz w:val="24"/>
          <w:lang w:eastAsia="zh-CN"/>
        </w:rPr>
      </w:pPr>
    </w:p>
    <w:p>
      <w:pPr>
        <w:ind w:firstLine="5808" w:firstLineChars="2400"/>
        <w:jc w:val="left"/>
        <w:rPr>
          <w:rFonts w:hint="eastAsia" w:asciiTheme="minorEastAsia" w:hAnsiTheme="minorEastAsia" w:eastAsiaTheme="minorEastAsia" w:cstheme="minorEastAsia"/>
          <w:sz w:val="24"/>
          <w:lang w:eastAsia="zh-CN"/>
        </w:rPr>
      </w:pPr>
    </w:p>
    <w:p>
      <w:pPr>
        <w:ind w:firstLine="5808" w:firstLineChars="2400"/>
        <w:jc w:val="left"/>
        <w:rPr>
          <w:rFonts w:hint="eastAsia" w:asciiTheme="minorEastAsia" w:hAnsiTheme="minorEastAsia" w:eastAsiaTheme="minorEastAsia" w:cstheme="minorEastAsia"/>
          <w:sz w:val="24"/>
          <w:lang w:eastAsia="zh-CN"/>
        </w:rPr>
      </w:pPr>
    </w:p>
    <w:p>
      <w:pPr>
        <w:ind w:firstLine="5808" w:firstLineChars="2400"/>
        <w:jc w:val="left"/>
        <w:rPr>
          <w:rFonts w:hint="eastAsia" w:asciiTheme="minorEastAsia" w:hAnsiTheme="minorEastAsia" w:eastAsiaTheme="minorEastAsia" w:cstheme="minorEastAsia"/>
          <w:sz w:val="24"/>
          <w:lang w:eastAsia="zh-CN"/>
        </w:rPr>
      </w:pPr>
    </w:p>
    <w:p>
      <w:pPr>
        <w:ind w:firstLine="5808" w:firstLineChars="2400"/>
        <w:jc w:val="left"/>
        <w:rPr>
          <w:rFonts w:hint="eastAsia" w:asciiTheme="minorEastAsia" w:hAnsiTheme="minorEastAsia" w:eastAsiaTheme="minorEastAsia" w:cstheme="minorEastAsia"/>
          <w:sz w:val="24"/>
          <w:lang w:eastAsia="zh-CN"/>
        </w:rPr>
      </w:pPr>
    </w:p>
    <w:p>
      <w:pPr>
        <w:ind w:firstLine="5808" w:firstLineChars="2400"/>
        <w:jc w:val="left"/>
        <w:rPr>
          <w:rFonts w:hint="eastAsia" w:asciiTheme="minorEastAsia" w:hAnsiTheme="minorEastAsia" w:eastAsiaTheme="minorEastAsia" w:cstheme="minorEastAsia"/>
          <w:sz w:val="24"/>
          <w:lang w:eastAsia="zh-CN"/>
        </w:rPr>
      </w:pPr>
    </w:p>
    <w:p>
      <w:pPr>
        <w:ind w:firstLine="6776" w:firstLineChars="2800"/>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售后服务</w:t>
      </w:r>
    </w:p>
    <w:sectPr>
      <w:pgSz w:w="16838" w:h="11906" w:orient="landscape"/>
      <w:pgMar w:top="1803" w:right="1440" w:bottom="1803" w:left="1440" w:header="851" w:footer="992" w:gutter="0"/>
      <w:cols w:space="0" w:num="1"/>
      <w:titlePg/>
      <w:docGrid w:type="linesAndChars" w:linePitch="319" w:charSpace="57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swiss"/>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BatangChe">
    <w:panose1 w:val="02030609000101010101"/>
    <w:charset w:val="81"/>
    <w:family w:val="auto"/>
    <w:pitch w:val="default"/>
    <w:sig w:usb0="B00002AF" w:usb1="69D77CFB" w:usb2="00000030" w:usb3="00000000" w:csb0="4008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t>6</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73FB18"/>
    <w:multiLevelType w:val="singleLevel"/>
    <w:tmpl w:val="6673FB18"/>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315"/>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72A27"/>
    <w:rsid w:val="002A2ABB"/>
    <w:rsid w:val="0038233A"/>
    <w:rsid w:val="005159AD"/>
    <w:rsid w:val="0085188B"/>
    <w:rsid w:val="00861ACB"/>
    <w:rsid w:val="00884E94"/>
    <w:rsid w:val="00891C09"/>
    <w:rsid w:val="009F1E2B"/>
    <w:rsid w:val="00A26F1D"/>
    <w:rsid w:val="00AD2A0E"/>
    <w:rsid w:val="00DC1844"/>
    <w:rsid w:val="00F9573E"/>
    <w:rsid w:val="022E06C1"/>
    <w:rsid w:val="02860A44"/>
    <w:rsid w:val="02B86589"/>
    <w:rsid w:val="02F37F69"/>
    <w:rsid w:val="03C8149A"/>
    <w:rsid w:val="03D51EDF"/>
    <w:rsid w:val="03EA3436"/>
    <w:rsid w:val="040D1AC9"/>
    <w:rsid w:val="041C12CF"/>
    <w:rsid w:val="04286885"/>
    <w:rsid w:val="04D77E89"/>
    <w:rsid w:val="05206FF4"/>
    <w:rsid w:val="05234EBD"/>
    <w:rsid w:val="05B26C5F"/>
    <w:rsid w:val="068773D2"/>
    <w:rsid w:val="07BF1177"/>
    <w:rsid w:val="083B476C"/>
    <w:rsid w:val="08A071D4"/>
    <w:rsid w:val="091C7E5A"/>
    <w:rsid w:val="095D37B4"/>
    <w:rsid w:val="09C5471D"/>
    <w:rsid w:val="09C94B61"/>
    <w:rsid w:val="0A193443"/>
    <w:rsid w:val="0A30216C"/>
    <w:rsid w:val="0A477CD2"/>
    <w:rsid w:val="0A733C33"/>
    <w:rsid w:val="0B162FFC"/>
    <w:rsid w:val="0B54236F"/>
    <w:rsid w:val="0BC871D2"/>
    <w:rsid w:val="0C0335EA"/>
    <w:rsid w:val="0CC97A7B"/>
    <w:rsid w:val="0D3732CA"/>
    <w:rsid w:val="0D741CAC"/>
    <w:rsid w:val="0E160A70"/>
    <w:rsid w:val="0E180C37"/>
    <w:rsid w:val="0E4C1CEB"/>
    <w:rsid w:val="0E5E4962"/>
    <w:rsid w:val="0E77303E"/>
    <w:rsid w:val="0EA013DB"/>
    <w:rsid w:val="0ECA0BF4"/>
    <w:rsid w:val="0F680262"/>
    <w:rsid w:val="10B33A5E"/>
    <w:rsid w:val="10CD2AF8"/>
    <w:rsid w:val="11CC07E5"/>
    <w:rsid w:val="11E3332C"/>
    <w:rsid w:val="12010373"/>
    <w:rsid w:val="1207425A"/>
    <w:rsid w:val="12B33420"/>
    <w:rsid w:val="12D214DD"/>
    <w:rsid w:val="12DB2F93"/>
    <w:rsid w:val="12F03688"/>
    <w:rsid w:val="12F620DA"/>
    <w:rsid w:val="13A92D69"/>
    <w:rsid w:val="13DC6649"/>
    <w:rsid w:val="13FE15C8"/>
    <w:rsid w:val="14405FB8"/>
    <w:rsid w:val="14802165"/>
    <w:rsid w:val="14CB2C7E"/>
    <w:rsid w:val="14FE145F"/>
    <w:rsid w:val="15B64031"/>
    <w:rsid w:val="15D57DA1"/>
    <w:rsid w:val="16553B6A"/>
    <w:rsid w:val="167F54C8"/>
    <w:rsid w:val="1705176F"/>
    <w:rsid w:val="17BF3252"/>
    <w:rsid w:val="17C45056"/>
    <w:rsid w:val="18054AF7"/>
    <w:rsid w:val="18073753"/>
    <w:rsid w:val="18432757"/>
    <w:rsid w:val="18957DFF"/>
    <w:rsid w:val="18964EFE"/>
    <w:rsid w:val="18E35449"/>
    <w:rsid w:val="19745247"/>
    <w:rsid w:val="19BD207D"/>
    <w:rsid w:val="19BE774D"/>
    <w:rsid w:val="19C649E5"/>
    <w:rsid w:val="19D2562B"/>
    <w:rsid w:val="1A157BB1"/>
    <w:rsid w:val="1A400624"/>
    <w:rsid w:val="1A770294"/>
    <w:rsid w:val="1AC73453"/>
    <w:rsid w:val="1B070E7B"/>
    <w:rsid w:val="1B6E2BF5"/>
    <w:rsid w:val="1B8D2216"/>
    <w:rsid w:val="1BF86C1A"/>
    <w:rsid w:val="1C4E064B"/>
    <w:rsid w:val="1C5D3919"/>
    <w:rsid w:val="1CF933ED"/>
    <w:rsid w:val="1D0D4B13"/>
    <w:rsid w:val="1D2D3A4A"/>
    <w:rsid w:val="1D5615FE"/>
    <w:rsid w:val="1E826164"/>
    <w:rsid w:val="1E8A58B5"/>
    <w:rsid w:val="1E9F5F26"/>
    <w:rsid w:val="1EB6235C"/>
    <w:rsid w:val="1EE608D2"/>
    <w:rsid w:val="1EEA0BFC"/>
    <w:rsid w:val="1F9C04B0"/>
    <w:rsid w:val="207A308B"/>
    <w:rsid w:val="2106040E"/>
    <w:rsid w:val="21081F0D"/>
    <w:rsid w:val="211A20DA"/>
    <w:rsid w:val="212B5EDD"/>
    <w:rsid w:val="21526133"/>
    <w:rsid w:val="21612B7D"/>
    <w:rsid w:val="21CA5082"/>
    <w:rsid w:val="21DA0FE1"/>
    <w:rsid w:val="21FF5406"/>
    <w:rsid w:val="221A03F8"/>
    <w:rsid w:val="236F26B7"/>
    <w:rsid w:val="23C53BFC"/>
    <w:rsid w:val="23E709E9"/>
    <w:rsid w:val="24084C0D"/>
    <w:rsid w:val="242B157F"/>
    <w:rsid w:val="24543BBC"/>
    <w:rsid w:val="246003F6"/>
    <w:rsid w:val="2499799A"/>
    <w:rsid w:val="24D6667D"/>
    <w:rsid w:val="251E2CE0"/>
    <w:rsid w:val="25AC1D04"/>
    <w:rsid w:val="25BA49EA"/>
    <w:rsid w:val="25C74A74"/>
    <w:rsid w:val="2648463D"/>
    <w:rsid w:val="26F02EA8"/>
    <w:rsid w:val="270C6745"/>
    <w:rsid w:val="277B37A1"/>
    <w:rsid w:val="27D723C3"/>
    <w:rsid w:val="285619A7"/>
    <w:rsid w:val="285C250C"/>
    <w:rsid w:val="28683BF6"/>
    <w:rsid w:val="28756384"/>
    <w:rsid w:val="28DD431A"/>
    <w:rsid w:val="293E516D"/>
    <w:rsid w:val="29557A2A"/>
    <w:rsid w:val="29D6163B"/>
    <w:rsid w:val="2B0532EB"/>
    <w:rsid w:val="2B3F64DA"/>
    <w:rsid w:val="2B675FBE"/>
    <w:rsid w:val="2B7C284C"/>
    <w:rsid w:val="2BD1725C"/>
    <w:rsid w:val="2C3F36A7"/>
    <w:rsid w:val="2C96052E"/>
    <w:rsid w:val="2CC54030"/>
    <w:rsid w:val="2D3D1763"/>
    <w:rsid w:val="2D750A39"/>
    <w:rsid w:val="2D8753BC"/>
    <w:rsid w:val="2DBC7570"/>
    <w:rsid w:val="2DD85744"/>
    <w:rsid w:val="2DF3441B"/>
    <w:rsid w:val="2E667048"/>
    <w:rsid w:val="2F181381"/>
    <w:rsid w:val="2F7D2A97"/>
    <w:rsid w:val="2F81703C"/>
    <w:rsid w:val="2FC157F7"/>
    <w:rsid w:val="3057702B"/>
    <w:rsid w:val="30E6222C"/>
    <w:rsid w:val="31052C16"/>
    <w:rsid w:val="310D400C"/>
    <w:rsid w:val="31504BA4"/>
    <w:rsid w:val="31F053C2"/>
    <w:rsid w:val="3244543B"/>
    <w:rsid w:val="32927F1C"/>
    <w:rsid w:val="32B506C2"/>
    <w:rsid w:val="32C075D5"/>
    <w:rsid w:val="32E25DC4"/>
    <w:rsid w:val="33BF1815"/>
    <w:rsid w:val="33CA4C1D"/>
    <w:rsid w:val="34111C8E"/>
    <w:rsid w:val="34CA6229"/>
    <w:rsid w:val="35273EDC"/>
    <w:rsid w:val="354F4EE2"/>
    <w:rsid w:val="35711EA2"/>
    <w:rsid w:val="35F50C68"/>
    <w:rsid w:val="36007CC4"/>
    <w:rsid w:val="366B580A"/>
    <w:rsid w:val="36760D48"/>
    <w:rsid w:val="36DD0AFF"/>
    <w:rsid w:val="37C905E3"/>
    <w:rsid w:val="37E97958"/>
    <w:rsid w:val="37EF4559"/>
    <w:rsid w:val="385C318A"/>
    <w:rsid w:val="391A42A6"/>
    <w:rsid w:val="39D50101"/>
    <w:rsid w:val="39EE3B1F"/>
    <w:rsid w:val="3A227BA9"/>
    <w:rsid w:val="3AC05780"/>
    <w:rsid w:val="3AF9589D"/>
    <w:rsid w:val="3B1E418E"/>
    <w:rsid w:val="3B341396"/>
    <w:rsid w:val="3B7C5F59"/>
    <w:rsid w:val="3BAA0D70"/>
    <w:rsid w:val="3BE3565A"/>
    <w:rsid w:val="3C181F04"/>
    <w:rsid w:val="3C1D2FCD"/>
    <w:rsid w:val="3C1E736F"/>
    <w:rsid w:val="3C282298"/>
    <w:rsid w:val="3C7D4CFA"/>
    <w:rsid w:val="3D4D408D"/>
    <w:rsid w:val="3D514918"/>
    <w:rsid w:val="3D516C55"/>
    <w:rsid w:val="3DEA22E9"/>
    <w:rsid w:val="3E07416F"/>
    <w:rsid w:val="3E3110E7"/>
    <w:rsid w:val="3E767A07"/>
    <w:rsid w:val="3E9B47FB"/>
    <w:rsid w:val="3EA22ECE"/>
    <w:rsid w:val="3EBE5B95"/>
    <w:rsid w:val="3F586E9F"/>
    <w:rsid w:val="40184754"/>
    <w:rsid w:val="404F69B4"/>
    <w:rsid w:val="40D87290"/>
    <w:rsid w:val="415A0FC6"/>
    <w:rsid w:val="418E7688"/>
    <w:rsid w:val="42553662"/>
    <w:rsid w:val="42C72970"/>
    <w:rsid w:val="42EE26F3"/>
    <w:rsid w:val="43520A50"/>
    <w:rsid w:val="443351E1"/>
    <w:rsid w:val="448063D0"/>
    <w:rsid w:val="452F7E96"/>
    <w:rsid w:val="45A50AD9"/>
    <w:rsid w:val="45B82555"/>
    <w:rsid w:val="468C72C9"/>
    <w:rsid w:val="469814FA"/>
    <w:rsid w:val="469D2AAA"/>
    <w:rsid w:val="46B00A86"/>
    <w:rsid w:val="474217DF"/>
    <w:rsid w:val="47940C1F"/>
    <w:rsid w:val="47B725A2"/>
    <w:rsid w:val="47CA0481"/>
    <w:rsid w:val="47FC6F03"/>
    <w:rsid w:val="486068E5"/>
    <w:rsid w:val="49681009"/>
    <w:rsid w:val="49B976B3"/>
    <w:rsid w:val="49F24D4B"/>
    <w:rsid w:val="4AE816A3"/>
    <w:rsid w:val="4B3B1332"/>
    <w:rsid w:val="4BE84633"/>
    <w:rsid w:val="4C0242C3"/>
    <w:rsid w:val="4C401260"/>
    <w:rsid w:val="4C71045E"/>
    <w:rsid w:val="4C901C13"/>
    <w:rsid w:val="4CA73E0A"/>
    <w:rsid w:val="4D345000"/>
    <w:rsid w:val="4D7B418E"/>
    <w:rsid w:val="4E436150"/>
    <w:rsid w:val="4F23388C"/>
    <w:rsid w:val="4FBA19F2"/>
    <w:rsid w:val="4FDC4027"/>
    <w:rsid w:val="500072A0"/>
    <w:rsid w:val="50032EFA"/>
    <w:rsid w:val="503E231D"/>
    <w:rsid w:val="50414A18"/>
    <w:rsid w:val="50737DBC"/>
    <w:rsid w:val="510F486A"/>
    <w:rsid w:val="510F5E1F"/>
    <w:rsid w:val="516C5745"/>
    <w:rsid w:val="51866B30"/>
    <w:rsid w:val="51960551"/>
    <w:rsid w:val="51987CEC"/>
    <w:rsid w:val="51AD065B"/>
    <w:rsid w:val="51B7597F"/>
    <w:rsid w:val="51C64216"/>
    <w:rsid w:val="520D145E"/>
    <w:rsid w:val="524F30AA"/>
    <w:rsid w:val="52DD4BF7"/>
    <w:rsid w:val="531D2E25"/>
    <w:rsid w:val="53513B3D"/>
    <w:rsid w:val="54155187"/>
    <w:rsid w:val="542A2717"/>
    <w:rsid w:val="545036ED"/>
    <w:rsid w:val="548D75D3"/>
    <w:rsid w:val="559C4B70"/>
    <w:rsid w:val="55FE19CB"/>
    <w:rsid w:val="5600584D"/>
    <w:rsid w:val="56737973"/>
    <w:rsid w:val="567C726D"/>
    <w:rsid w:val="56955EB1"/>
    <w:rsid w:val="573C17C1"/>
    <w:rsid w:val="5807793F"/>
    <w:rsid w:val="5812357A"/>
    <w:rsid w:val="58561E4A"/>
    <w:rsid w:val="588931CB"/>
    <w:rsid w:val="594A1490"/>
    <w:rsid w:val="595D7DC3"/>
    <w:rsid w:val="59D717D6"/>
    <w:rsid w:val="5AC13505"/>
    <w:rsid w:val="5B2B5154"/>
    <w:rsid w:val="5B3A00CC"/>
    <w:rsid w:val="5B614541"/>
    <w:rsid w:val="5B922D60"/>
    <w:rsid w:val="5BC15084"/>
    <w:rsid w:val="5BD07A74"/>
    <w:rsid w:val="5C39047A"/>
    <w:rsid w:val="5CAD442A"/>
    <w:rsid w:val="5CDF0B05"/>
    <w:rsid w:val="5D8130AA"/>
    <w:rsid w:val="5DCF1983"/>
    <w:rsid w:val="5DF73DA1"/>
    <w:rsid w:val="5E5F1AA1"/>
    <w:rsid w:val="5EBF6F92"/>
    <w:rsid w:val="5F4E6FA2"/>
    <w:rsid w:val="5FA712D5"/>
    <w:rsid w:val="5FFD2334"/>
    <w:rsid w:val="60897FA0"/>
    <w:rsid w:val="609B52DD"/>
    <w:rsid w:val="60AA5592"/>
    <w:rsid w:val="60D6106E"/>
    <w:rsid w:val="611D398D"/>
    <w:rsid w:val="61BD7F22"/>
    <w:rsid w:val="62282C42"/>
    <w:rsid w:val="624146D9"/>
    <w:rsid w:val="62431EFB"/>
    <w:rsid w:val="625E4A67"/>
    <w:rsid w:val="62D05472"/>
    <w:rsid w:val="62E7468B"/>
    <w:rsid w:val="6355317F"/>
    <w:rsid w:val="63DC0838"/>
    <w:rsid w:val="63E553C3"/>
    <w:rsid w:val="64256570"/>
    <w:rsid w:val="647E2B31"/>
    <w:rsid w:val="64D305FA"/>
    <w:rsid w:val="6512089E"/>
    <w:rsid w:val="65405E84"/>
    <w:rsid w:val="657308A3"/>
    <w:rsid w:val="6596586E"/>
    <w:rsid w:val="65AD1BA2"/>
    <w:rsid w:val="669E0A65"/>
    <w:rsid w:val="675832D8"/>
    <w:rsid w:val="676C01AE"/>
    <w:rsid w:val="678D5291"/>
    <w:rsid w:val="67E048AE"/>
    <w:rsid w:val="68316149"/>
    <w:rsid w:val="68780D8C"/>
    <w:rsid w:val="68D41943"/>
    <w:rsid w:val="698278ED"/>
    <w:rsid w:val="6A5E4E13"/>
    <w:rsid w:val="6AA371C8"/>
    <w:rsid w:val="6ABF4450"/>
    <w:rsid w:val="6ACF79F1"/>
    <w:rsid w:val="6B160F2E"/>
    <w:rsid w:val="6B215504"/>
    <w:rsid w:val="6BFB083D"/>
    <w:rsid w:val="6C17292C"/>
    <w:rsid w:val="6C4E41C5"/>
    <w:rsid w:val="6C835C85"/>
    <w:rsid w:val="6CE177EF"/>
    <w:rsid w:val="6CEE44B9"/>
    <w:rsid w:val="6D1B746D"/>
    <w:rsid w:val="6D5E33CF"/>
    <w:rsid w:val="6D876A28"/>
    <w:rsid w:val="6DCC788B"/>
    <w:rsid w:val="6E9A1890"/>
    <w:rsid w:val="6ED504DA"/>
    <w:rsid w:val="6EDC2CC9"/>
    <w:rsid w:val="6EEF43EE"/>
    <w:rsid w:val="6EF34CEC"/>
    <w:rsid w:val="6FB87ACA"/>
    <w:rsid w:val="70097F6C"/>
    <w:rsid w:val="701C5AD5"/>
    <w:rsid w:val="70232FA1"/>
    <w:rsid w:val="714363FA"/>
    <w:rsid w:val="71AF72AA"/>
    <w:rsid w:val="71C22373"/>
    <w:rsid w:val="71D244E7"/>
    <w:rsid w:val="72BB0B0A"/>
    <w:rsid w:val="733A2A00"/>
    <w:rsid w:val="735F2BDC"/>
    <w:rsid w:val="737F7504"/>
    <w:rsid w:val="73A979CF"/>
    <w:rsid w:val="749545BF"/>
    <w:rsid w:val="74C85C27"/>
    <w:rsid w:val="754544A7"/>
    <w:rsid w:val="758A028A"/>
    <w:rsid w:val="758D2523"/>
    <w:rsid w:val="75FA6B69"/>
    <w:rsid w:val="764A2E6A"/>
    <w:rsid w:val="765221A2"/>
    <w:rsid w:val="76DF0D01"/>
    <w:rsid w:val="771B2C76"/>
    <w:rsid w:val="771D35E9"/>
    <w:rsid w:val="7776200D"/>
    <w:rsid w:val="77AA7AFF"/>
    <w:rsid w:val="77AB48AA"/>
    <w:rsid w:val="77FF39A6"/>
    <w:rsid w:val="78334F55"/>
    <w:rsid w:val="786C687B"/>
    <w:rsid w:val="787049CD"/>
    <w:rsid w:val="78AB633C"/>
    <w:rsid w:val="78EE51AC"/>
    <w:rsid w:val="79A2198D"/>
    <w:rsid w:val="7A1E5B20"/>
    <w:rsid w:val="7ADA3442"/>
    <w:rsid w:val="7AF2175F"/>
    <w:rsid w:val="7C872AAD"/>
    <w:rsid w:val="7CAB53F7"/>
    <w:rsid w:val="7CDD7D0D"/>
    <w:rsid w:val="7D1B682A"/>
    <w:rsid w:val="7D7145C8"/>
    <w:rsid w:val="7D72325C"/>
    <w:rsid w:val="7D9438C1"/>
    <w:rsid w:val="7E0E00B0"/>
    <w:rsid w:val="7E1C7F94"/>
    <w:rsid w:val="7E3441D8"/>
    <w:rsid w:val="7E823B28"/>
    <w:rsid w:val="7EFA0AC9"/>
    <w:rsid w:val="7F1C0658"/>
    <w:rsid w:val="7F3833C4"/>
    <w:rsid w:val="7F5D3F04"/>
    <w:rsid w:val="7FE92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iPriority="0" w:name="heading 1"/>
    <w:lsdException w:qFormat="1" w:uiPriority="0" w:semiHidden="0" w:name="heading 2"/>
    <w:lsdException w:qFormat="1" w:uiPriority="0" w:semiHidden="0" w:name="heading 3"/>
    <w:lsdException w:uiPriority="0" w:name="heading 4"/>
    <w:lsdException w:uiPriority="0" w:name="heading 5"/>
    <w:lsdException w:uiPriority="0" w:name="heading 6"/>
    <w:lsdException w:uiPriority="0" w:name="heading 7"/>
    <w:lsdException w:uiPriority="0" w:name="heading 8"/>
    <w:lsdException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uiPriority="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iPriority="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iPriority="0" w:semiHidden="0" w:name="Strong"/>
    <w:lsdException w:uiPriority="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cs="宋体"/>
      <w:b/>
      <w:kern w:val="0"/>
      <w:sz w:val="36"/>
      <w:szCs w:val="36"/>
    </w:rPr>
  </w:style>
  <w:style w:type="paragraph" w:styleId="3">
    <w:name w:val="heading 3"/>
    <w:basedOn w:val="1"/>
    <w:next w:val="1"/>
    <w:unhideWhenUsed/>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7">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8">
    <w:name w:val="Strong"/>
    <w:basedOn w:val="7"/>
    <w:unhideWhenUsed/>
    <w:qFormat/>
    <w:uiPriority w:val="0"/>
    <w:rPr>
      <w:b/>
      <w:bCs/>
    </w:rPr>
  </w:style>
  <w:style w:type="character" w:styleId="9">
    <w:name w:val="page number"/>
    <w:basedOn w:val="7"/>
    <w:qFormat/>
    <w:uiPriority w:val="0"/>
  </w:style>
  <w:style w:type="table" w:styleId="11">
    <w:name w:val="Table Grid"/>
    <w:basedOn w:val="10"/>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12">
    <w:name w:val="p0"/>
    <w:basedOn w:val="1"/>
    <w:qFormat/>
    <w:uiPriority w:val="0"/>
    <w:pPr>
      <w:widowControl/>
    </w:pPr>
    <w:rPr>
      <w:kern w:val="0"/>
      <w:szCs w:val="21"/>
    </w:rPr>
  </w:style>
  <w:style w:type="paragraph" w:customStyle="1" w:styleId="13">
    <w:name w:val="p16"/>
    <w:basedOn w:val="1"/>
    <w:qFormat/>
    <w:uiPriority w:val="0"/>
    <w:pPr>
      <w:widowControl/>
      <w:spacing w:before="100" w:after="100"/>
      <w:jc w:val="left"/>
    </w:pPr>
    <w:rPr>
      <w:rFonts w:ascii="宋体" w:hAnsi="宋体" w:cs="宋体"/>
      <w:kern w:val="0"/>
      <w:sz w:val="24"/>
    </w:rPr>
  </w:style>
  <w:style w:type="character" w:customStyle="1" w:styleId="14">
    <w:name w:val="页脚 Char"/>
    <w:link w:val="4"/>
    <w:qFormat/>
    <w:uiPriority w:val="0"/>
    <w:rPr>
      <w:rFonts w:ascii="Times New Roman" w:hAnsi="Times New Roman" w:eastAsia="宋体" w:cs="Times New Roman"/>
      <w:sz w:val="18"/>
      <w:szCs w:val="18"/>
    </w:rPr>
  </w:style>
  <w:style w:type="character" w:customStyle="1" w:styleId="15">
    <w:name w:val="页眉 Char"/>
    <w:link w:val="5"/>
    <w:qFormat/>
    <w:uiPriority w:val="0"/>
    <w:rPr>
      <w:rFonts w:ascii="Times New Roman" w:hAnsi="Times New Roman" w:eastAsia="宋体" w:cs="Times New Roman"/>
      <w:sz w:val="18"/>
      <w:szCs w:val="18"/>
    </w:rPr>
  </w:style>
  <w:style w:type="character" w:customStyle="1" w:styleId="16">
    <w:name w:val="font21"/>
    <w:basedOn w:val="7"/>
    <w:qFormat/>
    <w:uiPriority w:val="0"/>
    <w:rPr>
      <w:rFonts w:hint="eastAsia" w:ascii="宋体" w:hAnsi="宋体" w:eastAsia="宋体" w:cs="宋体"/>
      <w:color w:val="000000"/>
      <w:sz w:val="18"/>
      <w:szCs w:val="18"/>
      <w:u w:val="none"/>
    </w:rPr>
  </w:style>
  <w:style w:type="character" w:customStyle="1" w:styleId="17">
    <w:name w:val="font11"/>
    <w:basedOn w:val="7"/>
    <w:qFormat/>
    <w:uiPriority w:val="0"/>
    <w:rPr>
      <w:rFonts w:hint="eastAsia" w:ascii="宋体" w:hAnsi="宋体" w:eastAsia="宋体" w:cs="宋体"/>
      <w:b/>
      <w:color w:val="000000"/>
      <w:sz w:val="18"/>
      <w:szCs w:val="18"/>
      <w:u w:val="none"/>
    </w:rPr>
  </w:style>
  <w:style w:type="character" w:customStyle="1" w:styleId="18">
    <w:name w:val="font31"/>
    <w:basedOn w:val="7"/>
    <w:qFormat/>
    <w:uiPriority w:val="0"/>
    <w:rPr>
      <w:rFonts w:hint="default" w:ascii="仿宋_GB2312" w:eastAsia="仿宋_GB2312" w:cs="仿宋_GB2312"/>
      <w:color w:val="000000"/>
      <w:sz w:val="20"/>
      <w:szCs w:val="20"/>
      <w:u w:val="none"/>
    </w:rPr>
  </w:style>
  <w:style w:type="paragraph" w:customStyle="1" w:styleId="19">
    <w:name w:val="列出段落1"/>
    <w:basedOn w:val="1"/>
    <w:qFormat/>
    <w:uiPriority w:val="34"/>
    <w:pPr>
      <w:ind w:firstLine="420" w:firstLineChars="200"/>
    </w:pPr>
  </w:style>
  <w:style w:type="character" w:customStyle="1" w:styleId="20">
    <w:name w:val="font41"/>
    <w:basedOn w:val="7"/>
    <w:qFormat/>
    <w:uiPriority w:val="0"/>
    <w:rPr>
      <w:rFonts w:hint="eastAsia" w:ascii="宋体" w:hAnsi="宋体" w:eastAsia="宋体" w:cs="宋体"/>
      <w:color w:val="000000"/>
      <w:sz w:val="21"/>
      <w:szCs w:val="21"/>
      <w:u w:val="none"/>
    </w:rPr>
  </w:style>
  <w:style w:type="character" w:customStyle="1" w:styleId="21">
    <w:name w:val="font51"/>
    <w:basedOn w:val="7"/>
    <w:qFormat/>
    <w:uiPriority w:val="0"/>
    <w:rPr>
      <w:rFonts w:hint="default" w:ascii="仿宋_GB2312" w:eastAsia="仿宋_GB2312" w:cs="仿宋_GB2312"/>
      <w:color w:val="FF0000"/>
      <w:sz w:val="24"/>
      <w:szCs w:val="24"/>
      <w:u w:val="none"/>
    </w:rPr>
  </w:style>
  <w:style w:type="character" w:customStyle="1" w:styleId="22">
    <w:name w:val="font81"/>
    <w:basedOn w:val="7"/>
    <w:qFormat/>
    <w:uiPriority w:val="0"/>
    <w:rPr>
      <w:rFonts w:hint="default" w:ascii="Times New Roman" w:hAnsi="Times New Roman" w:cs="Times New Roman"/>
      <w:color w:val="000000"/>
      <w:sz w:val="22"/>
      <w:szCs w:val="22"/>
      <w:u w:val="none"/>
    </w:rPr>
  </w:style>
  <w:style w:type="character" w:customStyle="1" w:styleId="23">
    <w:name w:val="font01"/>
    <w:basedOn w:val="7"/>
    <w:qFormat/>
    <w:uiPriority w:val="0"/>
    <w:rPr>
      <w:rFonts w:ascii="Verdana" w:hAnsi="Verdana" w:cs="Verdana"/>
      <w:color w:val="000000"/>
      <w:sz w:val="22"/>
      <w:szCs w:val="22"/>
      <w:u w:val="none"/>
    </w:rPr>
  </w:style>
  <w:style w:type="paragraph" w:customStyle="1" w:styleId="24">
    <w:name w:val="p15"/>
    <w:basedOn w:val="1"/>
    <w:qFormat/>
    <w:uiPriority w:val="0"/>
    <w:pPr>
      <w:widowControl/>
      <w:ind w:firstLine="210"/>
    </w:pPr>
    <w:rPr>
      <w:kern w:val="0"/>
      <w:sz w:val="28"/>
      <w:szCs w:val="28"/>
    </w:rPr>
  </w:style>
  <w:style w:type="character" w:customStyle="1" w:styleId="25">
    <w:name w:val="font61"/>
    <w:basedOn w:val="7"/>
    <w:qFormat/>
    <w:uiPriority w:val="0"/>
    <w:rPr>
      <w:rFonts w:ascii="BatangChe" w:hAnsi="BatangChe" w:eastAsia="BatangChe" w:cs="BatangChe"/>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9.png"/><Relationship Id="rId12" Type="http://schemas.openxmlformats.org/officeDocument/2006/relationships/image" Target="media/image8.jpe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437</Words>
  <Characters>2492</Characters>
  <Lines>20</Lines>
  <Paragraphs>5</Paragraphs>
  <ScaleCrop>false</ScaleCrop>
  <LinksUpToDate>false</LinksUpToDate>
  <CharactersWithSpaces>2924</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2013-06-08T03:17:00Z</dcterms:created>
  <dc:creator>123</dc:creator>
  <cp:lastModifiedBy>襄城县公共资源交易中心:孙晓旭</cp:lastModifiedBy>
  <cp:lastPrinted>2017-09-15T02:38:00Z</cp:lastPrinted>
  <dcterms:modified xsi:type="dcterms:W3CDTF">2018-07-09T02:06:18Z</dcterms:modified>
  <dc:title> 关于***项目采购公告</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