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hd w:val="clear" w:color="auto" w:fill="FFFFFF"/>
        <w:spacing w:line="315" w:lineRule="atLeast"/>
        <w:jc w:val="center"/>
        <w:rPr>
          <w:rFonts w:ascii="宋体" w:hAnsi="宋体" w:cs="宋体"/>
          <w:b/>
          <w:sz w:val="44"/>
          <w:szCs w:val="44"/>
          <w:shd w:val="clear" w:color="auto" w:fill="FFFFFF"/>
        </w:rPr>
      </w:pPr>
      <w:r>
        <w:rPr>
          <w:rFonts w:hint="eastAsia" w:ascii="宋体" w:hAnsi="宋体" w:cs="宋体"/>
          <w:b/>
          <w:sz w:val="44"/>
          <w:szCs w:val="44"/>
          <w:shd w:val="clear" w:color="auto" w:fill="FFFFFF"/>
        </w:rPr>
        <w:t>许昌市东城区规划建设局“许昌市职教园区城市设计”项目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项目编号：JZFCG-G2018017-1号</w:t>
      </w:r>
    </w:p>
    <w:p>
      <w:pPr>
        <w:ind w:firstLine="1084" w:firstLineChars="300"/>
        <w:rPr>
          <w:rFonts w:asciiTheme="majorEastAsia" w:hAnsiTheme="majorEastAsia" w:eastAsiaTheme="majorEastAsia" w:cstheme="majorEastAsia"/>
          <w:b/>
          <w:sz w:val="36"/>
          <w:szCs w:val="36"/>
          <w:shd w:val="clear" w:color="auto" w:fill="FFFFFF"/>
        </w:rPr>
      </w:pPr>
      <w:r>
        <w:rPr>
          <w:rFonts w:hint="eastAsia" w:asciiTheme="majorEastAsia" w:hAnsiTheme="majorEastAsia" w:eastAsiaTheme="majorEastAsia" w:cstheme="majorEastAsia"/>
          <w:b/>
          <w:bCs/>
          <w:sz w:val="36"/>
          <w:szCs w:val="36"/>
        </w:rPr>
        <w:t>采购单位：许昌市东城区规划建设局</w:t>
      </w:r>
    </w:p>
    <w:p>
      <w:pPr>
        <w:ind w:firstLine="1084" w:firstLineChars="300"/>
        <w:rPr>
          <w:rFonts w:asciiTheme="majorEastAsia" w:hAnsiTheme="majorEastAsia" w:eastAsiaTheme="majorEastAsia" w:cstheme="majorEastAsia"/>
          <w:b/>
          <w:sz w:val="36"/>
          <w:szCs w:val="36"/>
          <w:shd w:val="clear" w:color="auto" w:fill="FFFFFF"/>
        </w:rPr>
      </w:pPr>
      <w:r>
        <w:rPr>
          <w:rFonts w:hint="eastAsia" w:asciiTheme="majorEastAsia" w:hAnsiTheme="majorEastAsia" w:eastAsiaTheme="majorEastAsia" w:cstheme="majorEastAsia"/>
          <w:b/>
          <w:sz w:val="36"/>
          <w:szCs w:val="36"/>
          <w:shd w:val="clear" w:color="auto" w:fill="FFFFFF"/>
        </w:rPr>
        <w:t>代理机构：河南招标采购服务有限公司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二〇一八年六月十九日</w:t>
      </w:r>
    </w:p>
    <w:p>
      <w:pPr>
        <w:pStyle w:val="17"/>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7"/>
        <w:widowControl/>
        <w:shd w:val="clear" w:color="auto" w:fill="FFFFFF"/>
        <w:spacing w:line="315" w:lineRule="atLeast"/>
        <w:jc w:val="center"/>
        <w:rPr>
          <w:rFonts w:asciiTheme="majorEastAsia" w:hAnsiTheme="majorEastAsia" w:eastAsiaTheme="majorEastAsia" w:cstheme="majorEastAsia"/>
          <w:b/>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第四章</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w:t>
      </w:r>
      <w:r>
        <w:rPr>
          <w:rFonts w:hint="eastAsia" w:asciiTheme="majorEastAsia" w:hAnsiTheme="majorEastAsia" w:eastAsiaTheme="majorEastAsia" w:cstheme="majorEastAsia"/>
          <w:b/>
          <w:bCs/>
          <w:sz w:val="32"/>
          <w:szCs w:val="32"/>
        </w:rPr>
        <w:t>八</w:t>
      </w:r>
      <w:r>
        <w:rPr>
          <w:rFonts w:hint="eastAsia" w:asciiTheme="majorEastAsia" w:hAnsiTheme="majorEastAsia" w:eastAsiaTheme="majorEastAsia" w:cstheme="majorEastAsia"/>
          <w:b/>
          <w:bCs/>
          <w:sz w:val="32"/>
          <w:szCs w:val="32"/>
          <w:lang w:val="zh-CN"/>
        </w:rPr>
        <w:t xml:space="preserve">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lang w:val="zh-CN"/>
        </w:rPr>
      </w:pPr>
    </w:p>
    <w:p>
      <w:pPr>
        <w:pStyle w:val="17"/>
        <w:widowControl/>
        <w:shd w:val="clear" w:color="auto" w:fill="FFFFFF"/>
        <w:spacing w:line="315" w:lineRule="atLeast"/>
        <w:jc w:val="center"/>
        <w:rPr>
          <w:rFonts w:ascii="宋体" w:hAnsi="宋体" w:cs="宋体"/>
          <w:b/>
          <w:sz w:val="36"/>
          <w:szCs w:val="36"/>
          <w:shd w:val="clear" w:color="auto" w:fill="FFFFFF"/>
        </w:rPr>
        <w:sectPr>
          <w:pgSz w:w="11906" w:h="16838"/>
          <w:pgMar w:top="1440" w:right="1080" w:bottom="1440" w:left="1080" w:header="851" w:footer="992" w:gutter="0"/>
          <w:cols w:space="425" w:num="1"/>
          <w:docGrid w:type="lines" w:linePitch="312" w:charSpace="0"/>
        </w:sectPr>
      </w:pPr>
    </w:p>
    <w:p>
      <w:pPr>
        <w:pStyle w:val="17"/>
        <w:widowControl/>
        <w:shd w:val="clear" w:color="auto" w:fill="FFFFFF"/>
        <w:spacing w:line="360" w:lineRule="auto"/>
        <w:jc w:val="center"/>
        <w:rPr>
          <w:rFonts w:ascii="黑体" w:hAnsi="黑体" w:eastAsia="黑体" w:cs="黑体"/>
          <w:bCs/>
          <w:sz w:val="32"/>
          <w:szCs w:val="32"/>
          <w:shd w:val="clear" w:color="auto" w:fill="FFFFFF"/>
        </w:rPr>
      </w:pPr>
      <w:r>
        <w:rPr>
          <w:rFonts w:hint="eastAsia" w:ascii="宋体" w:hAnsi="宋体" w:cs="宋体"/>
          <w:b/>
          <w:sz w:val="36"/>
          <w:szCs w:val="36"/>
          <w:shd w:val="clear" w:color="auto" w:fill="FFFFFF"/>
        </w:rPr>
        <w:t>第一章 投标邀请</w:t>
      </w:r>
    </w:p>
    <w:p>
      <w:pPr>
        <w:pStyle w:val="17"/>
        <w:widowControl/>
        <w:shd w:val="clear" w:color="auto" w:fill="FFFFFF"/>
        <w:spacing w:line="360" w:lineRule="auto"/>
        <w:ind w:firstLine="560" w:firstLineChars="200"/>
        <w:jc w:val="left"/>
        <w:rPr>
          <w:rFonts w:ascii="黑体" w:hAnsi="黑体" w:eastAsia="黑体" w:cs="黑体"/>
          <w:bCs/>
          <w:sz w:val="28"/>
          <w:szCs w:val="28"/>
        </w:rPr>
      </w:pPr>
      <w:r>
        <w:rPr>
          <w:rFonts w:hint="eastAsia" w:ascii="黑体" w:hAnsi="黑体" w:eastAsia="黑体" w:cs="黑体"/>
          <w:bCs/>
          <w:sz w:val="28"/>
          <w:szCs w:val="28"/>
          <w:shd w:val="clear" w:color="auto" w:fill="FFFFFF"/>
        </w:rPr>
        <w:t>一、项目基本情况</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（一）项目名称：许昌市东城区规划建设局“许昌市职教园区城市设计”项目</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（二）项目编号：JZFCG-G2018017-1号</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三）项目主要内容：本次设计为修建性详细规划阶段（至少达到修建性详细规划深度的60%）的城市设计，对许昌市职教园区进行空间设计和职能定位的专题研究。城市设计编制招标及相关服务，按国家、省及市相关规定提供技术成果文件。</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（四）预算金额：</w:t>
      </w:r>
      <w:r>
        <w:rPr>
          <w:rFonts w:hint="eastAsia" w:ascii="仿宋" w:hAnsi="仿宋" w:eastAsia="仿宋" w:cs="仿宋_GB2312"/>
          <w:shd w:val="clear" w:color="auto" w:fill="FFFFFF"/>
          <w:lang w:val="zh-CN"/>
        </w:rPr>
        <w:t>1488240元</w:t>
      </w:r>
      <w:r>
        <w:rPr>
          <w:rFonts w:hint="eastAsia" w:ascii="仿宋" w:hAnsi="仿宋" w:eastAsia="仿宋" w:cs="仿宋_GB2312"/>
          <w:shd w:val="clear" w:color="auto" w:fill="FFFFFF"/>
        </w:rPr>
        <w:t>。最高限价：</w:t>
      </w:r>
      <w:r>
        <w:rPr>
          <w:rFonts w:hint="eastAsia" w:ascii="仿宋" w:hAnsi="仿宋" w:eastAsia="仿宋" w:cs="仿宋_GB2312"/>
          <w:shd w:val="clear" w:color="auto" w:fill="FFFFFF"/>
          <w:lang w:val="zh-CN"/>
        </w:rPr>
        <w:t>1488240元</w:t>
      </w:r>
      <w:r>
        <w:rPr>
          <w:rFonts w:hint="eastAsia" w:ascii="仿宋" w:hAnsi="仿宋" w:eastAsia="仿宋" w:cs="仿宋_GB2312"/>
          <w:shd w:val="clear" w:color="auto" w:fill="FFFFFF"/>
        </w:rPr>
        <w:t>。</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 xml:space="preserve">（五）设计周期 ：合同签订后30日历天内完成设计并具备验收条件 </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（六）交付地点：许昌市东城区规划建设局</w:t>
      </w:r>
    </w:p>
    <w:p>
      <w:pPr>
        <w:pStyle w:val="17"/>
        <w:widowControl/>
        <w:shd w:val="clear" w:color="auto" w:fill="FFFFFF"/>
        <w:spacing w:line="360" w:lineRule="auto"/>
        <w:ind w:firstLine="560" w:firstLineChars="200"/>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二、需要落实的政府采购政策</w:t>
      </w:r>
    </w:p>
    <w:p>
      <w:pPr>
        <w:pStyle w:val="17"/>
        <w:widowControl/>
        <w:shd w:val="clear" w:color="auto" w:fill="FFFFFF"/>
        <w:spacing w:line="360" w:lineRule="auto"/>
        <w:ind w:firstLine="640"/>
        <w:rPr>
          <w:rFonts w:ascii="仿宋" w:hAnsi="仿宋" w:eastAsia="仿宋" w:cs="仿宋_GB2312"/>
          <w:shd w:val="clear" w:color="auto" w:fill="FFFFFF"/>
        </w:rPr>
      </w:pPr>
      <w:r>
        <w:rPr>
          <w:rFonts w:hint="eastAsia" w:ascii="仿宋" w:hAnsi="仿宋" w:eastAsia="仿宋" w:cs="仿宋_GB2312"/>
          <w:shd w:val="clear" w:color="auto" w:fill="FFFFFF"/>
        </w:rPr>
        <w:t>本项目落实节能环保、中小微型企业、残疾人福利性单位扶持等相关政府采购政策。</w:t>
      </w:r>
    </w:p>
    <w:p>
      <w:pPr>
        <w:pStyle w:val="17"/>
        <w:widowControl/>
        <w:shd w:val="clear" w:color="auto" w:fill="FFFFFF"/>
        <w:spacing w:line="360" w:lineRule="auto"/>
        <w:ind w:firstLine="640"/>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三、合格投标人必须符合下列条件</w:t>
      </w:r>
    </w:p>
    <w:p>
      <w:pPr>
        <w:pStyle w:val="17"/>
        <w:widowControl/>
        <w:shd w:val="clear" w:color="auto" w:fill="FFFFFF"/>
        <w:spacing w:line="360" w:lineRule="auto"/>
        <w:ind w:firstLine="64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（一）符合《中华人民共和国政府采购法》第二十二条之规定；</w:t>
      </w:r>
    </w:p>
    <w:p>
      <w:pPr>
        <w:pStyle w:val="17"/>
        <w:widowControl/>
        <w:shd w:val="clear" w:color="auto" w:fill="FFFFFF"/>
        <w:spacing w:line="360" w:lineRule="auto"/>
        <w:ind w:firstLine="64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pPr>
        <w:pStyle w:val="17"/>
        <w:widowControl/>
        <w:shd w:val="clear" w:color="auto" w:fill="FFFFFF"/>
        <w:spacing w:line="360" w:lineRule="auto"/>
        <w:ind w:firstLine="720" w:firstLineChars="30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(三)本次招标接受联合体投标。</w:t>
      </w:r>
    </w:p>
    <w:p>
      <w:pPr>
        <w:pStyle w:val="17"/>
        <w:widowControl/>
        <w:shd w:val="clear" w:color="auto" w:fill="FFFFFF"/>
        <w:spacing w:line="360" w:lineRule="auto"/>
        <w:ind w:firstLine="420"/>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四、招标文件的获取</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（一）网上下载招标文件</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（二）招标文件售价300元/套，投标人在递交投标文件时向采购代理机构交纳采购文件费用，售后不退。</w:t>
      </w:r>
    </w:p>
    <w:p>
      <w:pPr>
        <w:pStyle w:val="17"/>
        <w:widowControl/>
        <w:shd w:val="clear" w:color="auto" w:fill="FFFFFF"/>
        <w:spacing w:line="360" w:lineRule="auto"/>
        <w:ind w:firstLine="420"/>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五、投标截止时间、开标时间及地点：</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（一）投标截止及开标时间：2018年7月11日9时30分（北京时间），逾期提交或不符合规定的投标文件不予接受。</w:t>
      </w:r>
    </w:p>
    <w:p>
      <w:pPr>
        <w:pStyle w:val="17"/>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（二）开标地点：许昌市公共资源交易中心（龙兴路与竹林路交汇处公共资源大厦）三楼开标三室。</w:t>
      </w:r>
    </w:p>
    <w:p>
      <w:pPr>
        <w:pStyle w:val="17"/>
        <w:widowControl/>
        <w:shd w:val="clear" w:color="auto" w:fill="FFFFFF"/>
        <w:spacing w:line="360" w:lineRule="auto"/>
        <w:ind w:firstLine="420"/>
        <w:jc w:val="left"/>
        <w:rPr>
          <w:rFonts w:ascii="仿宋" w:hAnsi="仿宋" w:eastAsia="仿宋" w:cs="仿宋_GB2312"/>
        </w:rPr>
      </w:pPr>
      <w:r>
        <w:rPr>
          <w:rFonts w:hint="eastAsia" w:ascii="仿宋" w:hAnsi="仿宋" w:eastAsia="仿宋" w:cs="仿宋_GB2312"/>
        </w:rPr>
        <w:t>（三） 本项目为全流程电子化交易项目，投标人须提交电子投标文件和纸质投标文件。</w:t>
      </w:r>
    </w:p>
    <w:p>
      <w:pPr>
        <w:pStyle w:val="17"/>
        <w:widowControl/>
        <w:shd w:val="clear" w:color="auto" w:fill="FFFFFF"/>
        <w:spacing w:line="360" w:lineRule="auto"/>
        <w:ind w:firstLine="420"/>
        <w:jc w:val="left"/>
        <w:rPr>
          <w:rFonts w:ascii="仿宋" w:hAnsi="仿宋" w:eastAsia="仿宋" w:cs="仿宋_GB2312"/>
        </w:rPr>
      </w:pPr>
      <w:r>
        <w:rPr>
          <w:rFonts w:hint="eastAsia" w:ascii="仿宋" w:hAnsi="仿宋" w:eastAsia="仿宋" w:cs="仿宋_GB2312"/>
        </w:rPr>
        <w:t>1、加密电子投标文件（</w:t>
      </w:r>
      <w:r>
        <w:rPr>
          <w:rFonts w:ascii="仿宋" w:hAnsi="仿宋" w:eastAsia="仿宋" w:cs="仿宋_GB2312"/>
        </w:rPr>
        <w:t>.file</w:t>
      </w:r>
      <w:r>
        <w:rPr>
          <w:rFonts w:hint="eastAsia" w:ascii="仿宋" w:hAnsi="仿宋" w:eastAsia="仿宋" w:cs="仿宋_GB2312"/>
        </w:rPr>
        <w:t>格式）须在投标截止时间（开标时间）前通过《全国公共资源交易平台(河南省▪许昌市)》公共资源交易系统成功上传。</w:t>
      </w:r>
    </w:p>
    <w:p>
      <w:pPr>
        <w:pStyle w:val="17"/>
        <w:widowControl/>
        <w:shd w:val="clear" w:color="auto" w:fill="FFFFFF"/>
        <w:spacing w:line="360" w:lineRule="auto"/>
        <w:ind w:firstLine="420"/>
        <w:jc w:val="left"/>
        <w:rPr>
          <w:rFonts w:ascii="仿宋" w:hAnsi="仿宋" w:eastAsia="仿宋" w:cs="仿宋_GB2312"/>
        </w:rPr>
      </w:pPr>
      <w:r>
        <w:rPr>
          <w:rFonts w:hint="eastAsia" w:ascii="仿宋" w:hAnsi="仿宋" w:eastAsia="仿宋" w:cs="仿宋_GB2312"/>
        </w:rPr>
        <w:t>2、纸质投标文件（正本1份、副本2份）和备份文件1份（使用电子介质存储）在投标截止时间（开标时间）前递交至本项目开标地点。</w:t>
      </w:r>
    </w:p>
    <w:p>
      <w:pPr>
        <w:pStyle w:val="17"/>
        <w:widowControl/>
        <w:shd w:val="clear" w:color="auto" w:fill="FFFFFF"/>
        <w:spacing w:line="360" w:lineRule="auto"/>
        <w:ind w:firstLine="420"/>
        <w:contextualSpacing/>
        <w:jc w:val="left"/>
        <w:rPr>
          <w:rFonts w:ascii="黑体" w:hAnsi="黑体" w:eastAsia="黑体" w:cs="黑体"/>
          <w:bCs/>
        </w:rPr>
      </w:pPr>
      <w:r>
        <w:rPr>
          <w:rFonts w:hint="eastAsia" w:ascii="黑体" w:hAnsi="黑体" w:eastAsia="黑体" w:cs="黑体"/>
          <w:bCs/>
        </w:rPr>
        <w:t xml:space="preserve"> 六、</w:t>
      </w:r>
      <w:r>
        <w:rPr>
          <w:rFonts w:hint="eastAsia" w:cs="黑体" w:asciiTheme="minorEastAsia" w:hAnsiTheme="minorEastAsia" w:eastAsiaTheme="minorEastAsia"/>
          <w:b/>
          <w:bCs/>
          <w:shd w:val="clear" w:color="auto" w:fill="FFFFFF"/>
        </w:rPr>
        <w:t>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560" w:firstLineChars="200"/>
        <w:contextualSpacing/>
        <w:jc w:val="left"/>
        <w:rPr>
          <w:rFonts w:ascii="黑体" w:hAnsi="黑体" w:eastAsia="黑体" w:cs="黑体"/>
          <w:bCs/>
          <w:sz w:val="28"/>
          <w:szCs w:val="28"/>
        </w:rPr>
      </w:pPr>
      <w:r>
        <w:rPr>
          <w:rFonts w:hint="eastAsia" w:ascii="黑体" w:hAnsi="黑体" w:eastAsia="黑体" w:cs="黑体"/>
          <w:bCs/>
          <w:sz w:val="28"/>
          <w:szCs w:val="28"/>
        </w:rPr>
        <w:t>七、公告期限</w:t>
      </w:r>
    </w:p>
    <w:p>
      <w:pPr>
        <w:pStyle w:val="17"/>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本招标公告自发布之日起公告期限为5个工作日。</w:t>
      </w:r>
    </w:p>
    <w:p>
      <w:pPr>
        <w:pStyle w:val="17"/>
        <w:widowControl/>
        <w:shd w:val="clear" w:color="auto" w:fill="FFFFFF"/>
        <w:spacing w:line="360" w:lineRule="auto"/>
        <w:ind w:firstLine="560" w:firstLineChars="200"/>
        <w:contextualSpacing/>
        <w:jc w:val="left"/>
        <w:rPr>
          <w:rFonts w:ascii="黑体" w:hAnsi="黑体" w:eastAsia="黑体" w:cs="黑体"/>
          <w:bCs/>
          <w:sz w:val="28"/>
          <w:szCs w:val="28"/>
        </w:rPr>
      </w:pPr>
      <w:r>
        <w:rPr>
          <w:rFonts w:hint="eastAsia" w:ascii="黑体" w:hAnsi="黑体" w:eastAsia="黑体" w:cs="黑体"/>
          <w:bCs/>
          <w:sz w:val="28"/>
          <w:szCs w:val="28"/>
        </w:rPr>
        <w:t>八、联系方式</w:t>
      </w:r>
    </w:p>
    <w:p>
      <w:pPr>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采 购 人：许昌市东城区规划建设局 </w:t>
      </w:r>
    </w:p>
    <w:p>
      <w:pPr>
        <w:pStyle w:val="17"/>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地    址：许昌市学院路与新兴路交叉口</w:t>
      </w:r>
    </w:p>
    <w:p>
      <w:pPr>
        <w:pStyle w:val="17"/>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联 系 人：吴昊       联系电话：13937414744</w:t>
      </w:r>
    </w:p>
    <w:p>
      <w:pPr>
        <w:pStyle w:val="17"/>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代理机构：河南招标采购服务有限公司</w:t>
      </w:r>
    </w:p>
    <w:p>
      <w:pPr>
        <w:pStyle w:val="17"/>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地    址：许昌市城乡一体化芙蓉大道芙蓉商务</w:t>
      </w:r>
    </w:p>
    <w:p>
      <w:pPr>
        <w:pStyle w:val="17"/>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联 系 人：刘宝丰     联系电话：13937120256</w:t>
      </w:r>
    </w:p>
    <w:p>
      <w:pPr>
        <w:spacing w:line="360" w:lineRule="auto"/>
        <w:rPr>
          <w:rFonts w:ascii="仿宋" w:hAnsi="仿宋" w:eastAsia="仿宋" w:cs="仿宋_GB2312"/>
          <w:sz w:val="24"/>
          <w:szCs w:val="24"/>
          <w:shd w:val="clear" w:color="auto" w:fill="FFFFFF"/>
        </w:rPr>
      </w:pPr>
    </w:p>
    <w:p>
      <w:pPr>
        <w:pStyle w:val="17"/>
        <w:widowControl/>
        <w:shd w:val="clear" w:color="auto" w:fill="FFFFFF"/>
        <w:spacing w:line="360" w:lineRule="auto"/>
        <w:jc w:val="center"/>
        <w:rPr>
          <w:rFonts w:ascii="仿宋" w:hAnsi="仿宋" w:eastAsia="仿宋" w:cs="仿宋_GB2312"/>
          <w:shd w:val="pct10" w:color="auto" w:fill="FFFFFF"/>
        </w:rPr>
      </w:pPr>
      <w:r>
        <w:rPr>
          <w:rFonts w:hint="eastAsia" w:ascii="仿宋" w:hAnsi="仿宋" w:eastAsia="仿宋" w:cs="仿宋_GB2312"/>
          <w:shd w:val="pct10" w:color="auto" w:fill="FFFFFF"/>
        </w:rPr>
        <w:t xml:space="preserve">                                         许昌市东城区规划建设局</w:t>
      </w:r>
    </w:p>
    <w:p>
      <w:pPr>
        <w:spacing w:line="360" w:lineRule="auto"/>
        <w:ind w:right="480" w:firstLine="5760" w:firstLineChars="2400"/>
        <w:rPr>
          <w:rFonts w:ascii="仿宋" w:hAnsi="仿宋" w:eastAsia="仿宋" w:cs="仿宋_GB2312"/>
          <w:sz w:val="24"/>
          <w:szCs w:val="24"/>
          <w:shd w:val="pct10" w:color="auto" w:fill="FFFFFF"/>
        </w:rPr>
      </w:pPr>
      <w:r>
        <w:rPr>
          <w:rFonts w:hint="eastAsia" w:ascii="仿宋" w:hAnsi="仿宋" w:eastAsia="仿宋" w:cs="仿宋_GB2312"/>
          <w:sz w:val="24"/>
          <w:szCs w:val="24"/>
          <w:shd w:val="pct10" w:color="auto" w:fill="FFFFFF"/>
        </w:rPr>
        <w:t>二〇一八年六月十九日</w:t>
      </w:r>
    </w:p>
    <w:p>
      <w:pPr>
        <w:spacing w:line="360" w:lineRule="auto"/>
        <w:rPr>
          <w:rFonts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9"/>
          <w:rFonts w:hAnsi="宋体"/>
          <w:color w:val="auto"/>
          <w:szCs w:val="24"/>
        </w:rPr>
        <w:t>http://221.14.6.70:8088/ggzy/</w:t>
      </w:r>
      <w:r>
        <w:rPr>
          <w:rStyle w:val="19"/>
          <w:rFonts w:hAnsi="宋体"/>
          <w:color w:val="auto"/>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9"/>
          <w:rFonts w:hAnsi="宋体"/>
          <w:color w:val="auto"/>
          <w:szCs w:val="24"/>
        </w:rPr>
        <w:t>http://221.14.6.70:8088/ggzy/</w:t>
      </w:r>
      <w:r>
        <w:rPr>
          <w:rStyle w:val="19"/>
          <w:rFonts w:hAnsi="宋体"/>
          <w:color w:val="auto"/>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jc w:val="center"/>
        <w:rPr>
          <w:rFonts w:ascii="宋体" w:hAnsi="宋体" w:eastAsia="宋体" w:cs="宋体"/>
          <w:b/>
          <w:sz w:val="36"/>
          <w:szCs w:val="36"/>
          <w:shd w:val="clear" w:color="auto" w:fill="FFFFFF"/>
        </w:rPr>
        <w:sectPr>
          <w:footerReference r:id="rId3" w:type="default"/>
          <w:pgSz w:w="11906" w:h="16838"/>
          <w:pgMar w:top="2098" w:right="1474" w:bottom="1928" w:left="1588" w:header="851" w:footer="992" w:gutter="0"/>
          <w:cols w:space="425" w:num="1"/>
          <w:docGrid w:type="lines" w:linePitch="312" w:charSpace="0"/>
        </w:sectPr>
      </w:pPr>
    </w:p>
    <w:p>
      <w:pPr>
        <w:jc w:val="center"/>
        <w:rPr>
          <w:rFonts w:ascii="黑体" w:eastAsia="黑体"/>
          <w:b/>
          <w:bCs/>
          <w:sz w:val="36"/>
          <w:szCs w:val="36"/>
        </w:rPr>
      </w:pPr>
      <w:r>
        <w:rPr>
          <w:rFonts w:hint="eastAsia" w:ascii="宋体" w:hAnsi="宋体" w:eastAsia="宋体" w:cs="宋体"/>
          <w:b/>
          <w:sz w:val="36"/>
          <w:szCs w:val="36"/>
          <w:shd w:val="clear" w:color="auto" w:fill="FFFFFF"/>
        </w:rPr>
        <w:t>第二章 项目需求</w:t>
      </w:r>
    </w:p>
    <w:p>
      <w:pPr>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一、本项目需实现的功能</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 xml:space="preserve">本次设计为修建性详细规划阶段（至少达到修建性详细规划深度的60%）的城市设计，对许昌市职教园区进行空间设计和职能定位的专题研究。城市设计编制招标及相关服务，按国家、省及市相关规定提供技术成果文件。 </w:t>
      </w:r>
      <w:r>
        <w:rPr>
          <w:rFonts w:hint="eastAsia" w:ascii="仿宋" w:hAnsi="仿宋" w:eastAsia="仿宋" w:cs="仿宋_GB2312"/>
          <w:sz w:val="24"/>
          <w:szCs w:val="24"/>
        </w:rPr>
        <w:br w:type="textWrapping"/>
      </w:r>
      <w:r>
        <w:rPr>
          <w:rFonts w:hint="eastAsia" w:asciiTheme="minorEastAsia" w:hAnsiTheme="minorEastAsia" w:cstheme="minorEastAsia"/>
          <w:b/>
          <w:bCs/>
          <w:sz w:val="28"/>
          <w:szCs w:val="28"/>
        </w:rPr>
        <w:t>二、采购清单</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（一）、招标范围</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项目概况：北至永昌东路，西至玉兰路，南至金竹街，东至梧桐路。规划面积3.18平方公里。</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招标范围：本次设计为修建性详细规划阶段（</w:t>
      </w:r>
      <w:r>
        <w:rPr>
          <w:rFonts w:hint="eastAsia" w:ascii="仿宋" w:hAnsi="仿宋" w:eastAsia="仿宋" w:cs="仿宋_GB2312"/>
          <w:sz w:val="24"/>
          <w:szCs w:val="24"/>
        </w:rPr>
        <w:t>至少</w:t>
      </w:r>
      <w:r>
        <w:rPr>
          <w:rFonts w:hint="eastAsia" w:ascii="仿宋" w:hAnsi="仿宋" w:eastAsia="仿宋" w:cs="仿宋_GB2312"/>
          <w:sz w:val="24"/>
          <w:szCs w:val="24"/>
          <w:lang w:val="zh-CN"/>
        </w:rPr>
        <w:t>达到修建性详细规划深度的60%）的城市设计，对许昌市职教园区进行空间设计和职能定位的专题研究。城市设计编制招标及相关服务，按国家、省及市相关规定提供技术成果文件。</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（二）、规划方案重点研究内容</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本次招标项目为许昌</w:t>
      </w:r>
      <w:r>
        <w:rPr>
          <w:rFonts w:hint="eastAsia" w:ascii="仿宋" w:hAnsi="仿宋" w:eastAsia="仿宋" w:cs="仿宋_GB2312"/>
          <w:sz w:val="24"/>
          <w:szCs w:val="24"/>
          <w:lang w:val="zh-CN"/>
        </w:rPr>
        <w:t>市职教园区</w:t>
      </w:r>
      <w:r>
        <w:rPr>
          <w:rFonts w:hint="eastAsia" w:ascii="仿宋" w:hAnsi="仿宋" w:eastAsia="仿宋" w:cs="仿宋_GB2312"/>
          <w:sz w:val="24"/>
          <w:szCs w:val="24"/>
        </w:rPr>
        <w:t>城市设计</w:t>
      </w:r>
      <w:r>
        <w:rPr>
          <w:rFonts w:hint="eastAsia" w:ascii="仿宋" w:hAnsi="仿宋" w:eastAsia="仿宋" w:cs="仿宋_GB2312"/>
          <w:sz w:val="24"/>
          <w:szCs w:val="24"/>
          <w:lang w:val="zh-CN"/>
        </w:rPr>
        <w:t>，该项目北至永昌东路，西至玉兰路，南至金竹街，东至梧桐路，规划总用地面积</w:t>
      </w:r>
      <w:r>
        <w:rPr>
          <w:rFonts w:hint="eastAsia" w:ascii="仿宋" w:hAnsi="仿宋" w:eastAsia="仿宋" w:cs="仿宋_GB2312"/>
          <w:sz w:val="24"/>
          <w:szCs w:val="24"/>
        </w:rPr>
        <w:t>3.18</w:t>
      </w:r>
      <w:r>
        <w:rPr>
          <w:rFonts w:hint="eastAsia" w:ascii="仿宋" w:hAnsi="仿宋" w:eastAsia="仿宋" w:cs="仿宋_GB2312"/>
          <w:sz w:val="24"/>
          <w:szCs w:val="24"/>
          <w:lang w:val="zh-CN"/>
        </w:rPr>
        <w:t>平方公里。</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1、研究职教园区的功能需求和空间布局特征，确定发展定位、目标及空间体系；</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2、根据园区建设条件分析，设计总平面图布局；提出用地和交通调整建议，制定整体规划结构和用地布局方案；</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3、根据园区竖向规划设计，分析周边视觉敏感区，初步确定建筑高度控制分区及控制导引，建立整体空间格局；</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4、道路交通规划设计；</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5、从职能、空间特征、景观塑造等方面，提出空间形态设计方案；</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6、确定园区的主要城市界面形象风貌设计；</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7、制定园区城市设计导则与实施策略；</w:t>
      </w:r>
    </w:p>
    <w:p>
      <w:pPr>
        <w:spacing w:line="360" w:lineRule="auto"/>
        <w:ind w:left="479" w:leftChars="228"/>
        <w:jc w:val="left"/>
        <w:rPr>
          <w:rFonts w:asciiTheme="minorEastAsia" w:hAnsiTheme="minorEastAsia" w:cstheme="minorEastAsia"/>
          <w:b/>
          <w:bCs/>
          <w:sz w:val="28"/>
          <w:szCs w:val="28"/>
          <w:lang w:val="zh-CN"/>
        </w:rPr>
      </w:pPr>
      <w:r>
        <w:rPr>
          <w:rFonts w:hint="eastAsia" w:ascii="仿宋" w:hAnsi="仿宋" w:eastAsia="仿宋" w:cs="仿宋_GB2312"/>
          <w:sz w:val="24"/>
          <w:szCs w:val="24"/>
        </w:rPr>
        <w:t>8、</w:t>
      </w:r>
      <w:r>
        <w:rPr>
          <w:rFonts w:hint="eastAsia" w:ascii="仿宋" w:hAnsi="仿宋" w:eastAsia="仿宋" w:cs="仿宋_GB2312"/>
          <w:sz w:val="24"/>
          <w:szCs w:val="24"/>
          <w:lang w:val="zh-CN"/>
        </w:rPr>
        <w:t>重要地段建筑与公共空间景观设计和引导。</w:t>
      </w:r>
      <w:r>
        <w:rPr>
          <w:rFonts w:hint="eastAsia" w:ascii="仿宋" w:hAnsi="仿宋" w:eastAsia="仿宋" w:cs="仿宋_GB2312"/>
          <w:sz w:val="24"/>
          <w:szCs w:val="24"/>
          <w:lang w:val="zh-CN"/>
        </w:rPr>
        <w:br w:type="textWrapping"/>
      </w:r>
      <w:r>
        <w:rPr>
          <w:rFonts w:hint="eastAsia" w:asciiTheme="minorEastAsia" w:hAnsiTheme="minorEastAsia" w:cstheme="minorEastAsia"/>
          <w:b/>
          <w:bCs/>
          <w:sz w:val="28"/>
          <w:szCs w:val="28"/>
          <w:lang w:val="zh-CN"/>
        </w:rPr>
        <w:t>三、采购标的执行标准</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规划设计依据及技术标准： </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1、现行相关规范； </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2、采购人提供的技术要求及相关规划、地形图等； </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3、在规划编制过程中，如果国家或有关部门颁布了新的技术标准或规范，则规划编制人员应采用新的标准或规范进行规划编制。</w:t>
      </w:r>
    </w:p>
    <w:p>
      <w:pPr>
        <w:spacing w:line="360" w:lineRule="auto"/>
        <w:ind w:firstLine="562" w:firstLineChars="200"/>
        <w:jc w:val="left"/>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四、采购标的的其他技术、服务等要求</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1、本招标文件所列的技术要求为最低要求，对招标文件中没有列出的而对本项目必不可少的其它要求，供应商必须给予实现，否则为无效投标。</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2、投标人应就该项目完整投标，否则为无效投标。</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lang w:val="zh-CN"/>
        </w:rPr>
        <w:t>3、投标报价为总包价，包含现场调研、检查、资料汇总报告、管理费、税金等一切与之相关的费用。</w:t>
      </w:r>
    </w:p>
    <w:p>
      <w:pPr>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4</w:t>
      </w:r>
      <w:r>
        <w:rPr>
          <w:rFonts w:hint="eastAsia" w:ascii="仿宋" w:hAnsi="仿宋" w:eastAsia="仿宋" w:cs="仿宋_GB2312"/>
          <w:sz w:val="24"/>
          <w:szCs w:val="24"/>
          <w:lang w:val="zh-CN"/>
        </w:rPr>
        <w:t>、实质性要求：项目需求均为实质性要求。</w:t>
      </w:r>
    </w:p>
    <w:p>
      <w:pPr>
        <w:widowControl/>
        <w:shd w:val="clear" w:color="auto" w:fill="FFFFFF"/>
        <w:spacing w:line="360" w:lineRule="auto"/>
        <w:ind w:left="281" w:leftChars="134" w:firstLine="281" w:firstLineChars="100"/>
        <w:contextualSpacing/>
        <w:jc w:val="left"/>
        <w:rPr>
          <w:rFonts w:asciiTheme="minorEastAsia" w:hAnsiTheme="minorEastAsia" w:cstheme="minorEastAsia"/>
          <w:b/>
          <w:bCs/>
          <w:sz w:val="28"/>
          <w:szCs w:val="28"/>
          <w:lang w:val="zh-CN"/>
        </w:rPr>
      </w:pPr>
      <w:r>
        <w:rPr>
          <w:rFonts w:hint="eastAsia" w:asciiTheme="minorEastAsia" w:hAnsiTheme="minorEastAsia" w:cstheme="minorEastAsia"/>
          <w:b/>
          <w:bCs/>
          <w:sz w:val="28"/>
          <w:szCs w:val="28"/>
        </w:rPr>
        <w:t>五</w:t>
      </w:r>
      <w:r>
        <w:rPr>
          <w:rFonts w:hint="eastAsia" w:asciiTheme="minorEastAsia" w:hAnsiTheme="minorEastAsia" w:cstheme="minorEastAsia"/>
          <w:b/>
          <w:bCs/>
          <w:sz w:val="28"/>
          <w:szCs w:val="28"/>
          <w:lang w:val="zh-CN"/>
        </w:rPr>
        <w:t>、验收标准</w:t>
      </w:r>
      <w:r>
        <w:rPr>
          <w:rFonts w:hint="eastAsia" w:asciiTheme="minorEastAsia" w:hAnsiTheme="minorEastAsia" w:cstheme="minorEastAsia"/>
          <w:b/>
          <w:bCs/>
          <w:sz w:val="28"/>
          <w:szCs w:val="28"/>
          <w:lang w:val="zh-CN"/>
        </w:rPr>
        <w:br w:type="textWrapping"/>
      </w:r>
      <w:r>
        <w:rPr>
          <w:rFonts w:hint="eastAsia" w:cs="宋体" w:asciiTheme="minorEastAsia" w:hAnsiTheme="minorEastAsia"/>
          <w:kern w:val="0"/>
          <w:sz w:val="24"/>
          <w:szCs w:val="24"/>
          <w:lang w:val="zh-CN"/>
        </w:rPr>
        <w:t xml:space="preserve">  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cs="宋体" w:asciiTheme="minorEastAsia" w:hAnsiTheme="minorEastAsia"/>
          <w:kern w:val="0"/>
          <w:sz w:val="24"/>
          <w:szCs w:val="24"/>
          <w:lang w:val="zh-CN"/>
        </w:rPr>
        <w:br w:type="textWrapping"/>
      </w:r>
      <w:r>
        <w:rPr>
          <w:rFonts w:hint="eastAsia" w:asciiTheme="minorEastAsia" w:hAnsiTheme="minorEastAsia" w:cstheme="minorEastAsia"/>
          <w:b/>
          <w:bCs/>
          <w:sz w:val="28"/>
          <w:szCs w:val="28"/>
        </w:rPr>
        <w:t>六</w:t>
      </w:r>
      <w:r>
        <w:rPr>
          <w:rFonts w:hint="eastAsia" w:asciiTheme="minorEastAsia" w:hAnsiTheme="minorEastAsia" w:cstheme="minorEastAsia"/>
          <w:b/>
          <w:bCs/>
          <w:sz w:val="28"/>
          <w:szCs w:val="28"/>
          <w:lang w:val="zh-CN"/>
        </w:rPr>
        <w:t>、</w:t>
      </w:r>
      <w:r>
        <w:rPr>
          <w:rFonts w:hint="eastAsia" w:asciiTheme="minorEastAsia" w:hAnsiTheme="minorEastAsia" w:cstheme="minorEastAsia"/>
          <w:b/>
          <w:bCs/>
          <w:sz w:val="24"/>
          <w:szCs w:val="24"/>
          <w:lang w:val="zh-CN"/>
        </w:rPr>
        <w:t>本项目预算金额1488240元。最高限价1488240元。超出最高限价的投标无效。</w:t>
      </w:r>
      <w:r>
        <w:rPr>
          <w:rFonts w:hint="eastAsia" w:asciiTheme="minorEastAsia" w:hAnsiTheme="minorEastAsia" w:cstheme="minorEastAsia"/>
          <w:b/>
          <w:bCs/>
          <w:sz w:val="24"/>
          <w:szCs w:val="24"/>
          <w:lang w:val="zh-CN"/>
        </w:rPr>
        <w:br w:type="textWrapping"/>
      </w:r>
      <w:r>
        <w:rPr>
          <w:rFonts w:hint="eastAsia" w:asciiTheme="minorEastAsia" w:hAnsiTheme="minorEastAsia" w:cstheme="minorEastAsia"/>
          <w:b/>
          <w:bCs/>
          <w:sz w:val="28"/>
          <w:szCs w:val="28"/>
        </w:rPr>
        <w:t xml:space="preserve">   七</w:t>
      </w:r>
      <w:r>
        <w:rPr>
          <w:rFonts w:hint="eastAsia" w:asciiTheme="minorEastAsia" w:hAnsiTheme="minorEastAsia" w:cstheme="minorEastAsia"/>
          <w:b/>
          <w:bCs/>
          <w:sz w:val="28"/>
          <w:szCs w:val="28"/>
          <w:lang w:val="zh-CN"/>
        </w:rPr>
        <w:t>、资金支付</w:t>
      </w:r>
    </w:p>
    <w:p>
      <w:pPr>
        <w:widowControl/>
        <w:shd w:val="clear" w:color="auto" w:fill="FFFFFF"/>
        <w:spacing w:line="360" w:lineRule="auto"/>
        <w:ind w:firstLine="480" w:firstLineChars="20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hint="eastAsia" w:cs="宋体" w:asciiTheme="minorEastAsia" w:hAnsiTheme="minorEastAsia"/>
          <w:kern w:val="0"/>
          <w:sz w:val="24"/>
          <w:szCs w:val="24"/>
        </w:rPr>
        <w:t>银行转账。</w:t>
      </w:r>
    </w:p>
    <w:p>
      <w:pPr>
        <w:widowControl/>
        <w:shd w:val="clear" w:color="auto" w:fill="FFFFFF"/>
        <w:spacing w:line="360" w:lineRule="auto"/>
        <w:ind w:firstLine="480" w:firstLineChars="200"/>
        <w:jc w:val="left"/>
        <w:rPr>
          <w:rFonts w:cs="黑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2、支付时间及条件：签订合同后三个工作日内，支付项目款的30%作为定金；规划设计方案文件确认后，支付项目款的40%；城市设计文件通过采购人审批，并提交全部规划设计成果后，结清全部项目款。</w:t>
      </w:r>
    </w:p>
    <w:p>
      <w:pPr>
        <w:pStyle w:val="17"/>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p>
    <w:p>
      <w:pPr>
        <w:spacing w:line="360" w:lineRule="auto"/>
        <w:ind w:firstLine="480" w:firstLineChars="200"/>
        <w:jc w:val="left"/>
        <w:rPr>
          <w:rFonts w:ascii="仿宋" w:hAnsi="仿宋" w:eastAsia="仿宋" w:cs="仿宋_GB2312"/>
          <w:sz w:val="24"/>
          <w:szCs w:val="24"/>
        </w:rPr>
      </w:pPr>
    </w:p>
    <w:p>
      <w:pPr>
        <w:pStyle w:val="16"/>
        <w:ind w:left="0" w:leftChars="0" w:firstLine="0" w:firstLineChars="0"/>
        <w:sectPr>
          <w:pgSz w:w="11906" w:h="16838"/>
          <w:pgMar w:top="2098" w:right="1474" w:bottom="1928" w:left="1588" w:header="851" w:footer="992" w:gutter="0"/>
          <w:cols w:space="425" w:num="1"/>
          <w:docGrid w:type="lines" w:linePitch="312" w:charSpace="0"/>
        </w:sect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第三章 </w:t>
      </w:r>
      <w:r>
        <w:rPr>
          <w:rFonts w:hint="eastAsia" w:cs="宋体" w:asciiTheme="majorEastAsia" w:hAnsiTheme="majorEastAsia" w:eastAsiaTheme="majorEastAsia"/>
          <w:b/>
          <w:kern w:val="0"/>
          <w:sz w:val="36"/>
          <w:szCs w:val="36"/>
          <w:lang w:val="zh-CN"/>
        </w:rPr>
        <w:t>投标人须知前附表</w:t>
      </w:r>
    </w:p>
    <w:p>
      <w:pPr>
        <w:autoSpaceDE w:val="0"/>
        <w:autoSpaceDN w:val="0"/>
        <w:adjustRightInd w:val="0"/>
        <w:spacing w:line="360" w:lineRule="auto"/>
        <w:ind w:right="-11"/>
        <w:rPr>
          <w:rFonts w:ascii="宋体" w:cs="宋体"/>
          <w:b/>
          <w:sz w:val="28"/>
          <w:szCs w:val="28"/>
          <w:lang w:val="zh-CN"/>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项目名称：许昌市职教园区城市设计项目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项目编号：JZFCG-G2018017-1号</w:t>
            </w:r>
          </w:p>
          <w:p>
            <w:pPr>
              <w:autoSpaceDE w:val="0"/>
              <w:autoSpaceDN w:val="0"/>
              <w:adjustRightInd w:val="0"/>
              <w:spacing w:line="360" w:lineRule="auto"/>
              <w:jc w:val="left"/>
              <w:rPr>
                <w:rFonts w:hAnsi="宋体" w:cs="仿宋_GB2312"/>
                <w:sz w:val="24"/>
                <w:lang w:val="zh-CN"/>
              </w:rPr>
            </w:pPr>
            <w:r>
              <w:rPr>
                <w:rFonts w:hint="eastAsia" w:hAnsi="宋体" w:cs="仿宋_GB2312"/>
                <w:sz w:val="24"/>
              </w:rPr>
              <w:t>项目内容：</w:t>
            </w:r>
            <w:r>
              <w:rPr>
                <w:rFonts w:hint="eastAsia" w:hAnsi="宋体" w:cs="仿宋_GB2312"/>
                <w:sz w:val="24"/>
                <w:lang w:val="zh-CN"/>
              </w:rPr>
              <w:t>本次设计为修建性详细规划阶段（</w:t>
            </w:r>
            <w:r>
              <w:rPr>
                <w:rFonts w:hint="eastAsia" w:hAnsi="宋体" w:cs="仿宋_GB2312"/>
                <w:sz w:val="24"/>
              </w:rPr>
              <w:t>至少</w:t>
            </w:r>
            <w:r>
              <w:rPr>
                <w:rFonts w:hint="eastAsia" w:hAnsi="宋体" w:cs="仿宋_GB2312"/>
                <w:sz w:val="24"/>
                <w:lang w:val="zh-CN"/>
              </w:rPr>
              <w:t>达到修建性详细规划深度的60%）的城市设计，对许昌市职教园区进行空间设计和职能定位的专题研究。</w:t>
            </w:r>
            <w:r>
              <w:rPr>
                <w:rFonts w:hint="eastAsia" w:hAnsi="宋体" w:cs="仿宋_GB2312"/>
                <w:sz w:val="24"/>
              </w:rPr>
              <w:t>城市</w:t>
            </w:r>
            <w:r>
              <w:rPr>
                <w:rFonts w:hint="eastAsia" w:hAnsi="宋体" w:cs="仿宋_GB2312"/>
                <w:sz w:val="24"/>
                <w:lang w:val="zh-CN"/>
              </w:rPr>
              <w:t>设计编制招标及相关服务，按《城乡规划法》、《城市规划编制办法实施细则》</w:t>
            </w:r>
            <w:r>
              <w:rPr>
                <w:rFonts w:hint="eastAsia" w:hAnsi="宋体" w:cs="仿宋_GB2312"/>
                <w:sz w:val="24"/>
              </w:rPr>
              <w:t>等</w:t>
            </w:r>
            <w:r>
              <w:rPr>
                <w:rFonts w:hint="eastAsia" w:hAnsi="宋体" w:cs="仿宋_GB2312"/>
                <w:sz w:val="24"/>
                <w:lang w:val="zh-CN"/>
              </w:rPr>
              <w:t>相关</w:t>
            </w:r>
            <w:r>
              <w:rPr>
                <w:rFonts w:hint="eastAsia" w:hAnsi="宋体" w:cs="仿宋_GB2312"/>
                <w:sz w:val="24"/>
              </w:rPr>
              <w:t>法律法规</w:t>
            </w:r>
            <w:r>
              <w:rPr>
                <w:rFonts w:hint="eastAsia" w:hAnsi="宋体" w:cs="仿宋_GB2312"/>
                <w:sz w:val="24"/>
                <w:lang w:val="zh-CN"/>
              </w:rPr>
              <w:t>提供技术成果文件。</w:t>
            </w:r>
          </w:p>
          <w:p>
            <w:pPr>
              <w:autoSpaceDE w:val="0"/>
              <w:autoSpaceDN w:val="0"/>
              <w:adjustRightInd w:val="0"/>
              <w:spacing w:line="360" w:lineRule="auto"/>
              <w:jc w:val="left"/>
              <w:rPr>
                <w:rFonts w:hAnsi="宋体" w:cs="仿宋_GB2312"/>
                <w:sz w:val="24"/>
              </w:rPr>
            </w:pPr>
            <w:r>
              <w:rPr>
                <w:rFonts w:hint="eastAsia" w:hAnsi="宋体" w:cs="仿宋_GB2312"/>
                <w:sz w:val="24"/>
              </w:rPr>
              <w:t>项目地址：北至永昌东路，西至玉兰路，南至金竹街，东至梧桐路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采 购 人：许昌市东城区规划建设局 </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址：许昌市学院路与新兴路交叉口</w:t>
            </w:r>
          </w:p>
          <w:p>
            <w:pPr>
              <w:autoSpaceDE w:val="0"/>
              <w:autoSpaceDN w:val="0"/>
              <w:adjustRightInd w:val="0"/>
              <w:spacing w:line="360" w:lineRule="auto"/>
              <w:jc w:val="left"/>
              <w:rPr>
                <w:rFonts w:hAnsi="宋体" w:cs="仿宋_GB2312"/>
                <w:sz w:val="24"/>
              </w:rPr>
            </w:pPr>
            <w:r>
              <w:rPr>
                <w:rFonts w:hint="eastAsia" w:hAnsi="宋体" w:cs="仿宋_GB2312"/>
                <w:sz w:val="24"/>
              </w:rPr>
              <w:t>联 系 人：吴先生       联系电话：13937414744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代理机构：河南招标采购服务有限公司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址：许昌市城乡一体化芙蓉大道芙蓉商务</w:t>
            </w:r>
          </w:p>
          <w:p>
            <w:pPr>
              <w:autoSpaceDE w:val="0"/>
              <w:autoSpaceDN w:val="0"/>
              <w:adjustRightInd w:val="0"/>
              <w:spacing w:line="360" w:lineRule="auto"/>
              <w:jc w:val="left"/>
              <w:rPr>
                <w:rFonts w:hAnsi="宋体" w:cs="仿宋_GB2312"/>
                <w:sz w:val="24"/>
              </w:rPr>
            </w:pPr>
            <w:r>
              <w:rPr>
                <w:rFonts w:hint="eastAsia" w:hAnsi="宋体" w:cs="仿宋_GB2312"/>
                <w:sz w:val="24"/>
              </w:rPr>
              <w:t>联 系 人：刘女士     联系电话：13937120256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lang w:val="zh-CN"/>
              </w:rPr>
              <w:t>七、</w:t>
            </w:r>
            <w:r>
              <w:rPr>
                <w:rFonts w:hint="eastAsia" w:ascii="宋体" w:cs="宋体"/>
                <w:b/>
                <w:bCs/>
                <w:sz w:val="24"/>
                <w:lang w:val="zh-CN"/>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rPr>
              <w:t>八</w:t>
            </w:r>
            <w:r>
              <w:rPr>
                <w:rFonts w:hint="eastAsia" w:ascii="宋体" w:cs="宋体"/>
                <w:b/>
                <w:bCs/>
                <w:sz w:val="24"/>
                <w:lang w:val="zh-CN"/>
              </w:rPr>
              <w:t>、本次招标接受联合体投标</w:t>
            </w:r>
            <w:r>
              <w:rPr>
                <w:rFonts w:hint="eastAsia" w:ascii="宋体" w:eastAsia="宋体" w:cs="宋体"/>
                <w:b/>
                <w:kern w:val="0"/>
                <w:sz w:val="24"/>
                <w:szCs w:val="24"/>
              </w:rPr>
              <w:t>。</w:t>
            </w:r>
            <w:r>
              <w:rPr>
                <w:rFonts w:hint="eastAsia" w:ascii="宋体" w:eastAsia="宋体" w:cs="宋体"/>
                <w:b/>
                <w:kern w:val="0"/>
                <w:sz w:val="24"/>
                <w:szCs w:val="24"/>
              </w:rPr>
              <w:br w:type="textWrapping"/>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jc w:val="left"/>
              <w:rPr>
                <w:rFonts w:hAnsi="宋体" w:cs="仿宋_GB2312"/>
                <w:sz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ascii="宋体" w:cs="宋体"/>
                <w:bCs/>
                <w:sz w:val="24"/>
                <w:lang w:val="zh-CN"/>
              </w:rPr>
            </w:pPr>
            <w:r>
              <w:rPr>
                <w:rFonts w:hint="eastAsia" w:cs="宋体" w:asciiTheme="minorEastAsia" w:hAnsiTheme="minorEastAsia"/>
                <w:kern w:val="0"/>
                <w:sz w:val="24"/>
                <w:szCs w:val="24"/>
              </w:rPr>
              <w:t>本项目</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不接受</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1488240元，超出最高限价的投标无效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r>
              <w:rPr>
                <w:rFonts w:hint="eastAsia" w:hAnsi="宋体" w:cs="仿宋_GB2312"/>
                <w:sz w:val="24"/>
              </w:rPr>
              <w:br w:type="textWrapping"/>
            </w: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2018年7月11日9时30分（北京时间）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许昌市公共资源交易中心三楼开标</w:t>
            </w:r>
            <w:r>
              <w:rPr>
                <w:rFonts w:hint="eastAsia" w:ascii="宋体" w:cs="宋体"/>
                <w:bCs/>
                <w:sz w:val="24"/>
              </w:rPr>
              <w:t>三</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金额：贰万玖仟元（¥29000.00）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18</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hint="eastAsia" w:cs="宋体" w:asciiTheme="minorEastAsia" w:hAnsiTheme="minorEastAsia"/>
                <w:sz w:val="24"/>
                <w:szCs w:val="24"/>
              </w:rPr>
              <w:fldChar w:fldCharType="begin"/>
            </w:r>
            <w:r>
              <w:rPr>
                <w:rFonts w:hint="eastAsia" w:cs="宋体" w:asciiTheme="minorEastAsia" w:hAnsiTheme="minorEastAsia"/>
                <w:sz w:val="24"/>
                <w:szCs w:val="24"/>
              </w:rPr>
              <w:instrText xml:space="preserve"> eq \o\ac(□,√)</w:instrText>
            </w:r>
            <w:r>
              <w:rPr>
                <w:rFonts w:hint="eastAsia" w:cs="宋体" w:asciiTheme="minorEastAsia" w:hAnsiTheme="minorEastAsia"/>
                <w:sz w:val="24"/>
                <w:szCs w:val="24"/>
              </w:rPr>
              <w:fldChar w:fldCharType="end"/>
            </w:r>
            <w:r>
              <w:rPr>
                <w:rFonts w:hint="eastAsia" w:cs="宋体" w:asciiTheme="minorEastAsia" w:hAnsiTheme="minorEastAsia"/>
                <w:sz w:val="24"/>
                <w:szCs w:val="24"/>
              </w:rPr>
              <w:t>电子投标文件：成功上传至《全国公共资源交易平台（河南省·许昌市）》公共资源交易系统加密电子投标文件1份</w:t>
            </w:r>
            <w:r>
              <w:rPr>
                <w:rFonts w:hint="eastAsia" w:cs="宋体" w:asciiTheme="minorEastAsia" w:hAnsiTheme="minorEastAsia"/>
                <w:sz w:val="24"/>
                <w:szCs w:val="24"/>
                <w:lang w:val="zh-CN"/>
              </w:rPr>
              <w:t>（文件格式为： XXX公司XXX项目编号.file）。</w:t>
            </w:r>
            <w:r>
              <w:rPr>
                <w:rFonts w:hint="eastAsia" w:cs="宋体" w:asciiTheme="minorEastAsia" w:hAnsiTheme="minorEastAsia"/>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sz w:val="24"/>
                <w:szCs w:val="24"/>
              </w:rPr>
            </w:pPr>
            <w:r>
              <w:rPr>
                <w:rFonts w:hint="eastAsia" w:cs="宋体" w:asciiTheme="minorEastAsia" w:hAnsiTheme="minorEastAsia"/>
                <w:sz w:val="24"/>
                <w:szCs w:val="24"/>
              </w:rPr>
              <w:fldChar w:fldCharType="begin"/>
            </w:r>
            <w:r>
              <w:rPr>
                <w:rFonts w:hint="eastAsia" w:cs="宋体" w:asciiTheme="minorEastAsia" w:hAnsiTheme="minorEastAsia"/>
                <w:sz w:val="24"/>
                <w:szCs w:val="24"/>
              </w:rPr>
              <w:instrText xml:space="preserve"> eq \o\ac(□,√)</w:instrText>
            </w:r>
            <w:r>
              <w:rPr>
                <w:rFonts w:hint="eastAsia" w:cs="宋体" w:asciiTheme="minorEastAsia" w:hAnsiTheme="minorEastAsia"/>
                <w:sz w:val="24"/>
                <w:szCs w:val="24"/>
              </w:rPr>
              <w:fldChar w:fldCharType="end"/>
            </w:r>
            <w:r>
              <w:rPr>
                <w:rFonts w:hint="eastAsia" w:cs="宋体" w:asciiTheme="minorEastAsia" w:hAnsiTheme="minorEastAsia"/>
                <w:sz w:val="24"/>
                <w:szCs w:val="24"/>
              </w:rPr>
              <w:t>纸质投标文件：正本一份，副本二份。使用格式为“投标文件（供打印）.PDF”的文件</w:t>
            </w:r>
          </w:p>
          <w:p>
            <w:pPr>
              <w:autoSpaceDE w:val="0"/>
              <w:autoSpaceDN w:val="0"/>
              <w:adjustRightInd w:val="0"/>
              <w:spacing w:line="276" w:lineRule="auto"/>
              <w:rPr>
                <w:rFonts w:ascii="宋体" w:cs="宋体"/>
                <w:bCs/>
                <w:sz w:val="24"/>
                <w:lang w:val="zh-CN"/>
              </w:rPr>
            </w:pPr>
            <w:r>
              <w:rPr>
                <w:rFonts w:hint="eastAsia" w:cs="宋体" w:asciiTheme="minorEastAsia" w:hAnsiTheme="minorEastAsia"/>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hAnsi="宋体" w:cs="黑体"/>
                <w:sz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hint="eastAsia" w:cs="宋体" w:asciiTheme="minorEastAsia" w:hAnsiTheme="minorEastAsia"/>
                <w:sz w:val="24"/>
                <w:szCs w:val="24"/>
              </w:rPr>
              <w:fldChar w:fldCharType="begin"/>
            </w:r>
            <w:r>
              <w:rPr>
                <w:rFonts w:hint="eastAsia" w:cs="宋体" w:asciiTheme="minorEastAsia" w:hAnsiTheme="minorEastAsia"/>
                <w:sz w:val="24"/>
                <w:szCs w:val="24"/>
              </w:rPr>
              <w:instrText xml:space="preserve"> eq \o\ac(□,√)</w:instrText>
            </w:r>
            <w:r>
              <w:rPr>
                <w:rFonts w:hint="eastAsia" w:cs="宋体" w:asciiTheme="minorEastAsia" w:hAnsiTheme="minorEastAsia"/>
                <w:sz w:val="24"/>
                <w:szCs w:val="24"/>
              </w:rPr>
              <w:fldChar w:fldCharType="end"/>
            </w:r>
            <w:r>
              <w:rPr>
                <w:rFonts w:hint="eastAsia" w:cs="宋体" w:asciiTheme="minorEastAsia" w:hAnsiTheme="minorEastAsia"/>
                <w:sz w:val="24"/>
                <w:szCs w:val="24"/>
              </w:rPr>
              <w:t>电子投标文件：按招标文件要求加盖电子印章和法人电子印章。</w:t>
            </w:r>
          </w:p>
          <w:p>
            <w:pPr>
              <w:autoSpaceDE w:val="0"/>
              <w:autoSpaceDN w:val="0"/>
              <w:adjustRightInd w:val="0"/>
              <w:spacing w:line="360" w:lineRule="auto"/>
              <w:rPr>
                <w:rFonts w:cs="仿宋_GB2312" w:asciiTheme="minorEastAsia" w:hAnsiTheme="minorEastAsia"/>
                <w:sz w:val="24"/>
                <w:lang w:val="zh-CN"/>
              </w:rPr>
            </w:pPr>
            <w:r>
              <w:rPr>
                <w:rFonts w:hint="eastAsia" w:cs="宋体" w:asciiTheme="minorEastAsia" w:hAnsiTheme="minorEastAsia"/>
                <w:sz w:val="24"/>
                <w:szCs w:val="24"/>
              </w:rPr>
              <w:fldChar w:fldCharType="begin"/>
            </w:r>
            <w:r>
              <w:rPr>
                <w:rFonts w:hint="eastAsia" w:cs="宋体" w:asciiTheme="minorEastAsia" w:hAnsiTheme="minorEastAsia"/>
                <w:sz w:val="24"/>
                <w:szCs w:val="24"/>
              </w:rPr>
              <w:instrText xml:space="preserve"> eq \o\ac(□,√)</w:instrText>
            </w:r>
            <w:r>
              <w:rPr>
                <w:rFonts w:hint="eastAsia" w:cs="宋体" w:asciiTheme="minorEastAsia" w:hAnsiTheme="minorEastAsia"/>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20</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w:t>
            </w:r>
            <w:r>
              <w:rPr>
                <w:rFonts w:hint="eastAsia" w:cs="仿宋_GB2312" w:asciiTheme="minorEastAsia" w:hAnsiTheme="minorEastAsia"/>
                <w:sz w:val="24"/>
              </w:rPr>
              <w:t>五人评委</w:t>
            </w:r>
            <w:r>
              <w:rPr>
                <w:rFonts w:hint="eastAsia" w:cs="仿宋_GB2312" w:asciiTheme="minorEastAsia" w:hAnsiTheme="minorEastAsia"/>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ascii="宋体" w:cs="宋体"/>
                <w:bCs/>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ascii="宋体" w:cs="宋体"/>
                <w:bCs/>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r>
              <w:rPr>
                <w:rFonts w:hint="eastAsia" w:cs="宋体" w:asciiTheme="minorEastAsia" w:hAnsiTheme="minorEastAsia"/>
                <w:bCs/>
                <w:sz w:val="24"/>
                <w:szCs w:val="24"/>
                <w:lang w:val="zh-CN"/>
              </w:rPr>
              <w:br w:type="textWrapping"/>
            </w: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ascii="宋体" w:cs="宋体"/>
                <w:bCs/>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sz w:val="24"/>
                <w:szCs w:val="24"/>
              </w:rPr>
              <w:t>收取标准:壹万伍仟元整，</w:t>
            </w:r>
            <w:r>
              <w:rPr>
                <w:rFonts w:hint="eastAsia" w:ascii="宋体" w:cs="宋体"/>
                <w:bCs/>
                <w:sz w:val="24"/>
                <w:lang w:val="zh-CN"/>
              </w:rPr>
              <w:t>由</w:t>
            </w:r>
            <w:r>
              <w:rPr>
                <w:rFonts w:hint="eastAsia" w:ascii="宋体" w:cs="宋体"/>
                <w:bCs/>
                <w:sz w:val="24"/>
              </w:rPr>
              <w:t>中标人</w:t>
            </w:r>
            <w:r>
              <w:rPr>
                <w:rFonts w:hint="eastAsia" w:ascii="宋体" w:cs="宋体"/>
                <w:bCs/>
                <w:sz w:val="24"/>
                <w:lang w:val="zh-CN"/>
              </w:rPr>
              <w:t>支付</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xiaofeng20051115@126.com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ascii="宋体" w:cs="宋体"/>
                <w:bCs/>
                <w:sz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2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rPr>
        <w:t>三</w:t>
      </w:r>
      <w:r>
        <w:rPr>
          <w:rFonts w:hint="eastAsia" w:cs="仿宋_GB2312" w:asciiTheme="minorEastAsia" w:hAnsiTheme="minorEastAsia"/>
          <w:b/>
          <w:sz w:val="24"/>
          <w:lang w:val="zh-CN"/>
        </w:rPr>
        <w:t>、促进残疾人就业</w:t>
      </w:r>
    </w:p>
    <w:p>
      <w:pPr>
        <w:pStyle w:val="11"/>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pStyle w:val="11"/>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第五章 资格审查与评标办法、评标标准</w:t>
      </w:r>
    </w:p>
    <w:p>
      <w:pPr>
        <w:pStyle w:val="11"/>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pStyle w:val="11"/>
        <w:spacing w:line="360" w:lineRule="auto"/>
        <w:contextualSpacing/>
        <w:rPr>
          <w:rFonts w:cs="仿宋_GB2312" w:asciiTheme="minorEastAsia" w:hAnsiTheme="minorEastAsia" w:eastAsiaTheme="minorEastAsia"/>
          <w:b/>
          <w:sz w:val="32"/>
          <w:szCs w:val="32"/>
          <w:lang w:val="zh-CN"/>
        </w:rPr>
      </w:pPr>
      <w:r>
        <w:rPr>
          <w:rFonts w:hint="eastAsia" w:cs="仿宋_GB2312" w:asciiTheme="minorEastAsia" w:hAnsiTheme="minorEastAsia"/>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1"/>
        <w:spacing w:line="360" w:lineRule="auto"/>
        <w:contextualSpacing/>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1"/>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1"/>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1"/>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1"/>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1"/>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1"/>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1"/>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1"/>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1"/>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1"/>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1"/>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1"/>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）评标标准</w:t>
      </w:r>
    </w:p>
    <w:tbl>
      <w:tblPr>
        <w:tblStyle w:val="21"/>
        <w:tblpPr w:leftFromText="180" w:rightFromText="180" w:vertAnchor="text" w:horzAnchor="page" w:tblpXSpec="center" w:tblpY="442"/>
        <w:tblOverlap w:val="never"/>
        <w:tblW w:w="10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416"/>
        <w:gridCol w:w="4099"/>
        <w:gridCol w:w="362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分值构成</w:t>
            </w:r>
          </w:p>
          <w:p>
            <w:pPr>
              <w:jc w:val="center"/>
              <w:rPr>
                <w:rFonts w:asciiTheme="minorEastAsia" w:hAnsiTheme="minorEastAsia" w:cstheme="minorEastAsia"/>
                <w:szCs w:val="21"/>
              </w:rPr>
            </w:pPr>
            <w:r>
              <w:rPr>
                <w:rFonts w:hint="eastAsia" w:asciiTheme="minorEastAsia" w:hAnsiTheme="minorEastAsia" w:cstheme="minorEastAsia"/>
                <w:szCs w:val="21"/>
              </w:rPr>
              <w:t>(总分100分)</w:t>
            </w:r>
          </w:p>
        </w:tc>
        <w:tc>
          <w:tcPr>
            <w:tcW w:w="8564" w:type="dxa"/>
            <w:gridSpan w:val="3"/>
            <w:vAlign w:val="center"/>
          </w:tcPr>
          <w:p>
            <w:pPr>
              <w:ind w:firstLine="420" w:firstLineChars="200"/>
              <w:rPr>
                <w:rFonts w:asciiTheme="minorEastAsia" w:hAnsiTheme="minorEastAsia" w:cstheme="minorEastAsia"/>
                <w:szCs w:val="21"/>
              </w:rPr>
            </w:pPr>
            <w:r>
              <w:rPr>
                <w:rFonts w:hint="eastAsia" w:asciiTheme="minorEastAsia" w:hAnsiTheme="minorEastAsia" w:cstheme="minorEastAsia"/>
                <w:szCs w:val="21"/>
              </w:rPr>
              <w:t>价格分值：</w:t>
            </w:r>
            <w:r>
              <w:rPr>
                <w:rFonts w:hint="eastAsia" w:asciiTheme="minorEastAsia" w:hAnsiTheme="minorEastAsia" w:cstheme="minorEastAsia"/>
                <w:szCs w:val="21"/>
                <w:u w:val="single"/>
              </w:rPr>
              <w:t>20</w:t>
            </w:r>
            <w:r>
              <w:rPr>
                <w:rFonts w:hint="eastAsia" w:asciiTheme="minorEastAsia" w:hAnsiTheme="minorEastAsia" w:cstheme="minorEastAsia"/>
                <w:szCs w:val="21"/>
              </w:rPr>
              <w:t>分</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商务部分：</w:t>
            </w:r>
            <w:r>
              <w:rPr>
                <w:rFonts w:hint="eastAsia" w:asciiTheme="minorEastAsia" w:hAnsiTheme="minorEastAsia" w:cstheme="minorEastAsia"/>
                <w:szCs w:val="21"/>
                <w:u w:val="single"/>
              </w:rPr>
              <w:t>23</w:t>
            </w:r>
            <w:r>
              <w:rPr>
                <w:rFonts w:hint="eastAsia" w:asciiTheme="minorEastAsia" w:hAnsiTheme="minorEastAsia" w:cstheme="minorEastAsia"/>
                <w:szCs w:val="21"/>
              </w:rPr>
              <w:t>分</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技术部分：</w:t>
            </w:r>
            <w:r>
              <w:rPr>
                <w:rFonts w:hint="eastAsia" w:asciiTheme="minorEastAsia" w:hAnsiTheme="minorEastAsia" w:cstheme="minorEastAsia"/>
                <w:szCs w:val="21"/>
                <w:u w:val="single"/>
              </w:rPr>
              <w:t>57</w:t>
            </w:r>
            <w:r>
              <w:rPr>
                <w:rFonts w:hint="eastAsia" w:asciiTheme="minorEastAsia" w:hAnsi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26" w:type="dxa"/>
            <w:gridSpan w:val="5"/>
            <w:tcBorders>
              <w:bottom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价格部分（满分</w:t>
            </w:r>
            <w:r>
              <w:rPr>
                <w:rFonts w:hint="eastAsia" w:asciiTheme="minorEastAsia" w:hAnsiTheme="minorEastAsia" w:cstheme="minorEastAsia"/>
                <w:b/>
                <w:szCs w:val="21"/>
                <w:u w:val="single"/>
              </w:rPr>
              <w:t>20</w:t>
            </w:r>
            <w:r>
              <w:rPr>
                <w:rFonts w:hint="eastAsia" w:asciiTheme="minorEastAsia" w:hAnsiTheme="minorEastAsia" w:cs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tcBorders>
              <w:top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评分因素</w:t>
            </w:r>
          </w:p>
        </w:tc>
        <w:tc>
          <w:tcPr>
            <w:tcW w:w="8138" w:type="dxa"/>
            <w:gridSpan w:val="3"/>
            <w:tcBorders>
              <w:top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评标标准</w:t>
            </w:r>
          </w:p>
        </w:tc>
        <w:tc>
          <w:tcPr>
            <w:tcW w:w="842" w:type="dxa"/>
            <w:tcBorders>
              <w:top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346" w:type="dxa"/>
            <w:tcBorders>
              <w:top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投标报价</w:t>
            </w:r>
          </w:p>
          <w:p>
            <w:pPr>
              <w:jc w:val="center"/>
              <w:rPr>
                <w:rFonts w:asciiTheme="minorEastAsia" w:hAnsiTheme="minorEastAsia" w:cstheme="minorEastAsia"/>
                <w:szCs w:val="21"/>
              </w:rPr>
            </w:pPr>
            <w:r>
              <w:rPr>
                <w:rFonts w:hint="eastAsia" w:asciiTheme="minorEastAsia" w:hAnsiTheme="minorEastAsia" w:cstheme="minorEastAsia"/>
                <w:szCs w:val="21"/>
              </w:rPr>
              <w:t>评分标准</w:t>
            </w:r>
          </w:p>
        </w:tc>
        <w:tc>
          <w:tcPr>
            <w:tcW w:w="8138" w:type="dxa"/>
            <w:gridSpan w:val="3"/>
            <w:tcBorders>
              <w:top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评标基准价：满足招标文件要求的有效投标报价中，最低的投标报价为评标基准价。</w:t>
            </w:r>
          </w:p>
          <w:p>
            <w:pPr>
              <w:rPr>
                <w:rFonts w:asciiTheme="minorEastAsia" w:hAnsiTheme="minorEastAsia" w:cstheme="minorEastAsia"/>
                <w:szCs w:val="21"/>
              </w:rPr>
            </w:pPr>
            <w:r>
              <w:rPr>
                <w:rFonts w:hint="eastAsia" w:asciiTheme="minorEastAsia" w:hAnsiTheme="minorEastAsia" w:cstheme="minorEastAsia"/>
                <w:szCs w:val="21"/>
              </w:rPr>
              <w:t>投标报价得分=（评标基准价/投标报价）×20</w:t>
            </w:r>
          </w:p>
        </w:tc>
        <w:tc>
          <w:tcPr>
            <w:tcW w:w="842" w:type="dxa"/>
            <w:tcBorders>
              <w:top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26" w:type="dxa"/>
            <w:gridSpan w:val="5"/>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商务部分（满分</w:t>
            </w:r>
            <w:r>
              <w:rPr>
                <w:rFonts w:hint="eastAsia" w:asciiTheme="minorEastAsia" w:hAnsiTheme="minorEastAsia" w:cstheme="minorEastAsia"/>
                <w:b/>
                <w:szCs w:val="21"/>
                <w:u w:val="single"/>
              </w:rPr>
              <w:t>23</w:t>
            </w:r>
            <w:r>
              <w:rPr>
                <w:rFonts w:hint="eastAsia" w:asciiTheme="minorEastAsia" w:hAnsiTheme="minorEastAsia" w:cs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tcBorders>
              <w:bottom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评分因素</w:t>
            </w:r>
          </w:p>
        </w:tc>
        <w:tc>
          <w:tcPr>
            <w:tcW w:w="8138" w:type="dxa"/>
            <w:gridSpan w:val="3"/>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评标标准</w:t>
            </w:r>
          </w:p>
        </w:tc>
        <w:tc>
          <w:tcPr>
            <w:tcW w:w="842"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其他专业人员证书情况</w:t>
            </w:r>
          </w:p>
        </w:tc>
        <w:tc>
          <w:tcPr>
            <w:tcW w:w="8138" w:type="dxa"/>
            <w:gridSpan w:val="3"/>
            <w:vAlign w:val="center"/>
          </w:tcPr>
          <w:p>
            <w:pPr>
              <w:rPr>
                <w:rFonts w:asciiTheme="minorEastAsia" w:hAnsiTheme="minorEastAsia" w:cstheme="minorEastAsia"/>
                <w:szCs w:val="21"/>
              </w:rPr>
            </w:pPr>
            <w:r>
              <w:rPr>
                <w:rFonts w:hint="eastAsia" w:asciiTheme="minorEastAsia" w:hAnsiTheme="minorEastAsia" w:cstheme="minorEastAsia"/>
                <w:szCs w:val="21"/>
              </w:rPr>
              <w:t>1、拟投入本项目的其他专业人员中（项目负责人除外）设计人员配备齐全，每具有一个城市规划或建筑设计专业高级及以上技术职称得2.5分，最多不超过5分，没有不得分；</w:t>
            </w:r>
          </w:p>
          <w:p>
            <w:pPr>
              <w:rPr>
                <w:rFonts w:asciiTheme="minorEastAsia" w:hAnsiTheme="minorEastAsia" w:cstheme="minorEastAsia"/>
                <w:szCs w:val="21"/>
                <w:lang w:val="en-GB"/>
              </w:rPr>
            </w:pPr>
            <w:r>
              <w:rPr>
                <w:rFonts w:hint="eastAsia" w:asciiTheme="minorEastAsia" w:hAnsiTheme="minorEastAsia" w:cstheme="minorEastAsia"/>
                <w:szCs w:val="21"/>
              </w:rPr>
              <w:t>2、拟派班子中每具有国家一级注册建筑师、一级注册结构师者，每项得2.5分，最多不超过5分，没有不得分。</w:t>
            </w:r>
          </w:p>
        </w:tc>
        <w:tc>
          <w:tcPr>
            <w:tcW w:w="842" w:type="dxa"/>
            <w:vAlign w:val="center"/>
          </w:tcPr>
          <w:p>
            <w:pPr>
              <w:jc w:val="center"/>
              <w:rPr>
                <w:rFonts w:asciiTheme="minorEastAsia" w:hAnsiTheme="minorEastAsia" w:cstheme="minorEastAsia"/>
                <w:szCs w:val="21"/>
                <w:lang w:val="en-GB"/>
              </w:rPr>
            </w:pPr>
            <w:r>
              <w:rPr>
                <w:rFonts w:hint="eastAsia" w:asciiTheme="minorEastAsia" w:hAnsiTheme="minorEastAsia" w:cstheme="minorEastAsia"/>
                <w:szCs w:val="21"/>
                <w:lang w:val="en-GB"/>
              </w:rPr>
              <w:t>1</w:t>
            </w:r>
            <w:r>
              <w:rPr>
                <w:rFonts w:hint="eastAsia" w:asciiTheme="minorEastAsia" w:hAnsiTheme="minorEastAsia" w:cstheme="minorEastAsia"/>
                <w:szCs w:val="21"/>
              </w:rPr>
              <w:t>0</w:t>
            </w:r>
            <w:r>
              <w:rPr>
                <w:rFonts w:hint="eastAsia" w:asciiTheme="minorEastAsia" w:hAnsiTheme="minorEastAsia" w:cstheme="minorEastAsia"/>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46"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类似业绩情况</w:t>
            </w:r>
          </w:p>
        </w:tc>
        <w:tc>
          <w:tcPr>
            <w:tcW w:w="8138" w:type="dxa"/>
            <w:gridSpan w:val="3"/>
            <w:vAlign w:val="center"/>
          </w:tcPr>
          <w:p>
            <w:pPr>
              <w:adjustRightInd w:val="0"/>
              <w:jc w:val="left"/>
              <w:textAlignment w:val="baseline"/>
              <w:rPr>
                <w:rFonts w:asciiTheme="minorEastAsia" w:hAnsiTheme="minorEastAsia" w:cstheme="minorEastAsia"/>
                <w:b/>
                <w:szCs w:val="21"/>
              </w:rPr>
            </w:pPr>
            <w:r>
              <w:rPr>
                <w:rFonts w:hint="eastAsia" w:asciiTheme="minorEastAsia" w:hAnsiTheme="minorEastAsia" w:cstheme="minorEastAsia"/>
                <w:iCs/>
                <w:szCs w:val="21"/>
              </w:rPr>
              <w:t>2015年1月1日以来（以合同签订日期为准），每提供一份合同金额不少于140万元的类似项目业绩得3分，满分9分。</w:t>
            </w:r>
          </w:p>
        </w:tc>
        <w:tc>
          <w:tcPr>
            <w:tcW w:w="84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投标文件规范程度</w:t>
            </w:r>
          </w:p>
        </w:tc>
        <w:tc>
          <w:tcPr>
            <w:tcW w:w="8138" w:type="dxa"/>
            <w:gridSpan w:val="3"/>
            <w:vAlign w:val="center"/>
          </w:tcPr>
          <w:p>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1、装订规范、文字清晰、无差错得1分，</w:t>
            </w:r>
          </w:p>
          <w:p>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2、所提供资料准确完整得1分。</w:t>
            </w:r>
          </w:p>
          <w:p>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3、招标文件编制水平得2分。</w:t>
            </w:r>
          </w:p>
        </w:tc>
        <w:tc>
          <w:tcPr>
            <w:tcW w:w="84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326" w:type="dxa"/>
            <w:gridSpan w:val="5"/>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技术部分（</w:t>
            </w:r>
            <w:bookmarkStart w:id="19" w:name="_GoBack"/>
            <w:bookmarkEnd w:id="19"/>
            <w:r>
              <w:rPr>
                <w:rFonts w:hint="eastAsia" w:asciiTheme="minorEastAsia" w:hAnsiTheme="minorEastAsia" w:cstheme="minorEastAsia"/>
                <w:b/>
                <w:szCs w:val="21"/>
              </w:rPr>
              <w:t>满分</w:t>
            </w:r>
            <w:r>
              <w:rPr>
                <w:rFonts w:hint="eastAsia" w:asciiTheme="minorEastAsia" w:hAnsiTheme="minorEastAsia" w:cstheme="minorEastAsia"/>
                <w:b/>
                <w:szCs w:val="21"/>
                <w:u w:val="single"/>
              </w:rPr>
              <w:t>5</w:t>
            </w:r>
            <w:r>
              <w:rPr>
                <w:rFonts w:hint="eastAsia" w:asciiTheme="minorEastAsia" w:hAnsiTheme="minorEastAsia" w:cstheme="minorEastAsia"/>
                <w:b/>
                <w:szCs w:val="21"/>
                <w:u w:val="single"/>
                <w:lang w:val="en-US" w:eastAsia="zh-CN"/>
              </w:rPr>
              <w:t>7</w:t>
            </w:r>
            <w:r>
              <w:rPr>
                <w:rFonts w:hint="eastAsia" w:asciiTheme="minorEastAsia" w:hAnsiTheme="minorEastAsia" w:cs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评分因素</w:t>
            </w:r>
          </w:p>
        </w:tc>
        <w:tc>
          <w:tcPr>
            <w:tcW w:w="8138" w:type="dxa"/>
            <w:gridSpan w:val="3"/>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评标标准</w:t>
            </w:r>
          </w:p>
        </w:tc>
        <w:tc>
          <w:tcPr>
            <w:tcW w:w="842"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规划思路的完整性和编制水平</w:t>
            </w:r>
          </w:p>
        </w:tc>
        <w:tc>
          <w:tcPr>
            <w:tcW w:w="4515" w:type="dxa"/>
            <w:gridSpan w:val="2"/>
            <w:vMerge w:val="restart"/>
            <w:vAlign w:val="center"/>
          </w:tcPr>
          <w:p>
            <w:pPr>
              <w:jc w:val="left"/>
              <w:rPr>
                <w:rFonts w:asciiTheme="minorEastAsia" w:hAnsiTheme="minorEastAsia" w:cstheme="minorEastAsia"/>
                <w:b/>
                <w:szCs w:val="21"/>
              </w:rPr>
            </w:pPr>
            <w:r>
              <w:rPr>
                <w:rFonts w:hint="eastAsia" w:asciiTheme="minorEastAsia" w:hAnsiTheme="minorEastAsia" w:cstheme="minorEastAsia"/>
                <w:iCs/>
                <w:szCs w:val="21"/>
              </w:rPr>
              <w:t>对项目整体有深刻认识，设计方案内容针对项目特点完整规范、具体可行和整体编制水平。</w:t>
            </w:r>
          </w:p>
        </w:tc>
        <w:tc>
          <w:tcPr>
            <w:tcW w:w="3623" w:type="dxa"/>
            <w:vAlign w:val="center"/>
          </w:tcPr>
          <w:p>
            <w:pPr>
              <w:adjustRightInd w:val="0"/>
              <w:jc w:val="center"/>
              <w:textAlignment w:val="baseline"/>
              <w:rPr>
                <w:rFonts w:asciiTheme="minorEastAsia" w:hAnsiTheme="minorEastAsia" w:cstheme="minorEastAsia"/>
                <w:b/>
                <w:i/>
                <w:kern w:val="0"/>
                <w:szCs w:val="21"/>
              </w:rPr>
            </w:pPr>
            <w:r>
              <w:rPr>
                <w:rFonts w:hint="eastAsia" w:asciiTheme="minorEastAsia" w:hAnsiTheme="minorEastAsia" w:cstheme="minorEastAsia"/>
                <w:iCs/>
                <w:szCs w:val="21"/>
              </w:rPr>
              <w:t>科学，方案合理得11分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没有或不合理得0分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对现状的分析</w:t>
            </w:r>
          </w:p>
          <w:p>
            <w:pPr>
              <w:jc w:val="center"/>
              <w:rPr>
                <w:rFonts w:asciiTheme="minorEastAsia" w:hAnsiTheme="minorEastAsia" w:cstheme="minorEastAsia"/>
                <w:szCs w:val="21"/>
              </w:rPr>
            </w:pPr>
          </w:p>
        </w:tc>
        <w:tc>
          <w:tcPr>
            <w:tcW w:w="4515" w:type="dxa"/>
            <w:gridSpan w:val="2"/>
            <w:vMerge w:val="restart"/>
            <w:vAlign w:val="center"/>
          </w:tcPr>
          <w:p>
            <w:pPr>
              <w:rPr>
                <w:rFonts w:asciiTheme="minorEastAsia" w:hAnsiTheme="minorEastAsia" w:cstheme="minorEastAsia"/>
                <w:szCs w:val="21"/>
              </w:rPr>
            </w:pPr>
            <w:r>
              <w:rPr>
                <w:rFonts w:hint="eastAsia" w:asciiTheme="minorEastAsia" w:hAnsiTheme="minorEastAsia" w:cstheme="minorEastAsia"/>
                <w:szCs w:val="21"/>
              </w:rPr>
              <w:t>编制投标文件前现场调研，有翔实的调研记录，对整治范围自然情况和现状建设情况了解清楚、分析透彻。</w:t>
            </w: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有调研记录与分析得12分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rPr>
                <w:rFonts w:asciiTheme="minorEastAsia" w:hAnsiTheme="minorEastAsia" w:cstheme="minorEastAsia"/>
                <w:szCs w:val="21"/>
              </w:rPr>
            </w:pPr>
          </w:p>
        </w:tc>
        <w:tc>
          <w:tcPr>
            <w:tcW w:w="4515" w:type="dxa"/>
            <w:gridSpan w:val="2"/>
            <w:vMerge w:val="continue"/>
            <w:vAlign w:val="center"/>
          </w:tcPr>
          <w:p>
            <w:pPr>
              <w:ind w:firstLine="525" w:firstLineChars="250"/>
              <w:jc w:val="center"/>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有调研照片无分析 得5分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rPr>
                <w:rFonts w:asciiTheme="minorEastAsia" w:hAnsiTheme="minorEastAsia" w:cstheme="minorEastAsia"/>
                <w:szCs w:val="21"/>
              </w:rPr>
            </w:pPr>
          </w:p>
        </w:tc>
        <w:tc>
          <w:tcPr>
            <w:tcW w:w="4515" w:type="dxa"/>
            <w:gridSpan w:val="2"/>
            <w:vMerge w:val="continue"/>
            <w:vAlign w:val="center"/>
          </w:tcPr>
          <w:p>
            <w:pPr>
              <w:ind w:firstLine="525" w:firstLineChars="250"/>
              <w:jc w:val="center"/>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无调研照片，有文字得3分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rPr>
                <w:rFonts w:asciiTheme="minorEastAsia" w:hAnsiTheme="minorEastAsia" w:cstheme="minorEastAsia"/>
                <w:szCs w:val="21"/>
              </w:rPr>
            </w:pPr>
          </w:p>
        </w:tc>
        <w:tc>
          <w:tcPr>
            <w:tcW w:w="4515" w:type="dxa"/>
            <w:gridSpan w:val="2"/>
            <w:vMerge w:val="continue"/>
            <w:vAlign w:val="center"/>
          </w:tcPr>
          <w:p>
            <w:pPr>
              <w:ind w:firstLine="525" w:firstLineChars="250"/>
              <w:jc w:val="center"/>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无调研得0分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iCs/>
                <w:szCs w:val="21"/>
              </w:rPr>
            </w:pPr>
            <w:r>
              <w:rPr>
                <w:rFonts w:hint="eastAsia" w:asciiTheme="minorEastAsia" w:hAnsiTheme="minorEastAsia" w:cstheme="minorEastAsia"/>
                <w:iCs/>
                <w:szCs w:val="21"/>
              </w:rPr>
              <w:t>规划方案</w:t>
            </w:r>
          </w:p>
          <w:p>
            <w:pPr>
              <w:jc w:val="center"/>
              <w:rPr>
                <w:rFonts w:asciiTheme="minorEastAsia" w:hAnsiTheme="minorEastAsia" w:cstheme="minorEastAsia"/>
                <w:szCs w:val="21"/>
              </w:rPr>
            </w:pPr>
          </w:p>
        </w:tc>
        <w:tc>
          <w:tcPr>
            <w:tcW w:w="4515" w:type="dxa"/>
            <w:gridSpan w:val="2"/>
            <w:vMerge w:val="restart"/>
            <w:vAlign w:val="center"/>
          </w:tcPr>
          <w:p>
            <w:pPr>
              <w:jc w:val="left"/>
              <w:rPr>
                <w:rFonts w:asciiTheme="minorEastAsia" w:hAnsiTheme="minorEastAsia" w:cstheme="minorEastAsia"/>
                <w:szCs w:val="21"/>
              </w:rPr>
            </w:pPr>
            <w:r>
              <w:rPr>
                <w:rFonts w:hint="eastAsia" w:asciiTheme="minorEastAsia" w:hAnsiTheme="minorEastAsia" w:cstheme="minorEastAsia"/>
                <w:iCs/>
                <w:szCs w:val="21"/>
              </w:rPr>
              <w:t>规划方法得当，表现方法清晰，新颖；规划边界条件分析周密，满足技术要求的相关规定，方案科学合理。</w:t>
            </w: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有总平面和效果图得16分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有总平面，无效果图得5分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无总平面，有总体结构分析得3分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无规划结构图得0分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主要工作方案技术内容</w:t>
            </w:r>
          </w:p>
          <w:p>
            <w:pPr>
              <w:jc w:val="center"/>
              <w:rPr>
                <w:rFonts w:asciiTheme="minorEastAsia" w:hAnsiTheme="minorEastAsia" w:cstheme="minorEastAsia"/>
                <w:szCs w:val="21"/>
              </w:rPr>
            </w:pPr>
          </w:p>
        </w:tc>
        <w:tc>
          <w:tcPr>
            <w:tcW w:w="4515" w:type="dxa"/>
            <w:gridSpan w:val="2"/>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项目编制思路及理念，总体分析，技术路线，总体定位，总体思路清晰</w:t>
            </w: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有明确定位及总体</w:t>
            </w:r>
            <w:r>
              <w:rPr>
                <w:rFonts w:hint="eastAsia" w:asciiTheme="minorEastAsia" w:hAnsiTheme="minorEastAsia" w:cstheme="minorEastAsia"/>
                <w:szCs w:val="21"/>
              </w:rPr>
              <w:t>交通、景观等</w:t>
            </w:r>
            <w:r>
              <w:rPr>
                <w:rFonts w:hint="eastAsia" w:asciiTheme="minorEastAsia" w:hAnsiTheme="minorEastAsia" w:cstheme="minorEastAsia"/>
                <w:iCs/>
                <w:szCs w:val="21"/>
              </w:rPr>
              <w:t>分析得7分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rPr>
                <w:rFonts w:asciiTheme="minorEastAsia" w:hAnsiTheme="minorEastAsia" w:cstheme="minorEastAsia"/>
                <w:szCs w:val="21"/>
              </w:rPr>
            </w:pPr>
          </w:p>
        </w:tc>
        <w:tc>
          <w:tcPr>
            <w:tcW w:w="4515" w:type="dxa"/>
            <w:gridSpan w:val="2"/>
            <w:vMerge w:val="continue"/>
            <w:vAlign w:val="center"/>
          </w:tcPr>
          <w:p>
            <w:pPr>
              <w:jc w:val="center"/>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有明确定位无</w:t>
            </w:r>
            <w:r>
              <w:rPr>
                <w:rFonts w:hint="eastAsia" w:asciiTheme="minorEastAsia" w:hAnsiTheme="minorEastAsia" w:cstheme="minorEastAsia"/>
                <w:szCs w:val="21"/>
              </w:rPr>
              <w:t>交通、景观等</w:t>
            </w:r>
            <w:r>
              <w:rPr>
                <w:rFonts w:hint="eastAsia" w:asciiTheme="minorEastAsia" w:hAnsiTheme="minorEastAsia" w:cstheme="minorEastAsia"/>
                <w:iCs/>
                <w:szCs w:val="21"/>
              </w:rPr>
              <w:t>分析得3分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rPr>
                <w:rFonts w:asciiTheme="minorEastAsia" w:hAnsiTheme="minorEastAsia" w:cstheme="minorEastAsia"/>
                <w:szCs w:val="21"/>
              </w:rPr>
            </w:pPr>
          </w:p>
        </w:tc>
        <w:tc>
          <w:tcPr>
            <w:tcW w:w="4515" w:type="dxa"/>
            <w:gridSpan w:val="2"/>
            <w:vMerge w:val="continue"/>
            <w:vAlign w:val="center"/>
          </w:tcPr>
          <w:p>
            <w:pPr>
              <w:jc w:val="center"/>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没有得0分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进度计划及保障措施</w:t>
            </w:r>
          </w:p>
        </w:tc>
        <w:tc>
          <w:tcPr>
            <w:tcW w:w="4515" w:type="dxa"/>
            <w:gridSpan w:val="2"/>
            <w:vMerge w:val="restart"/>
            <w:vAlign w:val="center"/>
          </w:tcPr>
          <w:p>
            <w:pPr>
              <w:jc w:val="left"/>
              <w:rPr>
                <w:rFonts w:asciiTheme="minorEastAsia" w:hAnsiTheme="minorEastAsia" w:cstheme="minorEastAsia"/>
                <w:szCs w:val="21"/>
              </w:rPr>
            </w:pPr>
            <w:r>
              <w:rPr>
                <w:rFonts w:hint="eastAsia" w:asciiTheme="minorEastAsia" w:hAnsiTheme="minorEastAsia" w:cstheme="minorEastAsia"/>
                <w:bCs/>
                <w:iCs/>
                <w:szCs w:val="21"/>
              </w:rPr>
              <w:t>承诺项目按时完成，根据项目计划编排合理、可行，技术路线清晰、任务量分配合理、全面系统，切实可行。</w:t>
            </w:r>
          </w:p>
        </w:tc>
        <w:tc>
          <w:tcPr>
            <w:tcW w:w="3623" w:type="dxa"/>
            <w:vAlign w:val="center"/>
          </w:tcPr>
          <w:p>
            <w:pPr>
              <w:jc w:val="center"/>
              <w:rPr>
                <w:rFonts w:asciiTheme="minorEastAsia" w:hAnsiTheme="minorEastAsia" w:cstheme="minorEastAsia"/>
                <w:iCs/>
                <w:szCs w:val="21"/>
              </w:rPr>
            </w:pPr>
            <w:r>
              <w:rPr>
                <w:rFonts w:hint="eastAsia" w:asciiTheme="minorEastAsia" w:hAnsiTheme="minorEastAsia" w:cstheme="minorEastAsia"/>
                <w:iCs/>
                <w:szCs w:val="21"/>
              </w:rPr>
              <w:t>计划合理，保障措施得当</w:t>
            </w:r>
          </w:p>
          <w:p>
            <w:pPr>
              <w:jc w:val="center"/>
              <w:rPr>
                <w:rFonts w:asciiTheme="minorEastAsia" w:hAnsiTheme="minorEastAsia" w:cstheme="minorEastAsia"/>
                <w:szCs w:val="21"/>
              </w:rPr>
            </w:pPr>
            <w:r>
              <w:rPr>
                <w:rFonts w:hint="eastAsia" w:asciiTheme="minorEastAsia" w:hAnsiTheme="minorEastAsia" w:cstheme="minorEastAsia"/>
                <w:iCs/>
                <w:szCs w:val="21"/>
              </w:rPr>
              <w:t>得3分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有相关的基本描述得2分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没有得0分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iCs/>
                <w:szCs w:val="21"/>
              </w:rPr>
            </w:pPr>
            <w:r>
              <w:rPr>
                <w:rFonts w:hint="eastAsia" w:asciiTheme="minorEastAsia" w:hAnsiTheme="minorEastAsia" w:cstheme="minorEastAsia"/>
                <w:iCs/>
                <w:szCs w:val="21"/>
              </w:rPr>
              <w:t>拟投入本项目的设备情况</w:t>
            </w:r>
          </w:p>
          <w:p>
            <w:pPr>
              <w:jc w:val="center"/>
              <w:rPr>
                <w:rFonts w:asciiTheme="minorEastAsia" w:hAnsiTheme="minorEastAsia" w:cstheme="minorEastAsia"/>
                <w:szCs w:val="21"/>
              </w:rPr>
            </w:pPr>
          </w:p>
        </w:tc>
        <w:tc>
          <w:tcPr>
            <w:tcW w:w="4515" w:type="dxa"/>
            <w:gridSpan w:val="2"/>
            <w:vMerge w:val="restart"/>
            <w:vAlign w:val="center"/>
          </w:tcPr>
          <w:p>
            <w:pPr>
              <w:jc w:val="left"/>
              <w:rPr>
                <w:rFonts w:asciiTheme="minorEastAsia" w:hAnsiTheme="minorEastAsia" w:cstheme="minorEastAsia"/>
                <w:szCs w:val="21"/>
              </w:rPr>
            </w:pPr>
            <w:r>
              <w:rPr>
                <w:rFonts w:hint="eastAsia" w:asciiTheme="minorEastAsia" w:hAnsiTheme="minorEastAsia" w:cstheme="minorEastAsia"/>
                <w:iCs/>
                <w:szCs w:val="21"/>
              </w:rPr>
              <w:t>拟投入本项目设备先进性、投入计划与进度计划相呼应。</w:t>
            </w: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配置齐全、优秀得3分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齐全，满足本项目工作需要得2分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有相关的基本描述得1分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adjustRightInd w:val="0"/>
              <w:jc w:val="center"/>
              <w:textAlignment w:val="baseline"/>
              <w:rPr>
                <w:rFonts w:asciiTheme="minorEastAsia" w:hAnsiTheme="minorEastAsia" w:cstheme="minorEastAsia"/>
                <w:szCs w:val="21"/>
              </w:rPr>
            </w:pPr>
            <w:r>
              <w:rPr>
                <w:rFonts w:hint="eastAsia" w:asciiTheme="minorEastAsia" w:hAnsiTheme="minorEastAsia" w:cstheme="minorEastAsia"/>
                <w:iCs/>
                <w:szCs w:val="21"/>
              </w:rPr>
              <w:t>没有得0分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szCs w:val="21"/>
                <w:lang w:val="zh-CN"/>
              </w:rPr>
            </w:pPr>
            <w:r>
              <w:rPr>
                <w:rFonts w:hint="eastAsia" w:asciiTheme="minorEastAsia" w:hAnsiTheme="minorEastAsia" w:cstheme="minorEastAsia"/>
                <w:szCs w:val="21"/>
                <w:lang w:val="zh-CN"/>
              </w:rPr>
              <w:t>质量保证体系</w:t>
            </w:r>
          </w:p>
          <w:p>
            <w:pPr>
              <w:jc w:val="center"/>
              <w:rPr>
                <w:rFonts w:asciiTheme="minorEastAsia" w:hAnsiTheme="minorEastAsia" w:cstheme="minorEastAsia"/>
                <w:szCs w:val="21"/>
              </w:rPr>
            </w:pPr>
          </w:p>
        </w:tc>
        <w:tc>
          <w:tcPr>
            <w:tcW w:w="4515" w:type="dxa"/>
            <w:gridSpan w:val="2"/>
            <w:vMerge w:val="restart"/>
            <w:vAlign w:val="center"/>
          </w:tcPr>
          <w:p>
            <w:pPr>
              <w:jc w:val="left"/>
              <w:rPr>
                <w:rFonts w:asciiTheme="minorEastAsia" w:hAnsiTheme="minorEastAsia" w:cstheme="minorEastAsia"/>
                <w:szCs w:val="21"/>
              </w:rPr>
            </w:pPr>
            <w:r>
              <w:rPr>
                <w:rFonts w:hint="eastAsia" w:asciiTheme="minorEastAsia" w:hAnsiTheme="minorEastAsia" w:cstheme="minorEastAsia"/>
                <w:szCs w:val="21"/>
                <w:lang w:val="zh-CN"/>
              </w:rPr>
              <w:t>质量保证体系完整、内容齐全、安排合理、针对本项目特点措施先进可行、措施具体可靠，有严格的作业和质检制度，能够完成招标文件规定的调查任务。</w:t>
            </w: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保障措施得当3分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有相关的基本描述得2分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没有得0分</w:t>
            </w:r>
          </w:p>
        </w:tc>
        <w:tc>
          <w:tcPr>
            <w:tcW w:w="842" w:type="dxa"/>
            <w:vMerge w:val="continue"/>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restart"/>
            <w:vAlign w:val="center"/>
          </w:tcPr>
          <w:p>
            <w:pPr>
              <w:jc w:val="center"/>
              <w:rPr>
                <w:rFonts w:asciiTheme="minorEastAsia" w:hAnsiTheme="minorEastAsia" w:cstheme="minorEastAsia"/>
                <w:szCs w:val="21"/>
                <w:lang w:val="zh-CN"/>
              </w:rPr>
            </w:pPr>
            <w:r>
              <w:rPr>
                <w:rFonts w:hint="eastAsia" w:asciiTheme="minorEastAsia" w:hAnsiTheme="minorEastAsia" w:cstheme="minorEastAsia"/>
                <w:szCs w:val="21"/>
                <w:lang w:val="zh-CN"/>
              </w:rPr>
              <w:t>服务措施及承诺</w:t>
            </w:r>
          </w:p>
          <w:p>
            <w:pPr>
              <w:jc w:val="center"/>
              <w:rPr>
                <w:rFonts w:asciiTheme="minorEastAsia" w:hAnsiTheme="minorEastAsia" w:cstheme="minorEastAsia"/>
                <w:szCs w:val="21"/>
              </w:rPr>
            </w:pPr>
          </w:p>
        </w:tc>
        <w:tc>
          <w:tcPr>
            <w:tcW w:w="4515" w:type="dxa"/>
            <w:gridSpan w:val="2"/>
            <w:vMerge w:val="restart"/>
            <w:vAlign w:val="center"/>
          </w:tcPr>
          <w:p>
            <w:pPr>
              <w:jc w:val="left"/>
              <w:rPr>
                <w:rFonts w:asciiTheme="minorEastAsia" w:hAnsiTheme="minorEastAsia" w:cstheme="minorEastAsia"/>
                <w:szCs w:val="21"/>
              </w:rPr>
            </w:pPr>
            <w:r>
              <w:rPr>
                <w:rFonts w:hint="eastAsia" w:asciiTheme="minorEastAsia" w:hAnsiTheme="minorEastAsia" w:cstheme="minorEastAsia"/>
                <w:szCs w:val="21"/>
                <w:lang w:val="zh-CN"/>
              </w:rPr>
              <w:t>投标人向招标人承诺服务保障措施是否制定、承诺服务标准是否完善合理</w:t>
            </w: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lang w:val="zh-CN"/>
              </w:rPr>
              <w:t>能够为本项目提供完善服务得</w:t>
            </w:r>
            <w:r>
              <w:rPr>
                <w:rFonts w:hint="eastAsia" w:asciiTheme="minorEastAsia" w:hAnsiTheme="minorEastAsia" w:cstheme="minorEastAsia"/>
                <w:iCs/>
                <w:szCs w:val="21"/>
              </w:rPr>
              <w:t>2分</w:t>
            </w:r>
          </w:p>
        </w:tc>
        <w:tc>
          <w:tcPr>
            <w:tcW w:w="842"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6" w:type="dxa"/>
            <w:vMerge w:val="continue"/>
            <w:vAlign w:val="center"/>
          </w:tcPr>
          <w:p>
            <w:pPr>
              <w:jc w:val="center"/>
              <w:rPr>
                <w:rFonts w:asciiTheme="minorEastAsia" w:hAnsiTheme="minorEastAsia" w:cstheme="minorEastAsia"/>
                <w:szCs w:val="21"/>
              </w:rPr>
            </w:pPr>
          </w:p>
        </w:tc>
        <w:tc>
          <w:tcPr>
            <w:tcW w:w="4515" w:type="dxa"/>
            <w:gridSpan w:val="2"/>
            <w:vMerge w:val="continue"/>
            <w:vAlign w:val="center"/>
          </w:tcPr>
          <w:p>
            <w:pPr>
              <w:jc w:val="left"/>
              <w:rPr>
                <w:rFonts w:asciiTheme="minorEastAsia" w:hAnsiTheme="minorEastAsia" w:cstheme="minorEastAsia"/>
                <w:szCs w:val="21"/>
              </w:rPr>
            </w:pPr>
          </w:p>
        </w:tc>
        <w:tc>
          <w:tcPr>
            <w:tcW w:w="3623" w:type="dxa"/>
            <w:vAlign w:val="center"/>
          </w:tcPr>
          <w:p>
            <w:pPr>
              <w:jc w:val="center"/>
              <w:rPr>
                <w:rFonts w:asciiTheme="minorEastAsia" w:hAnsiTheme="minorEastAsia" w:cstheme="minorEastAsia"/>
                <w:szCs w:val="21"/>
              </w:rPr>
            </w:pPr>
            <w:r>
              <w:rPr>
                <w:rFonts w:hint="eastAsia" w:asciiTheme="minorEastAsia" w:hAnsiTheme="minorEastAsia" w:cstheme="minorEastAsia"/>
                <w:iCs/>
                <w:szCs w:val="21"/>
              </w:rPr>
              <w:t>没有得0分</w:t>
            </w:r>
          </w:p>
        </w:tc>
        <w:tc>
          <w:tcPr>
            <w:tcW w:w="842" w:type="dxa"/>
            <w:vMerge w:val="continue"/>
            <w:vAlign w:val="center"/>
          </w:tcPr>
          <w:p>
            <w:pPr>
              <w:jc w:val="center"/>
              <w:rPr>
                <w:rFonts w:asciiTheme="minorEastAsia" w:hAnsiTheme="minorEastAsia" w:cstheme="minorEastAsia"/>
                <w:szCs w:val="21"/>
              </w:rPr>
            </w:pPr>
          </w:p>
        </w:tc>
      </w:tr>
    </w:tbl>
    <w:p>
      <w:pPr>
        <w:pStyle w:val="11"/>
        <w:tabs>
          <w:tab w:val="left" w:pos="607"/>
        </w:tabs>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ab/>
      </w:r>
    </w:p>
    <w:p>
      <w:pPr>
        <w:pStyle w:val="11"/>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本项目采用综合评分法。</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1"/>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1"/>
        <w:spacing w:line="360" w:lineRule="auto"/>
        <w:contextualSpacing/>
        <w:jc w:val="center"/>
        <w:rPr>
          <w:rFonts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3.技术规格和标准（服务要求）</w:t>
      </w:r>
    </w:p>
    <w:p>
      <w:pPr>
        <w:pStyle w:val="12"/>
        <w:spacing w:line="360" w:lineRule="auto"/>
        <w:ind w:firstLine="480"/>
        <w:rPr>
          <w:rFonts w:ascii="宋体" w:hAnsi="宋体" w:eastAsia="宋体"/>
          <w:sz w:val="24"/>
        </w:rPr>
      </w:pPr>
      <w:r>
        <w:rPr>
          <w:rFonts w:hint="eastAsia" w:ascii="宋体" w:hAnsi="宋体" w:eastAsia="宋体"/>
          <w:sz w:val="24"/>
        </w:rPr>
        <w:t>本合同项下所提供设计服务的技术规格标准应与本招标文件技术规格规定的标准相一致。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除非合同中另有规定，乙方为其所提供的服务而要求甲方支付的金额应与其投标报价一致。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6.1乙方对所提供的服务与合同要求不符负有责任，并且甲方已于合同规定的期限内提出索赔，乙方应按甲方同意的下述一种或多种方法解决索赔事宜。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6.1.1乙方同意甲方取消其不符合要求的服务项目，退还已经收取的部分的款项。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7.2受损一方应在不可抗力事故发生后尽快用电报、传真或电传通知对方，并于事故发生后15天内将有关部门出具的证明文件用特快专递或挂号信寄给对方审阅确认。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8.争议的解决</w:t>
      </w:r>
    </w:p>
    <w:p>
      <w:pPr>
        <w:spacing w:line="360" w:lineRule="auto"/>
        <w:ind w:firstLine="480" w:firstLineChars="200"/>
        <w:rPr>
          <w:rFonts w:ascii="宋体" w:hAnsi="宋体"/>
          <w:sz w:val="24"/>
        </w:rPr>
      </w:pPr>
      <w:r>
        <w:rPr>
          <w:rFonts w:hint="eastAsia" w:ascii="宋体" w:hAnsi="宋体"/>
          <w:sz w:val="24"/>
        </w:rPr>
        <w:t>8.1在执行合同中发生的与本合同有关的争端，双方应通过友好协商解决，经协商在60天内不能达成。</w:t>
      </w:r>
    </w:p>
    <w:p>
      <w:pPr>
        <w:spacing w:line="360" w:lineRule="auto"/>
        <w:ind w:firstLine="480" w:firstLineChars="200"/>
        <w:rPr>
          <w:rFonts w:ascii="宋体" w:hAnsi="宋体"/>
          <w:sz w:val="24"/>
        </w:rPr>
      </w:pPr>
      <w:r>
        <w:rPr>
          <w:rFonts w:hint="eastAsia" w:ascii="宋体" w:hAnsi="宋体"/>
          <w:sz w:val="24"/>
        </w:rPr>
        <w:t>8.2提交正式仲裁的争端属涉外的，应在北京或中国国内其他地点，由指定的国际经济仲裁委员会根据该委员会的仲裁程序或规则予以最终裁决。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sz w:val="24"/>
        </w:rPr>
      </w:pPr>
      <w:r>
        <w:rPr>
          <w:rFonts w:hint="eastAsia" w:ascii="宋体" w:hAnsi="宋体"/>
          <w:sz w:val="24"/>
        </w:rPr>
        <w:t>8.3合同双方均为国内法人的，其争端的仲裁应由合同发生地许昌市仲裁委员会根据其仲裁程序进行。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8.4 仲裁裁决应为最终决定，并对双方具有约束力。</w:t>
      </w:r>
    </w:p>
    <w:p>
      <w:pPr>
        <w:spacing w:line="360" w:lineRule="auto"/>
        <w:ind w:firstLine="480" w:firstLineChars="200"/>
        <w:rPr>
          <w:rFonts w:ascii="宋体" w:hAnsi="宋体"/>
          <w:sz w:val="24"/>
        </w:rPr>
      </w:pPr>
      <w:r>
        <w:rPr>
          <w:rFonts w:hint="eastAsia" w:ascii="宋体" w:hAnsi="宋体"/>
          <w:sz w:val="24"/>
        </w:rPr>
        <w:t>8.5 除另有裁决外，仲裁费应由败诉方负担。</w:t>
      </w:r>
    </w:p>
    <w:p>
      <w:pPr>
        <w:spacing w:line="360" w:lineRule="auto"/>
        <w:ind w:firstLine="480" w:firstLineChars="200"/>
        <w:rPr>
          <w:rFonts w:ascii="宋体" w:hAnsi="宋体"/>
          <w:sz w:val="24"/>
        </w:rPr>
      </w:pPr>
      <w:r>
        <w:rPr>
          <w:rFonts w:hint="eastAsia" w:ascii="宋体" w:hAnsi="宋体"/>
          <w:sz w:val="24"/>
        </w:rPr>
        <w:t>8.6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9.合同终止</w:t>
      </w:r>
    </w:p>
    <w:p>
      <w:pPr>
        <w:spacing w:line="360" w:lineRule="auto"/>
        <w:ind w:firstLine="480" w:firstLineChars="200"/>
        <w:rPr>
          <w:rFonts w:ascii="宋体" w:hAnsi="宋体"/>
          <w:sz w:val="24"/>
        </w:rPr>
      </w:pPr>
      <w:r>
        <w:rPr>
          <w:rFonts w:hint="eastAsia" w:ascii="宋体" w:hAnsi="宋体"/>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9.2 出现下列情况时合同自动终止：</w:t>
      </w:r>
    </w:p>
    <w:p>
      <w:pPr>
        <w:spacing w:line="360" w:lineRule="auto"/>
        <w:ind w:firstLine="480" w:firstLineChars="200"/>
        <w:rPr>
          <w:rFonts w:ascii="宋体" w:hAnsi="宋体"/>
          <w:sz w:val="24"/>
        </w:rPr>
      </w:pPr>
      <w:r>
        <w:rPr>
          <w:rFonts w:hint="eastAsia" w:ascii="宋体" w:hAnsi="宋体"/>
          <w:sz w:val="24"/>
        </w:rPr>
        <w:t>9.2.1发生不可抗力时。</w:t>
      </w:r>
    </w:p>
    <w:p>
      <w:pPr>
        <w:spacing w:line="360" w:lineRule="auto"/>
        <w:ind w:firstLine="480" w:firstLineChars="200"/>
        <w:rPr>
          <w:rFonts w:ascii="宋体" w:hAnsi="宋体"/>
          <w:sz w:val="24"/>
        </w:rPr>
      </w:pPr>
      <w:r>
        <w:rPr>
          <w:rFonts w:hint="eastAsia" w:ascii="宋体" w:hAnsi="宋体"/>
          <w:sz w:val="24"/>
        </w:rPr>
        <w:t>9.2.2一方不履行合同条款，造成另一方无法执行合同协议，协商又不能求得解决，合同终止，责任方赔偿损失。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10.合同修改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11.适用法律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12.主导语言与计量单位</w:t>
      </w:r>
    </w:p>
    <w:p>
      <w:pPr>
        <w:spacing w:line="360" w:lineRule="auto"/>
        <w:ind w:firstLine="480" w:firstLineChars="200"/>
        <w:rPr>
          <w:rFonts w:ascii="宋体" w:hAnsi="宋体"/>
          <w:sz w:val="24"/>
        </w:rPr>
      </w:pPr>
      <w:r>
        <w:rPr>
          <w:rFonts w:hint="eastAsia" w:ascii="宋体" w:hAnsi="宋体"/>
          <w:sz w:val="24"/>
        </w:rPr>
        <w:t>12.1 合同书写应用中文书写。合同伍份，甲乙双方及政府采购代理机构和许昌市政府采购监督管理办公室及相关业务科室（备案）各执一份，具有同等法律效力。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12.2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13.合同生效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除非合同中另有说明，本合同经双方签字盖章，即开始生效。</w:t>
      </w:r>
    </w:p>
    <w:p>
      <w:pPr>
        <w:spacing w:line="360" w:lineRule="auto"/>
        <w:ind w:firstLine="480" w:firstLineChars="200"/>
        <w:rPr>
          <w:rFonts w:ascii="宋体" w:hAnsi="宋体"/>
          <w:sz w:val="24"/>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spacing w:line="360" w:lineRule="auto"/>
        <w:jc w:val="center"/>
        <w:rPr>
          <w:rFonts w:ascii="黑体" w:hAnsi="宋体" w:eastAsia="黑体"/>
          <w:b/>
          <w:sz w:val="32"/>
          <w:szCs w:val="32"/>
        </w:rPr>
      </w:pPr>
      <w:r>
        <w:rPr>
          <w:rFonts w:hint="eastAsia" w:ascii="黑体" w:hAnsi="宋体" w:eastAsia="黑体"/>
          <w:b/>
          <w:sz w:val="32"/>
          <w:szCs w:val="32"/>
        </w:rPr>
        <w:t>合同书</w:t>
      </w:r>
    </w:p>
    <w:p>
      <w:pPr>
        <w:spacing w:line="360" w:lineRule="auto"/>
        <w:rPr>
          <w:rFonts w:ascii="仿宋_GB2312" w:eastAsia="仿宋_GB2312"/>
          <w:sz w:val="24"/>
        </w:rPr>
      </w:pP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供方：</w:t>
      </w:r>
    </w:p>
    <w:p>
      <w:pPr>
        <w:spacing w:line="360" w:lineRule="auto"/>
        <w:rPr>
          <w:rFonts w:ascii="宋体" w:hAnsi="宋体"/>
          <w:sz w:val="24"/>
        </w:rPr>
      </w:pPr>
      <w:r>
        <w:rPr>
          <w:rFonts w:hint="eastAsia" w:ascii="宋体" w:hAnsi="宋体"/>
          <w:sz w:val="24"/>
        </w:rPr>
        <w:t>需方：</w:t>
      </w:r>
    </w:p>
    <w:p>
      <w:pPr>
        <w:spacing w:line="360" w:lineRule="auto"/>
        <w:ind w:firstLine="480" w:firstLineChars="200"/>
        <w:rPr>
          <w:rFonts w:ascii="宋体" w:hAnsi="宋体"/>
          <w:sz w:val="24"/>
        </w:rPr>
      </w:pPr>
      <w:r>
        <w:rPr>
          <w:rFonts w:hint="eastAsia" w:ascii="宋体" w:hAnsi="宋体"/>
          <w:sz w:val="24"/>
        </w:rPr>
        <w:t>供、需双方根据   年  月  日河南招标采购服务有限公司签发的中标通知书和招投标文件，并经双方协商一致，在平等互利的基础上，达成以下合同条款：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ascii="宋体" w:hAnsi="宋体"/>
          <w:sz w:val="24"/>
        </w:rPr>
      </w:pPr>
      <w:r>
        <w:rPr>
          <w:rFonts w:hint="eastAsia" w:ascii="宋体" w:hAnsi="宋体"/>
          <w:sz w:val="24"/>
        </w:rPr>
        <w:t>二、服务内容及期限</w:t>
      </w:r>
    </w:p>
    <w:p>
      <w:pPr>
        <w:spacing w:line="360" w:lineRule="auto"/>
        <w:ind w:firstLine="480" w:firstLineChars="200"/>
        <w:rPr>
          <w:rFonts w:ascii="宋体" w:hAnsi="宋体"/>
          <w:sz w:val="24"/>
        </w:rPr>
      </w:pPr>
      <w:r>
        <w:rPr>
          <w:rFonts w:hint="eastAsia" w:ascii="宋体" w:hAnsi="宋体"/>
          <w:sz w:val="24"/>
        </w:rPr>
        <w:t>三、其它相关条款</w:t>
      </w:r>
    </w:p>
    <w:p>
      <w:pPr>
        <w:spacing w:line="360" w:lineRule="auto"/>
        <w:ind w:firstLine="480" w:firstLineChars="200"/>
        <w:rPr>
          <w:rFonts w:ascii="宋体" w:hAnsi="宋体"/>
          <w:sz w:val="24"/>
        </w:rPr>
      </w:pPr>
      <w:r>
        <w:rPr>
          <w:rFonts w:hint="eastAsia" w:ascii="宋体" w:hAnsi="宋体"/>
          <w:sz w:val="24"/>
        </w:rPr>
        <w:t>四、法律责任</w:t>
      </w:r>
    </w:p>
    <w:p>
      <w:pPr>
        <w:spacing w:line="360" w:lineRule="auto"/>
        <w:ind w:firstLine="480" w:firstLineChars="200"/>
        <w:rPr>
          <w:rFonts w:ascii="宋体" w:hAnsi="宋体"/>
          <w:sz w:val="24"/>
        </w:rPr>
      </w:pPr>
      <w:r>
        <w:rPr>
          <w:rFonts w:hint="eastAsia" w:ascii="宋体" w:hAnsi="宋体"/>
          <w:sz w:val="24"/>
        </w:rPr>
        <w:t>五、合同生效及其它：本合同经双方法定代表人或委托代理人签字并加盖公章后生效。本合同一式伍份，供需双方各一份、其他三份。</w:t>
      </w:r>
    </w:p>
    <w:p>
      <w:pPr>
        <w:spacing w:line="360" w:lineRule="auto"/>
        <w:ind w:firstLine="480" w:firstLineChars="200"/>
        <w:rPr>
          <w:rFonts w:ascii="宋体" w:hAnsi="宋体"/>
          <w:sz w:val="24"/>
        </w:rPr>
      </w:pPr>
      <w:r>
        <w:rPr>
          <w:rFonts w:hint="eastAsia" w:ascii="宋体" w:hAnsi="宋体"/>
          <w:sz w:val="24"/>
        </w:rPr>
        <w:t>供方：                              需方：</w:t>
      </w:r>
    </w:p>
    <w:p>
      <w:pPr>
        <w:spacing w:line="360" w:lineRule="auto"/>
        <w:ind w:firstLine="480" w:firstLineChars="200"/>
        <w:rPr>
          <w:rFonts w:ascii="宋体" w:hAnsi="宋体"/>
          <w:sz w:val="24"/>
        </w:rPr>
      </w:pPr>
      <w:r>
        <w:rPr>
          <w:rFonts w:hint="eastAsia" w:ascii="宋体" w:hAnsi="宋体"/>
          <w:sz w:val="24"/>
        </w:rPr>
        <w:t>地址：                              地址：</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r>
        <w:rPr>
          <w:rFonts w:hint="eastAsia" w:ascii="宋体" w:hAnsi="宋体"/>
          <w:sz w:val="24"/>
        </w:rPr>
        <w:t>税务登记证号：                      签定时间：</w:t>
      </w:r>
    </w:p>
    <w:p>
      <w:pPr>
        <w:spacing w:line="360" w:lineRule="auto"/>
        <w:ind w:firstLine="480" w:firstLineChars="200"/>
        <w:rPr>
          <w:rFonts w:ascii="宋体" w:hAnsi="宋体"/>
          <w:sz w:val="24"/>
        </w:rPr>
      </w:pPr>
      <w:r>
        <w:rPr>
          <w:rFonts w:hint="eastAsia" w:ascii="宋体" w:hAnsi="宋体"/>
          <w:sz w:val="24"/>
        </w:rPr>
        <w:t>签定时间：</w:t>
      </w: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ind w:firstLine="420" w:firstLineChars="200"/>
        <w:rPr>
          <w:rFonts w:ascii="宋体" w:hAnsi="宋体" w:cs="Courier New"/>
          <w:szCs w:val="21"/>
        </w:rPr>
      </w:pPr>
    </w:p>
    <w:p>
      <w:pPr>
        <w:pStyle w:val="28"/>
        <w:tabs>
          <w:tab w:val="left" w:pos="660"/>
        </w:tabs>
        <w:snapToGrid w:val="0"/>
        <w:spacing w:before="0" w:line="400" w:lineRule="exact"/>
        <w:jc w:val="center"/>
        <w:rPr>
          <w:rFonts w:cs="Courier New"/>
          <w:color w:val="auto"/>
          <w:szCs w:val="21"/>
        </w:rPr>
      </w:pPr>
      <w:r>
        <w:rPr>
          <w:rFonts w:cs="Courier New"/>
          <w:color w:val="auto"/>
          <w:szCs w:val="21"/>
        </w:rPr>
        <w:br w:type="page"/>
      </w:r>
    </w:p>
    <w:p>
      <w:pPr>
        <w:jc w:val="left"/>
        <w:rPr>
          <w:rStyle w:val="22"/>
          <w:rFonts w:ascii="宋体" w:hAnsi="宋体" w:eastAsia="宋体"/>
        </w:rPr>
      </w:pPr>
      <w:r>
        <w:rPr>
          <w:rStyle w:val="22"/>
          <w:rFonts w:hint="eastAsia" w:ascii="宋体" w:hAnsi="宋体" w:eastAsia="宋体"/>
        </w:rPr>
        <w:t>投标文件封皮格式</w:t>
      </w:r>
      <w:bookmarkStart w:id="0" w:name="_Toc14398"/>
      <w:bookmarkStart w:id="1" w:name="_Toc12595"/>
      <w:bookmarkStart w:id="2" w:name="_Toc5131"/>
      <w:bookmarkStart w:id="3" w:name="_Toc16238"/>
    </w:p>
    <w:p>
      <w:pPr>
        <w:pStyle w:val="8"/>
        <w:ind w:firstLine="340"/>
      </w:pPr>
    </w:p>
    <w:p>
      <w:pPr>
        <w:jc w:val="right"/>
        <w:rPr>
          <w:rStyle w:val="22"/>
          <w:rFonts w:ascii="宋体" w:hAnsi="宋体" w:eastAsia="宋体"/>
        </w:rPr>
      </w:pPr>
      <w:r>
        <w:rPr>
          <w:rStyle w:val="22"/>
          <w:rFonts w:hint="eastAsia" w:ascii="宋体" w:hAnsi="宋体" w:eastAsia="宋体"/>
        </w:rPr>
        <w:t>正本/副本</w:t>
      </w:r>
    </w:p>
    <w:bookmarkEnd w:id="0"/>
    <w:bookmarkEnd w:id="1"/>
    <w:bookmarkEnd w:id="2"/>
    <w:bookmarkEnd w:id="3"/>
    <w:p>
      <w:pPr>
        <w:jc w:val="left"/>
        <w:rPr>
          <w:rStyle w:val="22"/>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8"/>
        <w:ind w:firstLine="340"/>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pStyle w:val="28"/>
        <w:tabs>
          <w:tab w:val="left" w:pos="660"/>
        </w:tabs>
        <w:snapToGrid w:val="0"/>
        <w:spacing w:before="0" w:line="400" w:lineRule="exact"/>
        <w:jc w:val="center"/>
        <w:rPr>
          <w:rFonts w:cs="黑体" w:asciiTheme="minorEastAsia" w:hAnsiTheme="minorEastAsia" w:eastAsiaTheme="minorEastAsia"/>
          <w:color w:val="auto"/>
          <w:kern w:val="2"/>
          <w:sz w:val="36"/>
          <w:szCs w:val="36"/>
          <w:lang w:val="zh-CN"/>
        </w:rPr>
      </w:pPr>
      <w:r>
        <w:rPr>
          <w:rFonts w:cs="Courier New"/>
          <w:color w:val="auto"/>
          <w:szCs w:val="21"/>
        </w:rPr>
        <w:br w:type="page"/>
      </w:r>
      <w:bookmarkStart w:id="4" w:name="_Toc184023138"/>
      <w:bookmarkStart w:id="5" w:name="_Toc174185203"/>
      <w:bookmarkStart w:id="6" w:name="_Toc186274126"/>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1"/>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1"/>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1"/>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1"/>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1"/>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textWrapping"/>
      </w:r>
    </w:p>
    <w:p>
      <w:pPr>
        <w:jc w:val="left"/>
        <w:rPr>
          <w:rStyle w:val="22"/>
          <w:rFonts w:ascii="宋体" w:hAnsi="宋体" w:eastAsia="宋体"/>
        </w:rPr>
      </w:pPr>
      <w:bookmarkStart w:id="7" w:name="_Toc10789"/>
      <w:bookmarkStart w:id="8" w:name="_Toc4786"/>
      <w:bookmarkStart w:id="9" w:name="_Toc24837"/>
      <w:r>
        <w:rPr>
          <w:rStyle w:val="22"/>
          <w:rFonts w:hint="eastAsia" w:ascii="宋体" w:hAnsi="宋体" w:eastAsia="宋体"/>
        </w:rPr>
        <w:br w:type="page"/>
      </w:r>
    </w:p>
    <w:bookmarkEnd w:id="7"/>
    <w:bookmarkEnd w:id="8"/>
    <w:bookmarkEnd w:id="9"/>
    <w:p>
      <w:pPr>
        <w:pStyle w:val="11"/>
        <w:spacing w:line="360" w:lineRule="auto"/>
        <w:jc w:val="center"/>
        <w:rPr>
          <w:rFonts w:asciiTheme="majorEastAsia" w:hAnsiTheme="majorEastAsia" w:eastAsiaTheme="majorEastAsia"/>
          <w:b/>
          <w:snapToGrid w:val="0"/>
          <w:kern w:val="0"/>
          <w:sz w:val="36"/>
          <w:szCs w:val="36"/>
        </w:rPr>
      </w:pPr>
      <w:bookmarkStart w:id="10" w:name="_Toc443572892"/>
      <w:bookmarkStart w:id="11" w:name="_Toc152045788"/>
      <w:bookmarkStart w:id="12" w:name="_Toc152042577"/>
      <w:bookmarkStart w:id="13" w:name="_Toc144974857"/>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rPr>
              <w:t>设计周期</w:t>
            </w:r>
            <w:r>
              <w:rPr>
                <w:rFonts w:hint="eastAsia" w:cs="宋体" w:asciiTheme="minorEastAsia" w:hAnsiTheme="minorEastAsia"/>
                <w:b/>
                <w:sz w:val="24"/>
                <w:szCs w:val="24"/>
                <w:lang w:val="zh-CN"/>
              </w:rPr>
              <w:t>（天）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spacing w:line="440" w:lineRule="exact"/>
        <w:rPr>
          <w:rFonts w:ascii="宋体" w:hAnsi="宋体" w:eastAsia="宋体" w:cs="微软雅黑"/>
          <w:szCs w:val="21"/>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w:t>
      </w:r>
      <w:r>
        <w:rPr>
          <w:rFonts w:hint="eastAsia" w:cs="宋体" w:asciiTheme="minorEastAsia" w:hAnsiTheme="minorEastAsia"/>
          <w:sz w:val="24"/>
          <w:szCs w:val="24"/>
        </w:rPr>
        <w:t>设计周期</w:t>
      </w:r>
      <w:r>
        <w:rPr>
          <w:rFonts w:hint="eastAsia" w:cs="宋体" w:asciiTheme="minorEastAsia" w:hAnsiTheme="minorEastAsia"/>
          <w:sz w:val="24"/>
          <w:szCs w:val="24"/>
          <w:lang w:val="zh-CN"/>
        </w:rPr>
        <w:t>指完成该项目的最终时间（日历天）。</w:t>
      </w:r>
    </w:p>
    <w:p>
      <w:pPr>
        <w:spacing w:line="360" w:lineRule="auto"/>
        <w:ind w:right="1110"/>
        <w:jc w:val="right"/>
        <w:rPr>
          <w:rFonts w:hAnsi="宋体" w:cs="宋体"/>
          <w:sz w:val="24"/>
        </w:rPr>
      </w:pPr>
    </w:p>
    <w:bookmarkEnd w:id="10"/>
    <w:bookmarkEnd w:id="11"/>
    <w:bookmarkEnd w:id="12"/>
    <w:bookmarkEnd w:id="13"/>
    <w:p>
      <w:pPr>
        <w:pStyle w:val="5"/>
        <w:rPr>
          <w:rFonts w:ascii="宋体" w:hAnsi="宋体"/>
        </w:rPr>
      </w:pPr>
      <w:r>
        <w:rPr>
          <w:rFonts w:hint="eastAsia" w:ascii="宋体" w:hAnsi="宋体"/>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1"/>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440" w:lineRule="exact"/>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440" w:lineRule="exact"/>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1"/>
        <w:adjustRightInd w:val="0"/>
        <w:spacing w:line="440" w:lineRule="exact"/>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1"/>
        <w:adjustRightInd w:val="0"/>
        <w:spacing w:line="440" w:lineRule="exact"/>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440" w:lineRule="exact"/>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440" w:lineRule="exact"/>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440" w:lineRule="exact"/>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440" w:lineRule="exact"/>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440" w:lineRule="exact"/>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7"/>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7"/>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7"/>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7"/>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7"/>
        <w:adjustRightInd w:val="0"/>
        <w:spacing w:line="440" w:lineRule="exact"/>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1"/>
        <w:adjustRightInd w:val="0"/>
        <w:spacing w:line="440" w:lineRule="exact"/>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1"/>
        <w:adjustRightInd w:val="0"/>
        <w:spacing w:line="440" w:lineRule="exact"/>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1"/>
        <w:adjustRightInd w:val="0"/>
        <w:spacing w:line="440" w:lineRule="exact"/>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440" w:lineRule="exact"/>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1"/>
        <w:adjustRightInd w:val="0"/>
        <w:spacing w:line="440" w:lineRule="exact"/>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1"/>
        <w:adjustRightInd w:val="0"/>
        <w:spacing w:line="440" w:lineRule="exact"/>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1"/>
        <w:adjustRightInd w:val="0"/>
        <w:snapToGrid w:val="0"/>
        <w:spacing w:line="440" w:lineRule="exact"/>
        <w:rPr>
          <w:rFonts w:asciiTheme="minorEastAsia" w:hAnsiTheme="minorEastAsia" w:eastAsiaTheme="minorEastAsia"/>
          <w:szCs w:val="24"/>
        </w:rPr>
      </w:pPr>
    </w:p>
    <w:p>
      <w:pPr>
        <w:pStyle w:val="11"/>
        <w:adjustRightInd w:val="0"/>
        <w:snapToGrid w:val="0"/>
        <w:spacing w:line="440" w:lineRule="exact"/>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440" w:lineRule="exact"/>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440" w:lineRule="exact"/>
        <w:rPr>
          <w:rFonts w:cs="宋体" w:asciiTheme="minorEastAsia" w:hAnsiTheme="minorEastAsia"/>
          <w:sz w:val="24"/>
          <w:szCs w:val="24"/>
          <w:u w:val="single"/>
        </w:rPr>
      </w:pP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440" w:lineRule="exact"/>
        <w:ind w:firstLine="4920" w:firstLineChars="2050"/>
        <w:rPr>
          <w:rFonts w:cs="宋体" w:asciiTheme="minorEastAsia" w:hAnsiTheme="minorEastAsia"/>
          <w:sz w:val="24"/>
          <w:szCs w:val="24"/>
        </w:rPr>
      </w:pPr>
    </w:p>
    <w:p>
      <w:pPr>
        <w:adjustRightInd w:val="0"/>
        <w:snapToGrid w:val="0"/>
        <w:spacing w:line="440" w:lineRule="exact"/>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widowControl/>
        <w:jc w:val="left"/>
        <w:rPr>
          <w:rFonts w:asciiTheme="majorEastAsia" w:hAnsiTheme="majorEastAsia" w:eastAsiaTheme="majorEastAsia"/>
          <w:b/>
          <w:bCs/>
          <w:sz w:val="36"/>
          <w:szCs w:val="36"/>
        </w:rPr>
      </w:pPr>
      <w:r>
        <w:rPr>
          <w:rFonts w:asciiTheme="majorEastAsia" w:hAnsiTheme="majorEastAsia" w:eastAsiaTheme="majorEastAsia"/>
          <w:b/>
          <w:bCs/>
          <w:sz w:val="36"/>
          <w:szCs w:val="36"/>
        </w:rPr>
        <w:br w:type="page"/>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2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2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2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2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2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29"/>
        <w:spacing w:line="480" w:lineRule="auto"/>
        <w:ind w:firstLine="540" w:firstLineChars="225"/>
        <w:jc w:val="left"/>
        <w:rPr>
          <w:rFonts w:asciiTheme="minorEastAsia" w:hAnsiTheme="minorEastAsia"/>
          <w:szCs w:val="24"/>
        </w:rPr>
      </w:pPr>
    </w:p>
    <w:p>
      <w:pPr>
        <w:pStyle w:val="29"/>
        <w:spacing w:line="480" w:lineRule="auto"/>
        <w:ind w:firstLine="540" w:firstLineChars="225"/>
        <w:jc w:val="left"/>
        <w:rPr>
          <w:rFonts w:asciiTheme="minorEastAsia" w:hAnsiTheme="minorEastAsia"/>
          <w:szCs w:val="24"/>
        </w:rPr>
      </w:pPr>
    </w:p>
    <w:p>
      <w:pPr>
        <w:pStyle w:val="2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2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30"/>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31"/>
        <w:spacing w:line="480" w:lineRule="auto"/>
        <w:rPr>
          <w:rFonts w:cs="Arial" w:asciiTheme="minorEastAsia" w:hAnsiTheme="minorEastAsia"/>
          <w:szCs w:val="24"/>
        </w:rPr>
      </w:pPr>
    </w:p>
    <w:p/>
    <w:p>
      <w:pPr>
        <w:spacing w:line="320" w:lineRule="exact"/>
        <w:rPr>
          <w:rFonts w:ascii="宋体" w:hAnsi="宋体"/>
          <w:b/>
          <w:bCs/>
          <w:sz w:val="36"/>
          <w:szCs w:val="36"/>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r>
        <w:rPr>
          <w:rFonts w:hint="eastAsia"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4" w:name="_资格证明文件"/>
            <w:bookmarkEnd w:id="14"/>
            <w:bookmarkStart w:id="15" w:name="_Toc364329026"/>
            <w:r>
              <w:rPr>
                <w:rFonts w:hint="eastAsia" w:asciiTheme="minorEastAsia" w:hAnsiTheme="minorEastAsia"/>
                <w:sz w:val="24"/>
                <w:szCs w:val="24"/>
              </w:rPr>
              <w:t>法定代表人授权代表身份证（正面）</w:t>
            </w:r>
            <w:bookmarkEnd w:id="15"/>
          </w:p>
        </w:tc>
        <w:tc>
          <w:tcPr>
            <w:tcW w:w="4492" w:type="dxa"/>
            <w:gridSpan w:val="2"/>
            <w:vAlign w:val="center"/>
          </w:tcPr>
          <w:p>
            <w:pPr>
              <w:jc w:val="center"/>
              <w:rPr>
                <w:rFonts w:asciiTheme="minorEastAsia" w:hAnsiTheme="minorEastAsia"/>
                <w:sz w:val="24"/>
                <w:szCs w:val="24"/>
              </w:rPr>
            </w:pPr>
            <w:bookmarkStart w:id="16" w:name="_Toc364329027"/>
            <w:r>
              <w:rPr>
                <w:rFonts w:hint="eastAsia" w:asciiTheme="minorEastAsia" w:hAnsiTheme="minorEastAsia"/>
                <w:sz w:val="24"/>
                <w:szCs w:val="24"/>
              </w:rPr>
              <w:t>法定代表人授权代表身份证（反面）</w:t>
            </w:r>
            <w:bookmarkEnd w:id="1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sectPr>
          <w:pgSz w:w="11906" w:h="16838"/>
          <w:pgMar w:top="2098" w:right="1474" w:bottom="1928" w:left="1588" w:header="851" w:footer="992" w:gutter="0"/>
          <w:cols w:space="425" w:num="1"/>
          <w:docGrid w:type="lines" w:linePitch="312" w:charSpace="0"/>
        </w:sect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0"/>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0"/>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ascii="宋体" w:hAnsi="宋体"/>
          <w:b/>
          <w:bCs/>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技术方案（或设计方案）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sz w:val="36"/>
          <w:szCs w:val="36"/>
        </w:rPr>
        <w:sectPr>
          <w:pgSz w:w="11906" w:h="16838"/>
          <w:pgMar w:top="2098" w:right="1474" w:bottom="1928" w:left="1588" w:header="851" w:footer="992" w:gutter="0"/>
          <w:cols w:space="425" w:num="1"/>
          <w:docGrid w:type="lines" w:linePitch="312" w:charSpace="0"/>
        </w:sectPr>
      </w:pPr>
    </w:p>
    <w:p>
      <w:pPr>
        <w:spacing w:line="360" w:lineRule="auto"/>
        <w:jc w:val="center"/>
        <w:rPr>
          <w:rFonts w:ascii="宋体" w:hAnsi="宋体"/>
          <w:b/>
          <w:bCs/>
          <w:sz w:val="36"/>
          <w:szCs w:val="36"/>
        </w:rPr>
      </w:pPr>
      <w:r>
        <w:rPr>
          <w:rFonts w:hint="eastAsia" w:ascii="宋体" w:hAnsi="宋体"/>
          <w:b/>
          <w:bCs/>
          <w:sz w:val="36"/>
          <w:szCs w:val="36"/>
        </w:rPr>
        <w:t>4.6中小企业声明函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7" w:name="OLE_LINK13"/>
      <w:bookmarkStart w:id="18" w:name="OLE_LINK14"/>
      <w:r>
        <w:rPr>
          <w:rFonts w:hint="eastAsia" w:ascii="宋体" w:hAnsi="宋体"/>
          <w:b/>
          <w:bCs/>
          <w:sz w:val="36"/>
          <w:szCs w:val="36"/>
        </w:rPr>
        <w:t>4.7 残疾人福利性单位声明函</w:t>
      </w:r>
    </w:p>
    <w:bookmarkEnd w:id="17"/>
    <w:bookmarkEnd w:id="1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pStyle w:val="5"/>
        <w:jc w:val="both"/>
      </w:pPr>
    </w:p>
    <w:p/>
    <w:sectPr>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7E25"/>
    <w:rsid w:val="00065384"/>
    <w:rsid w:val="00172A27"/>
    <w:rsid w:val="001A1D82"/>
    <w:rsid w:val="001D6B0E"/>
    <w:rsid w:val="002721A3"/>
    <w:rsid w:val="002B3767"/>
    <w:rsid w:val="00394D59"/>
    <w:rsid w:val="003D38BD"/>
    <w:rsid w:val="004233BB"/>
    <w:rsid w:val="004B09C9"/>
    <w:rsid w:val="004C03DB"/>
    <w:rsid w:val="004C34FA"/>
    <w:rsid w:val="005069A9"/>
    <w:rsid w:val="005B201C"/>
    <w:rsid w:val="005F006D"/>
    <w:rsid w:val="00600148"/>
    <w:rsid w:val="006B1A40"/>
    <w:rsid w:val="00760D10"/>
    <w:rsid w:val="00767235"/>
    <w:rsid w:val="007745C1"/>
    <w:rsid w:val="007F02DE"/>
    <w:rsid w:val="00845E54"/>
    <w:rsid w:val="00881657"/>
    <w:rsid w:val="00991B83"/>
    <w:rsid w:val="00A033B2"/>
    <w:rsid w:val="00A82BC9"/>
    <w:rsid w:val="00AB17B4"/>
    <w:rsid w:val="00AF5DDB"/>
    <w:rsid w:val="00B9664D"/>
    <w:rsid w:val="00BB2F47"/>
    <w:rsid w:val="00BD0BEC"/>
    <w:rsid w:val="00C266DC"/>
    <w:rsid w:val="00C30ADC"/>
    <w:rsid w:val="00CD6414"/>
    <w:rsid w:val="00CE019E"/>
    <w:rsid w:val="00D27A93"/>
    <w:rsid w:val="00F743B9"/>
    <w:rsid w:val="00FD6651"/>
    <w:rsid w:val="014A5202"/>
    <w:rsid w:val="01BC0C36"/>
    <w:rsid w:val="09413E32"/>
    <w:rsid w:val="0A6877AF"/>
    <w:rsid w:val="0B080748"/>
    <w:rsid w:val="0D8E5458"/>
    <w:rsid w:val="0EFE2CAB"/>
    <w:rsid w:val="11774CF5"/>
    <w:rsid w:val="13F03CC8"/>
    <w:rsid w:val="14640AB2"/>
    <w:rsid w:val="14810647"/>
    <w:rsid w:val="15572AD9"/>
    <w:rsid w:val="175F7FAA"/>
    <w:rsid w:val="177C55D9"/>
    <w:rsid w:val="179E616B"/>
    <w:rsid w:val="1D5141E9"/>
    <w:rsid w:val="1D993557"/>
    <w:rsid w:val="1E5D612E"/>
    <w:rsid w:val="1E8C0CA5"/>
    <w:rsid w:val="203245F0"/>
    <w:rsid w:val="20497C65"/>
    <w:rsid w:val="205E79AA"/>
    <w:rsid w:val="20F906F3"/>
    <w:rsid w:val="213B21EF"/>
    <w:rsid w:val="215F2AE1"/>
    <w:rsid w:val="23094894"/>
    <w:rsid w:val="240251E9"/>
    <w:rsid w:val="24254CE1"/>
    <w:rsid w:val="24730025"/>
    <w:rsid w:val="26741B32"/>
    <w:rsid w:val="275570D5"/>
    <w:rsid w:val="2796486C"/>
    <w:rsid w:val="28B32915"/>
    <w:rsid w:val="29487A31"/>
    <w:rsid w:val="2A256D36"/>
    <w:rsid w:val="2CFC271E"/>
    <w:rsid w:val="2D8703CF"/>
    <w:rsid w:val="2E910791"/>
    <w:rsid w:val="2ED90C28"/>
    <w:rsid w:val="2FA15640"/>
    <w:rsid w:val="322D495D"/>
    <w:rsid w:val="327A650E"/>
    <w:rsid w:val="3578463A"/>
    <w:rsid w:val="35A867C4"/>
    <w:rsid w:val="36D43791"/>
    <w:rsid w:val="37B43B8C"/>
    <w:rsid w:val="3D4A43F6"/>
    <w:rsid w:val="42467556"/>
    <w:rsid w:val="44DB59E4"/>
    <w:rsid w:val="47D9009B"/>
    <w:rsid w:val="498D71D0"/>
    <w:rsid w:val="4D2203FB"/>
    <w:rsid w:val="4ED8614E"/>
    <w:rsid w:val="5143103D"/>
    <w:rsid w:val="518D1082"/>
    <w:rsid w:val="53461234"/>
    <w:rsid w:val="53680279"/>
    <w:rsid w:val="53791751"/>
    <w:rsid w:val="541B0AB7"/>
    <w:rsid w:val="54AA2737"/>
    <w:rsid w:val="58D762DA"/>
    <w:rsid w:val="58EC58BC"/>
    <w:rsid w:val="5B581674"/>
    <w:rsid w:val="5C5109D9"/>
    <w:rsid w:val="5F5A0F57"/>
    <w:rsid w:val="63155387"/>
    <w:rsid w:val="63E94701"/>
    <w:rsid w:val="647A02D9"/>
    <w:rsid w:val="66146D9C"/>
    <w:rsid w:val="67970E2A"/>
    <w:rsid w:val="67D34267"/>
    <w:rsid w:val="6C0F3311"/>
    <w:rsid w:val="6C195A75"/>
    <w:rsid w:val="6D393EE9"/>
    <w:rsid w:val="6EA52D24"/>
    <w:rsid w:val="6F762DAF"/>
    <w:rsid w:val="701D7957"/>
    <w:rsid w:val="724E3D37"/>
    <w:rsid w:val="75B02FA3"/>
    <w:rsid w:val="768C657D"/>
    <w:rsid w:val="795375DB"/>
    <w:rsid w:val="7CB82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paragraph" w:styleId="4">
    <w:name w:val="heading 2"/>
    <w:basedOn w:val="1"/>
    <w:next w:val="1"/>
    <w:link w:val="22"/>
    <w:unhideWhenUsed/>
    <w:qFormat/>
    <w:uiPriority w:val="0"/>
    <w:pPr>
      <w:keepNext/>
      <w:keepLines/>
      <w:spacing w:before="260" w:after="260" w:line="416" w:lineRule="auto"/>
      <w:outlineLvl w:val="1"/>
    </w:pPr>
    <w:rPr>
      <w:rFonts w:eastAsia="楷体" w:asciiTheme="majorHAnsi" w:hAnsiTheme="majorHAnsi" w:cstheme="majorBidi"/>
      <w:b/>
      <w:bCs/>
      <w:sz w:val="32"/>
      <w:szCs w:val="32"/>
    </w:rPr>
  </w:style>
  <w:style w:type="paragraph" w:styleId="5">
    <w:name w:val="heading 3"/>
    <w:basedOn w:val="1"/>
    <w:next w:val="1"/>
    <w:link w:val="23"/>
    <w:unhideWhenUsed/>
    <w:qFormat/>
    <w:uiPriority w:val="0"/>
    <w:pPr>
      <w:keepNext/>
      <w:keepLines/>
      <w:spacing w:before="200" w:after="200"/>
      <w:jc w:val="center"/>
      <w:outlineLvl w:val="2"/>
    </w:pPr>
    <w:rPr>
      <w:rFonts w:ascii="Times New Roman" w:hAnsi="Times New Roman" w:eastAsia="宋体"/>
      <w:b/>
      <w:bCs/>
      <w:sz w:val="24"/>
      <w:szCs w:val="32"/>
    </w:rPr>
  </w:style>
  <w:style w:type="character" w:default="1" w:styleId="18">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subject"/>
    <w:basedOn w:val="7"/>
    <w:next w:val="7"/>
    <w:link w:val="33"/>
    <w:qFormat/>
    <w:uiPriority w:val="0"/>
    <w:rPr>
      <w:rFonts w:asciiTheme="minorHAnsi" w:hAnsiTheme="minorHAnsi" w:eastAsiaTheme="minorEastAsia" w:cstheme="minorBidi"/>
      <w:b/>
      <w:bCs/>
      <w:szCs w:val="22"/>
    </w:rPr>
  </w:style>
  <w:style w:type="paragraph" w:styleId="7">
    <w:name w:val="annotation text"/>
    <w:basedOn w:val="1"/>
    <w:link w:val="32"/>
    <w:qFormat/>
    <w:uiPriority w:val="0"/>
    <w:pPr>
      <w:jc w:val="left"/>
    </w:pPr>
    <w:rPr>
      <w:rFonts w:ascii="Times New Roman" w:hAnsi="Times New Roman" w:eastAsia="宋体" w:cs="Times New Roman"/>
      <w:szCs w:val="24"/>
    </w:rPr>
  </w:style>
  <w:style w:type="paragraph" w:styleId="8">
    <w:name w:val="Body Text First Indent"/>
    <w:basedOn w:val="2"/>
    <w:uiPriority w:val="0"/>
    <w:pPr>
      <w:ind w:firstLine="420" w:firstLineChars="100"/>
    </w:pPr>
    <w:rPr>
      <w:rFonts w:ascii="宋体" w:hAnsi="Times New Roman" w:eastAsia="宋体" w:cs="Times New Roman"/>
      <w:kern w:val="0"/>
      <w:sz w:val="34"/>
      <w:szCs w:val="20"/>
    </w:rPr>
  </w:style>
  <w:style w:type="paragraph" w:styleId="9">
    <w:name w:val="Normal Indent"/>
    <w:basedOn w:val="1"/>
    <w:qFormat/>
    <w:uiPriority w:val="0"/>
    <w:rPr>
      <w:rFonts w:ascii="宋体" w:hAnsi="宋体" w:eastAsia="宋体" w:cs="Times New Roman"/>
      <w:szCs w:val="24"/>
    </w:rPr>
  </w:style>
  <w:style w:type="paragraph" w:styleId="10">
    <w:name w:val="caption"/>
    <w:basedOn w:val="1"/>
    <w:next w:val="1"/>
    <w:semiHidden/>
    <w:unhideWhenUsed/>
    <w:qFormat/>
    <w:uiPriority w:val="0"/>
    <w:rPr>
      <w:rFonts w:ascii="Arial" w:hAnsi="Arial" w:eastAsia="黑体" w:cs="Arial"/>
      <w:sz w:val="20"/>
      <w:szCs w:val="20"/>
    </w:rPr>
  </w:style>
  <w:style w:type="paragraph" w:styleId="11">
    <w:name w:val="Plain Text"/>
    <w:basedOn w:val="1"/>
    <w:qFormat/>
    <w:uiPriority w:val="0"/>
    <w:rPr>
      <w:rFonts w:eastAsia="宋体"/>
      <w:sz w:val="24"/>
    </w:rPr>
  </w:style>
  <w:style w:type="paragraph" w:styleId="12">
    <w:name w:val="Body Text Indent 2"/>
    <w:basedOn w:val="1"/>
    <w:qFormat/>
    <w:uiPriority w:val="0"/>
    <w:pPr>
      <w:spacing w:line="440" w:lineRule="exact"/>
      <w:ind w:firstLine="560" w:firstLineChars="200"/>
    </w:pPr>
    <w:rPr>
      <w:rFonts w:ascii="仿宋_GB2312" w:eastAsia="仿宋_GB2312"/>
      <w:sz w:val="28"/>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rPr>
      <w:rFonts w:ascii="Calibri" w:hAnsi="Calibri" w:eastAsia="宋体" w:cs="Times New Roman"/>
      <w:sz w:val="24"/>
      <w:szCs w:val="24"/>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character" w:customStyle="1" w:styleId="22">
    <w:name w:val="标题 2 Char"/>
    <w:basedOn w:val="18"/>
    <w:link w:val="4"/>
    <w:qFormat/>
    <w:locked/>
    <w:uiPriority w:val="0"/>
    <w:rPr>
      <w:rFonts w:eastAsia="楷体" w:asciiTheme="majorHAnsi" w:hAnsiTheme="majorHAnsi" w:cstheme="majorBidi"/>
      <w:b/>
      <w:bCs/>
      <w:sz w:val="32"/>
      <w:szCs w:val="32"/>
    </w:rPr>
  </w:style>
  <w:style w:type="character" w:customStyle="1" w:styleId="23">
    <w:name w:val="标题 3 Char"/>
    <w:link w:val="5"/>
    <w:qFormat/>
    <w:uiPriority w:val="0"/>
    <w:rPr>
      <w:rFonts w:ascii="Times New Roman" w:hAnsi="Times New Roman" w:eastAsia="宋体"/>
      <w:b/>
      <w:bCs/>
      <w:sz w:val="24"/>
      <w:szCs w:val="32"/>
    </w:rPr>
  </w:style>
  <w:style w:type="character" w:customStyle="1" w:styleId="24">
    <w:name w:val="标题 1 Char"/>
    <w:basedOn w:val="18"/>
    <w:link w:val="3"/>
    <w:qFormat/>
    <w:uiPriority w:val="99"/>
    <w:rPr>
      <w:rFonts w:ascii="Times New Roman" w:hAnsi="Times New Roman" w:eastAsia="黑体" w:cs="Times New Roman"/>
      <w:b/>
      <w:bCs/>
      <w:kern w:val="44"/>
      <w:sz w:val="32"/>
      <w:szCs w:val="44"/>
    </w:rPr>
  </w:style>
  <w:style w:type="paragraph" w:customStyle="1" w:styleId="25">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6">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styleId="27">
    <w:name w:val="List Paragraph"/>
    <w:basedOn w:val="1"/>
    <w:unhideWhenUsed/>
    <w:qFormat/>
    <w:uiPriority w:val="99"/>
    <w:pPr>
      <w:ind w:firstLine="420" w:firstLineChars="200"/>
    </w:pPr>
  </w:style>
  <w:style w:type="paragraph" w:customStyle="1" w:styleId="28">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9">
    <w:name w:val="正文文本缩进1"/>
    <w:basedOn w:val="1"/>
    <w:qFormat/>
    <w:uiPriority w:val="0"/>
    <w:pPr>
      <w:spacing w:line="360" w:lineRule="auto"/>
      <w:ind w:firstLine="480" w:firstLineChars="200"/>
    </w:pPr>
    <w:rPr>
      <w:rFonts w:ascii="宋体"/>
      <w:sz w:val="24"/>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日期1"/>
    <w:basedOn w:val="1"/>
    <w:next w:val="1"/>
    <w:qFormat/>
    <w:uiPriority w:val="0"/>
    <w:rPr>
      <w:sz w:val="24"/>
    </w:rPr>
  </w:style>
  <w:style w:type="character" w:customStyle="1" w:styleId="32">
    <w:name w:val="批注文字 Char"/>
    <w:basedOn w:val="18"/>
    <w:link w:val="7"/>
    <w:qFormat/>
    <w:uiPriority w:val="0"/>
    <w:rPr>
      <w:rFonts w:ascii="Times New Roman" w:hAnsi="Times New Roman" w:eastAsia="宋体" w:cs="Times New Roman"/>
      <w:kern w:val="2"/>
      <w:sz w:val="21"/>
      <w:szCs w:val="24"/>
    </w:rPr>
  </w:style>
  <w:style w:type="character" w:customStyle="1" w:styleId="33">
    <w:name w:val="批注主题 Char"/>
    <w:basedOn w:val="32"/>
    <w:link w:val="6"/>
    <w:qFormat/>
    <w:uiPriority w:val="0"/>
    <w:rPr>
      <w:b/>
      <w:bCs/>
      <w:szCs w:val="22"/>
    </w:rPr>
  </w:style>
  <w:style w:type="character" w:customStyle="1" w:styleId="34">
    <w:name w:val="批注框文本 Char"/>
    <w:basedOn w:val="18"/>
    <w:link w:val="1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68</Pages>
  <Words>32276</Words>
  <Characters>4882</Characters>
  <Lines>40</Lines>
  <Paragraphs>74</Paragraphs>
  <TotalTime>45</TotalTime>
  <ScaleCrop>false</ScaleCrop>
  <LinksUpToDate>false</LinksUpToDate>
  <CharactersWithSpaces>37084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2018-03-22T08:24:00Z</cp:lastPrinted>
  <dcterms:modified xsi:type="dcterms:W3CDTF">2018-07-11T02:39:28Z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