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JZFCG-G2018053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号许昌东城区招标投标管理办公室“许昌市东城区政府采购类和工程建设类数据库采购项目”政府采购类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1-10包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）采购需求、评标标准等说明</w:t>
      </w:r>
    </w:p>
    <w:p>
      <w:pPr>
        <w:pStyle w:val="5"/>
        <w:widowControl/>
        <w:shd w:val="clear" w:color="auto"/>
        <w:spacing w:line="360" w:lineRule="auto"/>
        <w:contextualSpacing/>
        <w:jc w:val="left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shd w:val="clear" w:color="auto" w:fill="FFFFFF"/>
        </w:rPr>
        <w:t>一、项目基本情况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（一）项目名称：</w:t>
      </w:r>
      <w:r>
        <w:rPr>
          <w:rFonts w:hint="eastAsia" w:ascii="宋体" w:hAnsi="宋体" w:eastAsia="宋体" w:cs="宋体"/>
          <w:bCs/>
          <w:color w:val="auto"/>
          <w:highlight w:val="none"/>
          <w:shd w:val="clear" w:color="auto" w:fill="FFFFFF"/>
        </w:rPr>
        <w:t>许昌市东城区政府采购类和工程建设类数据库采购项目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（二）项目编号：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JZFCG-G2018053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号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（三）采购方式：公开招标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四）项目主要内容、数量及要求：按照“东城区关于进一步加强和规范招投标及政府采购工作意见”许东管[2018]9号文的相关要求，进一步加强和规范政府采购和工程建设项目招投标工作程序，提高政府采购工作效率，更加有效结余财政资金，东城区招标办决定对1-20万的政府采购和工程建设类项目，进行公开招标，选择每个类别6-13（详见标段划分）家相应供应商或服务机构，建立东城区政府采购和工程建设项目数据库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本项目划分为</w:t>
      </w:r>
      <w:r>
        <w:rPr>
          <w:rFonts w:hint="eastAsia" w:ascii="宋体" w:hAnsi="宋体" w:eastAsia="宋体" w:cs="宋体"/>
          <w:bCs/>
          <w:color w:val="auto"/>
          <w:highlight w:val="none"/>
          <w:shd w:val="clear" w:color="auto" w:fill="FFFFFF"/>
        </w:rPr>
        <w:t>政府采购类和工程建设类</w:t>
      </w:r>
      <w:r>
        <w:rPr>
          <w:rFonts w:hint="eastAsia" w:ascii="宋体" w:hAnsi="宋体" w:cs="宋体"/>
          <w:bCs/>
          <w:color w:val="auto"/>
          <w:highlight w:val="none"/>
          <w:shd w:val="clear" w:color="auto" w:fill="FFFFFF"/>
          <w:lang w:eastAsia="zh-CN"/>
        </w:rPr>
        <w:t>共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14个包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  <w:t>，本次为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政府采购类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1-10包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：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第1包：电脑、打印机、复印机、路由器、扫描仪、服务器类等，选择相应供应商13家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第2包：家电售后服务类等，选择相应服务机构10家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第3包：电视、空调、小家电、冰箱类等，选择相应供应商13家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第4包：办公家具、档案设备类等，选择相应供应商10家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第5包：物业管理类，选择相应服务机构10家；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 xml:space="preserve">           保安服务类，选择相应服务机构10家；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 xml:space="preserve">           家政服务类等，选择相应服务机构10家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第6包：图书用品类，选择相应供应商10家；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 xml:space="preserve">           体育设备类等，选择相应供应商10家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第7包：制服、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  <w:t>劳保服装、劳保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用品类等，选择相应供应商10家；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第8包：公务印刷印制类，选择相应供应商10家；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 xml:space="preserve">           广告牌宣传牌制作类等，选择相应供应商10家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第9包：聘用律师服务（律师事务所）类等，选择相应服务机构6家；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10、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第10包：米面油供应商类，选择相应供应商10家；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 xml:space="preserve">             厨房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  <w:t>设备、用品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类等，选择相应供应商10家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（五）预算金额：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  <w:t>无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（六）服务期限：自合同签订之日起2年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（七）服务地点：许昌市东城区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b/>
          <w:bCs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shd w:val="clear" w:color="auto" w:fill="FFFFFF"/>
        </w:rPr>
        <w:t>二、需要落实的政府采购政策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本项目落实节能环保、中小微型企业、监狱企业、残疾人福利性单位扶持等相关政府采购政策。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b/>
          <w:bCs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shd w:val="clear" w:color="auto" w:fill="FFFFFF"/>
        </w:rPr>
        <w:t>三、投标人资格要求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（一）符合《中华人民共和国政府采购法》第二十二条之规定；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（二）未被列入“信用中国”网站(www.creditchina.gov.cn)失信被执行人、重大税收违法案件当事人名单、政府采购严重违法失信名单的投标人；“中国政府采购网” (www.ccgp.gov.cn)政府采购严重违法失信行为记录名单的投标人；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（三）本次招标不接受联合体投标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（四）第9包投标人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除满足以上条件外，还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须具有律师执业证书或</w:t>
      </w:r>
      <w:r>
        <w:rPr>
          <w:rFonts w:hint="eastAsia" w:ascii="宋体" w:hAnsi="宋体" w:eastAsia="宋体" w:cs="宋体"/>
          <w:bCs/>
          <w:color w:val="auto"/>
          <w:highlight w:val="none"/>
          <w:shd w:val="clear" w:color="auto" w:fill="FFFFFF"/>
        </w:rPr>
        <w:t>律师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事务所执业许可证（律师事务所提供）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b/>
          <w:bCs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shd w:val="clear" w:color="auto" w:fill="FFFFFF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highlight w:val="none"/>
          <w:shd w:val="clear" w:color="auto" w:fill="FFFFFF"/>
        </w:rPr>
        <w:t>项目需求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按照“东城区关于进一步加强和规范招投标及政府采购工作意见”许东管[2018]9号文的相关要求，进一步加强和规范政府采购和工程建设项目招投标工作程序，提高政府采购工作效率，更加有效结余财政资金，东城区招标办决定对1-20万的政府采购和工程建设类项目，进行公开招标选择每个包6-13家相应公司，建立东城区政府采购和工程建设项目数据库。</w:t>
      </w:r>
    </w:p>
    <w:p>
      <w:pPr>
        <w:widowControl/>
        <w:shd w:val="clear" w:color="auto"/>
        <w:spacing w:line="360" w:lineRule="auto"/>
        <w:ind w:firstLine="482" w:firstLineChars="200"/>
        <w:contextualSpacing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shd w:val="clear" w:color="auto" w:fill="FFFFFF"/>
          <w:lang w:eastAsia="zh-CN"/>
        </w:rPr>
        <w:t>政府采购类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shd w:val="clear" w:color="auto" w:fill="FFFFFF"/>
        </w:rPr>
        <w:t>标段/包划分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shd w:val="clear" w:color="auto" w:fill="FFFFFF"/>
          <w:lang w:eastAsia="zh-CN"/>
        </w:rPr>
        <w:t>：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第1包：电脑、打印机、复印机、路由器、扫描仪、服务器类等，选择相应供应商13家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第2包：家电售后服务类等，选择相应服务机构10家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第3包：电视、空调、小家电、冰箱类等，选择相应供应商13家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第4包：办公家具、档案设备类等，选择相应供应商10家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第5包：物业管理类，选择相应服务机构10家；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 xml:space="preserve">           保安服务类，选择相应服务机构10家；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 xml:space="preserve">           家政服务类等，选择相应服务机构10家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第6包：图书用品类，选择相应供应商10家；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 xml:space="preserve">           体育设备类等，选择相应供应商10家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第7包：制服、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  <w:t>劳保服装、劳保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用品类等，选择相应供应商10家；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第8包：公务印刷印制类，选择相应供应商10家；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 xml:space="preserve">           广告牌宣传牌制作类等，选择相应供应商10家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第9包：聘用律师服务（律师事务所）类等，选择相应服务机构6家；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10、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第10包：米面油供应商类，选择相应供应商10家；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 xml:space="preserve">             厨房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  <w:t>设备、用品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类等，选择相应供应商10家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。</w:t>
      </w:r>
    </w:p>
    <w:p>
      <w:pPr>
        <w:pStyle w:val="4"/>
        <w:spacing w:line="360" w:lineRule="auto"/>
        <w:ind w:firstLine="482" w:firstLineChars="200"/>
        <w:contextualSpacing/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/>
        </w:rPr>
        <w:t>五、验收标准</w:t>
      </w:r>
    </w:p>
    <w:p>
      <w:pPr>
        <w:pStyle w:val="4"/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1、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参加验收人员签署。</w:t>
      </w:r>
    </w:p>
    <w:p>
      <w:pPr>
        <w:pStyle w:val="4"/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2、按照招标文件要求、投标文件响应和承诺验收。</w:t>
      </w:r>
    </w:p>
    <w:p>
      <w:pPr>
        <w:pStyle w:val="4"/>
        <w:spacing w:line="360" w:lineRule="auto"/>
        <w:ind w:firstLine="482" w:firstLineChars="200"/>
        <w:contextualSpacing/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/>
        </w:rPr>
        <w:t>、需提供项目负责人</w:t>
      </w:r>
      <w:r>
        <w:rPr>
          <w:rFonts w:hint="eastAsia" w:ascii="宋体" w:hAnsi="宋体" w:cs="宋体"/>
          <w:b/>
          <w:bCs/>
          <w:color w:val="auto"/>
          <w:szCs w:val="24"/>
          <w:highlight w:val="none"/>
          <w:lang w:val="zh-CN" w:eastAsia="zh-CN"/>
        </w:rPr>
        <w:t>和</w:t>
      </w: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/>
        </w:rPr>
        <w:t>项目班子配备成员名单</w:t>
      </w:r>
      <w:r>
        <w:rPr>
          <w:rFonts w:hint="eastAsia" w:ascii="宋体" w:hAnsi="宋体" w:cs="宋体"/>
          <w:b/>
          <w:bCs/>
          <w:color w:val="auto"/>
          <w:szCs w:val="24"/>
          <w:highlight w:val="none"/>
          <w:lang w:val="zh-CN"/>
        </w:rPr>
        <w:t>，及项目负责人</w:t>
      </w: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/>
        </w:rPr>
        <w:t>联系方式，不提供者为无效投标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。</w:t>
      </w:r>
    </w:p>
    <w:p>
      <w:pPr>
        <w:pStyle w:val="4"/>
        <w:spacing w:line="360" w:lineRule="auto"/>
        <w:ind w:firstLine="482" w:firstLineChars="200"/>
        <w:contextualSpacing/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/>
        </w:rPr>
        <w:t>、服务期限：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自合同签订之日起2年。</w:t>
      </w:r>
    </w:p>
    <w:p>
      <w:pPr>
        <w:pStyle w:val="4"/>
        <w:spacing w:line="360" w:lineRule="auto"/>
        <w:ind w:firstLine="482" w:firstLineChars="200"/>
        <w:contextualSpacing/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/>
        </w:rPr>
        <w:t>八、资金支付</w:t>
      </w:r>
    </w:p>
    <w:p>
      <w:pPr>
        <w:pStyle w:val="4"/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1、支付方式：以银行转账方式支付。</w:t>
      </w:r>
    </w:p>
    <w:p>
      <w:pPr>
        <w:pStyle w:val="4"/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2、支付时间及条件：按照零星采购、集中支付的方式，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zh-CN" w:eastAsia="zh-CN"/>
        </w:rPr>
        <w:t>政采类项目合同履行完毕验收后，一个月内据实支付；工程类完工验收后按东城区财政资金拨付程序进行结算。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每次付款前，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zh-CN" w:eastAsia="zh-CN"/>
        </w:rPr>
        <w:t>供应商（施工方）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应向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zh-CN" w:eastAsia="zh-CN"/>
        </w:rPr>
        <w:t>项目单位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开具符合国家法律要求的发票。</w:t>
      </w:r>
    </w:p>
    <w:p>
      <w:pPr>
        <w:pStyle w:val="4"/>
        <w:spacing w:line="360" w:lineRule="auto"/>
        <w:ind w:firstLine="482" w:firstLineChars="200"/>
        <w:contextualSpacing/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en-US" w:eastAsia="zh-CN"/>
        </w:rPr>
        <w:t>九、评标方法和评标标准</w:t>
      </w:r>
    </w:p>
    <w:p>
      <w:pPr>
        <w:pStyle w:val="4"/>
        <w:spacing w:line="360" w:lineRule="auto"/>
        <w:ind w:firstLine="482" w:firstLineChars="200"/>
        <w:contextualSpacing/>
        <w:rPr>
          <w:rFonts w:hint="eastAsia" w:ascii="宋体" w:hAnsi="宋体" w:eastAsia="宋体" w:cs="宋体"/>
          <w:b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color w:val="auto"/>
          <w:szCs w:val="24"/>
          <w:highlight w:val="none"/>
          <w:lang w:val="zh-CN"/>
        </w:rPr>
        <w:t>（一）评标方法</w:t>
      </w:r>
    </w:p>
    <w:p>
      <w:pPr>
        <w:pStyle w:val="4"/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b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本项目采用综合评分法。总分为100分。</w:t>
      </w:r>
    </w:p>
    <w:p>
      <w:pPr>
        <w:pStyle w:val="4"/>
        <w:spacing w:line="360" w:lineRule="auto"/>
        <w:ind w:firstLine="482" w:firstLineChars="200"/>
        <w:contextualSpacing/>
        <w:rPr>
          <w:rFonts w:hint="eastAsia" w:ascii="宋体" w:hAnsi="宋体" w:eastAsia="宋体" w:cs="宋体"/>
          <w:b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color w:val="auto"/>
          <w:szCs w:val="24"/>
          <w:highlight w:val="none"/>
          <w:lang w:val="zh-CN"/>
        </w:rPr>
        <w:t>（二）评标标准</w:t>
      </w:r>
    </w:p>
    <w:tbl>
      <w:tblPr>
        <w:tblStyle w:val="7"/>
        <w:tblW w:w="8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6804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分值构成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(总分100分)</w:t>
            </w:r>
          </w:p>
        </w:tc>
        <w:tc>
          <w:tcPr>
            <w:tcW w:w="7629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评标标准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服务承诺</w:t>
            </w:r>
          </w:p>
        </w:tc>
        <w:tc>
          <w:tcPr>
            <w:tcW w:w="6804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1、响应时间承诺：中标人设立专用服务热线电话，并保证24小时在线，若招标人提出需求，能够在10分钟内作出响应的得2分，不承诺或不满足要求的不得分，本项最多得2分；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04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2、解决问题时间承诺：在接到招标人提出需求时，能在1个小时内赶赴现场解决问题的得3分，不承诺或不满足时间要求的不得分，本项最多得3分；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3、服务方案承诺：根据投标人服务方案的合理性、可行性、完整性，（好：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30分；较好：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20分；一般：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10分。），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缺项不得分，本项最多得30分；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4、根据投标人售后服务保障措施的完善程度、科学合理性、可行性进行比较，内容健全、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合理可行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的得30分；有相关描述的得15分；不提供者不得分，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本项最多得30分；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5、对货物使用或操作人员培训计划的承诺：培训计划合理、培训内容全面，培训人员的组织方案，培训教员的素质。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计划合理、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内容健全且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方案详细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的得5分；有相关描述的得3分；不提供者不得分，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本项最多得5分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； 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6、质量保证措施承诺：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质量保障措施可靠、承诺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内容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全面可行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的得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20分；有相关描述的得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10分；不提供者不得分，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本项最多得20分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；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7、投标单位管理制度比较完善的得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10分，制度一般的得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3分，没有相关描述的不得分，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本项最多得10分。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-SA"/>
        </w:rPr>
        <w:t>十、联系方式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采购人：许昌市东城区招标投标管理办公室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地  址：许昌市东城区新兴路东段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周冰</w:t>
      </w:r>
      <w:r>
        <w:rPr>
          <w:rFonts w:hint="eastAsia" w:ascii="宋体" w:hAnsi="宋体" w:eastAsia="宋体" w:cs="宋体"/>
          <w:color w:val="auto"/>
          <w:highlight w:val="none"/>
        </w:rPr>
        <w:t xml:space="preserve">               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15237436168</w:t>
      </w:r>
    </w:p>
    <w:p>
      <w:pPr>
        <w:shd w:val="clear"/>
        <w:ind w:firstLine="1680" w:firstLineChars="70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shd w:val="clear"/>
        <w:ind w:firstLine="6240" w:firstLineChars="260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2018年7月12日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458C4"/>
    <w:rsid w:val="02350FC9"/>
    <w:rsid w:val="026B667B"/>
    <w:rsid w:val="10AA4F77"/>
    <w:rsid w:val="242B47E9"/>
    <w:rsid w:val="284B7E2D"/>
    <w:rsid w:val="431F4D3B"/>
    <w:rsid w:val="4A783ED4"/>
    <w:rsid w:val="4B3C3424"/>
    <w:rsid w:val="4B5D5BFC"/>
    <w:rsid w:val="6C4458C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eastAsia="宋体"/>
      <w:sz w:val="24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2018-07-05T00:08:00Z</dcterms:created>
  <dc:creator>Administrator</dc:creator>
  <cp:lastModifiedBy>Administrator</cp:lastModifiedBy>
  <dcterms:modified xsi:type="dcterms:W3CDTF">2018-07-11T05:39:23Z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