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sz w:val="44"/>
        </w:rPr>
      </w:pPr>
      <w:r>
        <w:rPr>
          <w:rFonts w:hint="eastAsia" w:ascii="黑体" w:hAnsi="黑体" w:eastAsia="黑体"/>
          <w:b/>
          <w:sz w:val="44"/>
        </w:rPr>
        <w:t>禹州市人民政府电子政务办公室</w:t>
      </w:r>
    </w:p>
    <w:p>
      <w:pPr>
        <w:jc w:val="center"/>
        <w:rPr>
          <w:rFonts w:ascii="黑体" w:hAnsi="黑体" w:eastAsia="黑体"/>
          <w:b/>
          <w:sz w:val="44"/>
        </w:rPr>
      </w:pPr>
      <w:r>
        <w:rPr>
          <w:rFonts w:hint="eastAsia" w:ascii="黑体" w:hAnsi="黑体" w:eastAsia="黑体"/>
          <w:b/>
          <w:sz w:val="44"/>
        </w:rPr>
        <w:t>电子政务外网互联网+政务服务项目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520" w:lineRule="exact"/>
        <w:ind w:firstLine="320" w:firstLineChars="100"/>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禹州市人民政府办公室</w:t>
      </w:r>
    </w:p>
    <w:p>
      <w:pPr>
        <w:autoSpaceDE w:val="0"/>
        <w:autoSpaceDN w:val="0"/>
        <w:spacing w:line="360" w:lineRule="auto"/>
        <w:ind w:left="319" w:leftChars="152" w:right="-20"/>
        <w:outlineLvl w:val="0"/>
        <w:rPr>
          <w:rFonts w:ascii="仿宋" w:hAnsi="仿宋" w:eastAsia="仿宋"/>
          <w:sz w:val="32"/>
        </w:rPr>
      </w:pPr>
      <w:r>
        <w:rPr>
          <w:rFonts w:hint="eastAsia" w:ascii="仿宋" w:hAnsi="仿宋" w:eastAsia="仿宋"/>
          <w:sz w:val="32"/>
        </w:rPr>
        <w:t>项目名称：禹州市人民政府电子政务办公室电子政务外网互联网+政务服务项目</w:t>
      </w:r>
    </w:p>
    <w:p>
      <w:pPr>
        <w:autoSpaceDE w:val="0"/>
        <w:autoSpaceDN w:val="0"/>
        <w:spacing w:line="360" w:lineRule="auto"/>
        <w:ind w:left="319" w:leftChars="152" w:right="-20"/>
        <w:outlineLvl w:val="0"/>
        <w:rPr>
          <w:rFonts w:ascii="仿宋" w:hAnsi="仿宋" w:eastAsia="仿宋"/>
          <w:sz w:val="32"/>
        </w:rPr>
      </w:pPr>
      <w:r>
        <w:rPr>
          <w:rFonts w:hint="eastAsia" w:ascii="仿宋" w:hAnsi="仿宋" w:eastAsia="仿宋"/>
          <w:sz w:val="32"/>
        </w:rPr>
        <w:t>采购编号：YZCG—G2018169</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ind w:firstLine="2560" w:firstLineChars="800"/>
        <w:rPr>
          <w:rFonts w:ascii="仿宋" w:hAnsi="仿宋" w:eastAsia="仿宋"/>
          <w:bCs/>
          <w:sz w:val="32"/>
        </w:rPr>
      </w:pPr>
      <w:r>
        <w:rPr>
          <w:rFonts w:hint="eastAsia" w:ascii="仿宋" w:hAnsi="仿宋" w:eastAsia="仿宋"/>
          <w:bCs/>
          <w:sz w:val="32"/>
        </w:rPr>
        <w:t>二〇一八年七月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520" w:lineRule="exact"/>
        <w:textAlignment w:val="baseline"/>
        <w:rPr>
          <w:rFonts w:ascii="黑体" w:hAnsi="黑体" w:eastAsia="黑体" w:cs="黑体"/>
          <w:b/>
          <w:sz w:val="44"/>
          <w:szCs w:val="44"/>
        </w:rPr>
      </w:pPr>
      <w:r>
        <w:rPr>
          <w:rFonts w:hint="eastAsia" w:ascii="黑体" w:hAnsi="黑体" w:eastAsia="黑体" w:cs="黑体"/>
          <w:b/>
          <w:sz w:val="44"/>
          <w:szCs w:val="44"/>
        </w:rPr>
        <w:t xml:space="preserve"> </w:t>
      </w:r>
    </w:p>
    <w:p>
      <w:pPr>
        <w:jc w:val="center"/>
        <w:rPr>
          <w:rFonts w:ascii="黑体" w:hAnsi="黑体" w:eastAsia="黑体"/>
          <w:b/>
          <w:sz w:val="36"/>
          <w:szCs w:val="36"/>
        </w:rPr>
      </w:pPr>
      <w:r>
        <w:rPr>
          <w:rFonts w:hint="eastAsia" w:ascii="黑体" w:hAnsi="黑体" w:eastAsia="黑体"/>
          <w:b/>
          <w:sz w:val="36"/>
          <w:szCs w:val="36"/>
        </w:rPr>
        <w:t>禹州市人民政府电子政务办公室</w:t>
      </w:r>
    </w:p>
    <w:p>
      <w:pPr>
        <w:jc w:val="center"/>
        <w:rPr>
          <w:rFonts w:ascii="黑体" w:hAnsi="黑体" w:eastAsia="黑体"/>
          <w:b/>
          <w:sz w:val="36"/>
          <w:szCs w:val="36"/>
        </w:rPr>
      </w:pPr>
      <w:r>
        <w:rPr>
          <w:rFonts w:hint="eastAsia" w:ascii="黑体" w:hAnsi="黑体" w:eastAsia="黑体"/>
          <w:b/>
          <w:sz w:val="36"/>
          <w:szCs w:val="36"/>
        </w:rPr>
        <w:t>电子政务外网互联网+政务服务项目</w:t>
      </w:r>
    </w:p>
    <w:p>
      <w:pPr>
        <w:jc w:val="center"/>
        <w:rPr>
          <w:rFonts w:ascii="黑体" w:hAnsi="黑体" w:eastAsia="黑体"/>
          <w:b/>
          <w:sz w:val="36"/>
          <w:szCs w:val="36"/>
        </w:rPr>
      </w:pPr>
      <w:r>
        <w:rPr>
          <w:rFonts w:hint="eastAsia" w:ascii="黑体" w:hAnsi="黑体" w:eastAsia="黑体"/>
          <w:b/>
          <w:sz w:val="36"/>
          <w:szCs w:val="36"/>
        </w:rPr>
        <w:t>招  标  邀 请 函</w:t>
      </w:r>
    </w:p>
    <w:p>
      <w:pPr>
        <w:rPr>
          <w:rFonts w:ascii="仿宋" w:hAnsi="仿宋" w:eastAsia="仿宋"/>
          <w:sz w:val="24"/>
        </w:rPr>
      </w:pPr>
    </w:p>
    <w:p>
      <w:pPr>
        <w:spacing w:line="460" w:lineRule="exact"/>
        <w:ind w:firstLine="480" w:firstLineChars="200"/>
        <w:rPr>
          <w:rFonts w:ascii="仿宋" w:hAnsi="仿宋" w:eastAsia="仿宋"/>
          <w:sz w:val="24"/>
          <w:szCs w:val="24"/>
        </w:rPr>
      </w:pPr>
      <w:r>
        <w:rPr>
          <w:rFonts w:hint="eastAsia" w:ascii="仿宋" w:hAnsi="仿宋" w:eastAsia="仿宋"/>
          <w:sz w:val="24"/>
          <w:szCs w:val="24"/>
        </w:rPr>
        <w:t>禹州市政府采购中心受禹州市人民政府办公室的委托，就“禹州市人民政府电子政务办公室电子政务外网互联网+政务服务项目项目”进行公开招标，欢迎合格的投标人前来投标。</w:t>
      </w:r>
    </w:p>
    <w:p>
      <w:pPr>
        <w:spacing w:line="460" w:lineRule="exact"/>
        <w:ind w:firstLine="482" w:firstLineChars="200"/>
        <w:rPr>
          <w:rFonts w:ascii="仿宋" w:hAnsi="仿宋" w:eastAsia="仿宋"/>
          <w:b/>
          <w:sz w:val="24"/>
          <w:szCs w:val="24"/>
        </w:rPr>
      </w:pPr>
      <w:r>
        <w:rPr>
          <w:rFonts w:hint="eastAsia" w:ascii="仿宋" w:hAnsi="仿宋" w:eastAsia="仿宋"/>
          <w:b/>
          <w:sz w:val="24"/>
          <w:szCs w:val="24"/>
        </w:rPr>
        <w:t>一、项目基本情况</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1、采购人：禹州市人民政府办公室</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2、项目名称：禹州市人民政府电子政务办公室电子政务外网互联网+政务服务项目项目</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3、采购编号：YZCG-G2018169</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4、项目需求：电子政务外网互联网+政务服务</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5、采购预算：182.4万元</w:t>
      </w:r>
    </w:p>
    <w:p>
      <w:pPr>
        <w:spacing w:line="460" w:lineRule="exact"/>
        <w:ind w:firstLine="480"/>
        <w:rPr>
          <w:rFonts w:ascii="仿宋" w:hAnsi="仿宋" w:eastAsia="仿宋"/>
          <w:sz w:val="24"/>
          <w:szCs w:val="24"/>
        </w:rPr>
      </w:pPr>
      <w:r>
        <w:rPr>
          <w:rFonts w:hint="eastAsia" w:ascii="仿宋" w:hAnsi="仿宋" w:eastAsia="仿宋"/>
          <w:sz w:val="24"/>
          <w:szCs w:val="24"/>
        </w:rPr>
        <w:t>6、最高限价：182.4万元</w:t>
      </w:r>
    </w:p>
    <w:p>
      <w:pPr>
        <w:spacing w:line="460" w:lineRule="exact"/>
        <w:ind w:firstLine="480"/>
        <w:rPr>
          <w:rFonts w:ascii="仿宋" w:hAnsi="仿宋" w:eastAsia="仿宋"/>
          <w:b/>
          <w:sz w:val="24"/>
          <w:szCs w:val="24"/>
        </w:rPr>
      </w:pPr>
      <w:r>
        <w:rPr>
          <w:rFonts w:hint="eastAsia" w:ascii="仿宋" w:hAnsi="仿宋" w:eastAsia="仿宋"/>
          <w:b/>
          <w:sz w:val="24"/>
          <w:szCs w:val="24"/>
        </w:rPr>
        <w:t>二、需要落实的政府采购政策</w:t>
      </w:r>
    </w:p>
    <w:p>
      <w:pPr>
        <w:spacing w:line="460" w:lineRule="exact"/>
        <w:rPr>
          <w:rFonts w:ascii="仿宋" w:hAnsi="仿宋" w:eastAsia="仿宋"/>
          <w:sz w:val="24"/>
          <w:szCs w:val="24"/>
        </w:rPr>
      </w:pPr>
      <w:r>
        <w:rPr>
          <w:rFonts w:hint="eastAsia" w:ascii="仿宋" w:hAnsi="仿宋" w:eastAsia="仿宋"/>
          <w:sz w:val="24"/>
          <w:szCs w:val="24"/>
        </w:rPr>
        <w:t>　　本项目落实节约能源、保护环境、扶持不发达地区和少数民族地区、促进中小企业、监狱企业发展等政府采购政策。（详见招标文件）</w:t>
      </w:r>
    </w:p>
    <w:p>
      <w:pPr>
        <w:spacing w:line="460" w:lineRule="exact"/>
        <w:rPr>
          <w:rFonts w:ascii="仿宋" w:hAnsi="仿宋" w:eastAsia="仿宋"/>
          <w:b/>
          <w:sz w:val="24"/>
          <w:szCs w:val="24"/>
        </w:rPr>
      </w:pPr>
      <w:r>
        <w:rPr>
          <w:rFonts w:hint="eastAsia" w:ascii="仿宋" w:hAnsi="仿宋" w:eastAsia="仿宋"/>
          <w:sz w:val="24"/>
          <w:szCs w:val="24"/>
        </w:rPr>
        <w:t>　</w:t>
      </w:r>
      <w:r>
        <w:rPr>
          <w:rFonts w:hint="eastAsia" w:ascii="仿宋" w:hAnsi="仿宋" w:eastAsia="仿宋"/>
          <w:b/>
          <w:sz w:val="24"/>
          <w:szCs w:val="24"/>
        </w:rPr>
        <w:t>　三、供应商资格要求</w:t>
      </w:r>
    </w:p>
    <w:p>
      <w:pPr>
        <w:spacing w:line="460" w:lineRule="exact"/>
        <w:rPr>
          <w:rFonts w:ascii="仿宋" w:hAnsi="仿宋" w:eastAsia="仿宋"/>
          <w:sz w:val="24"/>
          <w:szCs w:val="24"/>
        </w:rPr>
      </w:pPr>
      <w:r>
        <w:rPr>
          <w:rFonts w:hint="eastAsia" w:ascii="仿宋" w:hAnsi="仿宋" w:eastAsia="仿宋"/>
          <w:sz w:val="24"/>
          <w:szCs w:val="24"/>
        </w:rPr>
        <w:t>　　1、符合《政府采购法》第二十二条之规定，具有相应经营范围的网络运营商（以营业执照为准）；</w:t>
      </w:r>
    </w:p>
    <w:p>
      <w:pPr>
        <w:spacing w:line="460" w:lineRule="exact"/>
        <w:ind w:firstLine="640"/>
        <w:rPr>
          <w:rFonts w:ascii="仿宋" w:hAnsi="仿宋" w:eastAsia="仿宋"/>
          <w:sz w:val="24"/>
          <w:szCs w:val="24"/>
        </w:rPr>
      </w:pPr>
      <w:r>
        <w:rPr>
          <w:rFonts w:hint="eastAsia" w:ascii="仿宋" w:hAnsi="仿宋" w:eastAsia="仿宋"/>
          <w:sz w:val="24"/>
          <w:szCs w:val="24"/>
        </w:rPr>
        <w:t>2、投标商应开具由项目所在地或企业营业执照注册所在地人民检察院出具的无行贿犯罪档案告知函；</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3、法定代表人授权代表须是本单位职工，提供本公司为本人缴纳社会保险证明；</w:t>
      </w:r>
    </w:p>
    <w:p>
      <w:pPr>
        <w:spacing w:line="460" w:lineRule="exact"/>
        <w:rPr>
          <w:rFonts w:ascii="仿宋" w:hAnsi="仿宋" w:eastAsia="仿宋"/>
          <w:sz w:val="24"/>
          <w:szCs w:val="24"/>
        </w:rPr>
      </w:pPr>
      <w:r>
        <w:rPr>
          <w:rFonts w:hint="eastAsia" w:ascii="仿宋" w:hAnsi="仿宋" w:eastAsia="仿宋"/>
          <w:sz w:val="24"/>
          <w:szCs w:val="24"/>
        </w:rPr>
        <w:t>　　4、本项目不接受联合体投标。</w:t>
      </w:r>
    </w:p>
    <w:p>
      <w:pPr>
        <w:spacing w:line="460" w:lineRule="exact"/>
        <w:rPr>
          <w:rFonts w:ascii="仿宋" w:hAnsi="仿宋" w:eastAsia="仿宋"/>
          <w:b/>
          <w:sz w:val="24"/>
          <w:szCs w:val="24"/>
        </w:rPr>
      </w:pPr>
      <w:r>
        <w:rPr>
          <w:rFonts w:hint="eastAsia" w:ascii="仿宋" w:hAnsi="仿宋" w:eastAsia="仿宋"/>
          <w:b/>
          <w:sz w:val="24"/>
          <w:szCs w:val="24"/>
        </w:rPr>
        <w:t>　　四、获取招标文件的方式、时间、地点及文件费用</w:t>
      </w:r>
    </w:p>
    <w:p>
      <w:pPr>
        <w:topLinePunct/>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1、持CA数字认证证书，登录</w:t>
      </w:r>
      <w:r>
        <w:fldChar w:fldCharType="begin"/>
      </w:r>
      <w:r>
        <w:instrText xml:space="preserve">HYPERLINK "http://221.14.6.70:8088/ggzy/eps/public/RegistAllJcxx.html"</w:instrText>
      </w:r>
      <w:r>
        <w:fldChar w:fldCharType="separate"/>
      </w:r>
      <w:r>
        <w:rPr>
          <w:rFonts w:hint="eastAsia" w:ascii="仿宋" w:hAnsi="仿宋" w:eastAsia="仿宋"/>
          <w:sz w:val="24"/>
          <w:szCs w:val="24"/>
        </w:rPr>
        <w:t>http://221.14.6.70:8088/ggzy/eps/public/RegistAllJcxx.html</w:t>
      </w:r>
      <w:r>
        <w:fldChar w:fldCharType="end"/>
      </w:r>
      <w:r>
        <w:rPr>
          <w:rFonts w:hint="eastAsia" w:ascii="仿宋" w:hAnsi="仿宋" w:eastAsia="仿宋"/>
          <w:sz w:val="24"/>
          <w:szCs w:val="24"/>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ascii="仿宋" w:hAnsi="仿宋" w:eastAsia="仿宋"/>
          <w:sz w:val="24"/>
          <w:szCs w:val="24"/>
        </w:rPr>
      </w:pPr>
      <w:r>
        <w:rPr>
          <w:rFonts w:hint="eastAsia" w:ascii="仿宋" w:hAnsi="仿宋" w:eastAsia="仿宋"/>
          <w:sz w:val="24"/>
          <w:szCs w:val="24"/>
        </w:rPr>
        <w:t>　2、在投标截止时间前登录</w:t>
      </w:r>
      <w:r>
        <w:fldChar w:fldCharType="begin"/>
      </w:r>
      <w:r>
        <w:instrText xml:space="preserve">HYPERLINK "http://221.14.6.70:8088/ggzy/"</w:instrText>
      </w:r>
      <w:r>
        <w:fldChar w:fldCharType="separate"/>
      </w:r>
      <w:r>
        <w:rPr>
          <w:rFonts w:hint="eastAsia" w:ascii="仿宋" w:hAnsi="仿宋" w:eastAsia="仿宋"/>
          <w:sz w:val="24"/>
          <w:szCs w:val="24"/>
        </w:rPr>
        <w:t>http://221.14.6.70:8088/ggzy/</w:t>
      </w:r>
      <w:r>
        <w:fldChar w:fldCharType="end"/>
      </w:r>
      <w:r>
        <w:rPr>
          <w:rFonts w:hint="eastAsia" w:ascii="仿宋" w:hAnsi="仿宋" w:eastAsia="仿宋"/>
          <w:sz w:val="24"/>
          <w:szCs w:val="24"/>
        </w:rPr>
        <w:t>，自行下载招标文件（详见全国公共资源交易平台（河南省·许昌市）“常见问题解答-交易系统操作手册”）。</w:t>
      </w:r>
    </w:p>
    <w:p>
      <w:pPr>
        <w:spacing w:line="440" w:lineRule="exact"/>
        <w:rPr>
          <w:rFonts w:ascii="仿宋" w:hAnsi="仿宋" w:eastAsia="仿宋"/>
          <w:sz w:val="24"/>
          <w:szCs w:val="24"/>
        </w:rPr>
      </w:pPr>
      <w:r>
        <w:rPr>
          <w:rFonts w:hint="eastAsia" w:ascii="仿宋" w:hAnsi="仿宋" w:eastAsia="仿宋"/>
          <w:sz w:val="24"/>
          <w:szCs w:val="24"/>
        </w:rPr>
        <w:t>　　3、未通过全国公共资源交易平台（河南省·许昌市）下载招标文件的投标企业，拒收其递交的投标文件。</w:t>
      </w:r>
    </w:p>
    <w:p>
      <w:pPr>
        <w:spacing w:line="440" w:lineRule="exact"/>
        <w:rPr>
          <w:rFonts w:ascii="仿宋" w:hAnsi="仿宋" w:eastAsia="仿宋"/>
          <w:sz w:val="24"/>
          <w:szCs w:val="24"/>
        </w:rPr>
      </w:pPr>
      <w:r>
        <w:rPr>
          <w:rFonts w:hint="eastAsia" w:ascii="仿宋" w:hAnsi="仿宋" w:eastAsia="仿宋"/>
          <w:sz w:val="24"/>
          <w:szCs w:val="24"/>
        </w:rPr>
        <w:t>　　4、招标文件每份售价人民币200元，于递交投标文件时缴纳给采购代理机构，售后不退。</w:t>
      </w:r>
    </w:p>
    <w:p>
      <w:pPr>
        <w:spacing w:line="460" w:lineRule="exact"/>
        <w:rPr>
          <w:rFonts w:ascii="仿宋" w:hAnsi="仿宋" w:eastAsia="仿宋"/>
          <w:b/>
          <w:sz w:val="24"/>
          <w:szCs w:val="24"/>
        </w:rPr>
      </w:pPr>
      <w:r>
        <w:rPr>
          <w:rFonts w:hint="eastAsia" w:ascii="仿宋" w:hAnsi="仿宋" w:eastAsia="仿宋"/>
          <w:b/>
          <w:sz w:val="24"/>
          <w:szCs w:val="24"/>
        </w:rPr>
        <w:t>　　五、投标截止时间、开标时间及地点：</w:t>
      </w:r>
    </w:p>
    <w:p>
      <w:pPr>
        <w:spacing w:line="460" w:lineRule="exact"/>
        <w:rPr>
          <w:rFonts w:ascii="仿宋" w:hAnsi="仿宋" w:eastAsia="仿宋"/>
          <w:sz w:val="24"/>
          <w:szCs w:val="24"/>
        </w:rPr>
      </w:pPr>
      <w:r>
        <w:rPr>
          <w:rFonts w:hint="eastAsia" w:ascii="仿宋" w:hAnsi="仿宋" w:eastAsia="仿宋"/>
          <w:sz w:val="24"/>
          <w:szCs w:val="24"/>
        </w:rPr>
        <w:t>　　1、投标截止及开标时间：2018年7月26日 9：00北京时间），逾期送达或不符合规定的投标文件不予接受。</w:t>
      </w:r>
    </w:p>
    <w:p>
      <w:pPr>
        <w:spacing w:line="460" w:lineRule="exact"/>
        <w:rPr>
          <w:rFonts w:ascii="仿宋" w:hAnsi="仿宋" w:eastAsia="仿宋"/>
          <w:sz w:val="24"/>
          <w:szCs w:val="24"/>
        </w:rPr>
      </w:pPr>
      <w:r>
        <w:rPr>
          <w:rFonts w:hint="eastAsia" w:ascii="仿宋" w:hAnsi="仿宋" w:eastAsia="仿宋"/>
          <w:sz w:val="24"/>
          <w:szCs w:val="24"/>
        </w:rPr>
        <w:t xml:space="preserve">　　2、开标地点：禹州市公共资源交易中心第二开标室（禹州市行政服务中心楼9楼） </w:t>
      </w:r>
    </w:p>
    <w:p>
      <w:pPr>
        <w:spacing w:line="460" w:lineRule="exact"/>
        <w:rPr>
          <w:rFonts w:ascii="仿宋" w:hAnsi="仿宋" w:eastAsia="仿宋"/>
          <w:b/>
          <w:sz w:val="24"/>
          <w:szCs w:val="24"/>
        </w:rPr>
      </w:pPr>
      <w:r>
        <w:rPr>
          <w:rFonts w:hint="eastAsia" w:ascii="仿宋" w:hAnsi="仿宋" w:eastAsia="仿宋"/>
          <w:b/>
          <w:sz w:val="24"/>
          <w:szCs w:val="24"/>
        </w:rPr>
        <w:t>　　六、代理机构及采购单位地址、联系人、联系电话</w:t>
      </w:r>
    </w:p>
    <w:p>
      <w:pPr>
        <w:spacing w:line="460" w:lineRule="exact"/>
        <w:rPr>
          <w:rFonts w:ascii="仿宋" w:hAnsi="仿宋" w:eastAsia="仿宋"/>
          <w:sz w:val="24"/>
          <w:szCs w:val="24"/>
        </w:rPr>
      </w:pPr>
      <w:r>
        <w:rPr>
          <w:rFonts w:hint="eastAsia" w:ascii="仿宋" w:hAnsi="仿宋" w:eastAsia="仿宋"/>
          <w:sz w:val="24"/>
          <w:szCs w:val="24"/>
        </w:rPr>
        <w:t>　（一）代理机构：禹州市政府采购中心</w:t>
      </w:r>
    </w:p>
    <w:p>
      <w:pPr>
        <w:spacing w:line="460" w:lineRule="exact"/>
        <w:rPr>
          <w:rFonts w:ascii="仿宋" w:hAnsi="仿宋" w:eastAsia="仿宋"/>
          <w:sz w:val="24"/>
          <w:szCs w:val="24"/>
        </w:rPr>
      </w:pPr>
      <w:r>
        <w:rPr>
          <w:rFonts w:hint="eastAsia" w:ascii="仿宋" w:hAnsi="仿宋" w:eastAsia="仿宋"/>
          <w:sz w:val="24"/>
          <w:szCs w:val="24"/>
        </w:rPr>
        <w:t>　　地址：禹州市行政服务中心楼917房间</w:t>
      </w:r>
    </w:p>
    <w:p>
      <w:pPr>
        <w:spacing w:line="460" w:lineRule="exact"/>
        <w:rPr>
          <w:rFonts w:ascii="仿宋" w:hAnsi="仿宋" w:eastAsia="仿宋"/>
          <w:sz w:val="24"/>
          <w:szCs w:val="24"/>
        </w:rPr>
      </w:pPr>
      <w:r>
        <w:rPr>
          <w:rFonts w:hint="eastAsia" w:ascii="仿宋" w:hAnsi="仿宋" w:eastAsia="仿宋"/>
          <w:sz w:val="24"/>
          <w:szCs w:val="24"/>
        </w:rPr>
        <w:t>联系人：侯女士  联系电话：0374-2077111</w:t>
      </w:r>
    </w:p>
    <w:p>
      <w:pPr>
        <w:numPr>
          <w:ilvl w:val="0"/>
          <w:numId w:val="3"/>
        </w:numPr>
        <w:spacing w:line="460" w:lineRule="exact"/>
        <w:rPr>
          <w:rFonts w:ascii="仿宋" w:hAnsi="仿宋" w:eastAsia="仿宋"/>
          <w:sz w:val="24"/>
          <w:szCs w:val="24"/>
        </w:rPr>
      </w:pPr>
      <w:r>
        <w:rPr>
          <w:rFonts w:hint="eastAsia" w:ascii="仿宋" w:hAnsi="仿宋" w:eastAsia="仿宋"/>
          <w:sz w:val="24"/>
          <w:szCs w:val="24"/>
        </w:rPr>
        <w:t>采购单位：禹州市人民政府</w:t>
      </w:r>
    </w:p>
    <w:p>
      <w:pPr>
        <w:spacing w:line="460" w:lineRule="exact"/>
        <w:ind w:firstLine="240" w:firstLineChars="100"/>
        <w:rPr>
          <w:rFonts w:ascii="仿宋" w:hAnsi="仿宋" w:eastAsia="仿宋"/>
          <w:sz w:val="24"/>
          <w:szCs w:val="24"/>
        </w:rPr>
      </w:pPr>
      <w:r>
        <w:rPr>
          <w:rFonts w:hint="eastAsia" w:ascii="仿宋" w:hAnsi="仿宋" w:eastAsia="仿宋"/>
          <w:sz w:val="24"/>
          <w:szCs w:val="24"/>
        </w:rPr>
        <w:t>地址：禹州市禹王大道</w:t>
      </w:r>
    </w:p>
    <w:p>
      <w:pPr>
        <w:spacing w:line="460" w:lineRule="exact"/>
        <w:rPr>
          <w:rFonts w:ascii="仿宋" w:hAnsi="仿宋" w:eastAsia="仿宋"/>
          <w:sz w:val="24"/>
          <w:szCs w:val="24"/>
        </w:rPr>
      </w:pPr>
      <w:r>
        <w:rPr>
          <w:rFonts w:hint="eastAsia" w:ascii="仿宋" w:hAnsi="仿宋" w:eastAsia="仿宋"/>
          <w:sz w:val="24"/>
          <w:szCs w:val="24"/>
        </w:rPr>
        <w:t xml:space="preserve">　联系人：岳先生   联系电话：0374-8279117　　　　　　　　　　　　　　       </w:t>
      </w:r>
    </w:p>
    <w:p>
      <w:pPr>
        <w:spacing w:line="460" w:lineRule="exact"/>
        <w:rPr>
          <w:rFonts w:ascii="仿宋" w:hAnsi="仿宋" w:eastAsia="仿宋"/>
          <w:sz w:val="24"/>
          <w:szCs w:val="24"/>
        </w:rPr>
      </w:pPr>
    </w:p>
    <w:p>
      <w:pPr>
        <w:spacing w:line="460" w:lineRule="exact"/>
        <w:ind w:firstLine="5280" w:firstLineChars="2200"/>
        <w:rPr>
          <w:rFonts w:ascii="仿宋" w:hAnsi="仿宋" w:eastAsia="仿宋"/>
          <w:sz w:val="24"/>
          <w:szCs w:val="24"/>
        </w:rPr>
      </w:pPr>
      <w:r>
        <w:rPr>
          <w:rFonts w:hint="eastAsia" w:ascii="仿宋" w:hAnsi="仿宋" w:eastAsia="仿宋"/>
          <w:sz w:val="24"/>
          <w:szCs w:val="24"/>
        </w:rPr>
        <w:t>2018年7月</w:t>
      </w:r>
      <w:r>
        <w:rPr>
          <w:rFonts w:hint="eastAsia" w:ascii="仿宋" w:hAnsi="仿宋" w:eastAsia="仿宋"/>
          <w:sz w:val="24"/>
          <w:szCs w:val="24"/>
          <w:lang w:val="en-US" w:eastAsia="zh-CN"/>
        </w:rPr>
        <w:t>5</w:t>
      </w:r>
      <w:r>
        <w:rPr>
          <w:rFonts w:hint="eastAsia" w:ascii="仿宋" w:hAnsi="仿宋" w:eastAsia="仿宋"/>
          <w:sz w:val="24"/>
          <w:szCs w:val="24"/>
        </w:rPr>
        <w:t>日</w:t>
      </w:r>
    </w:p>
    <w:p>
      <w:pPr>
        <w:spacing w:line="460" w:lineRule="exact"/>
        <w:jc w:val="left"/>
        <w:rPr>
          <w:rFonts w:ascii="仿宋" w:hAnsi="仿宋" w:eastAsia="仿宋"/>
          <w:sz w:val="32"/>
        </w:rPr>
      </w:pPr>
    </w:p>
    <w:p>
      <w:pPr>
        <w:spacing w:line="520" w:lineRule="exact"/>
        <w:textAlignment w:val="baseline"/>
        <w:rPr>
          <w:rFonts w:ascii="黑体" w:hAnsi="黑体" w:eastAsia="黑体" w:cs="黑体"/>
          <w:b/>
          <w:sz w:val="44"/>
          <w:szCs w:val="44"/>
        </w:rPr>
      </w:pPr>
    </w:p>
    <w:p>
      <w:pPr>
        <w:spacing w:line="360" w:lineRule="auto"/>
        <w:rPr>
          <w:rFonts w:ascii="仿宋" w:hAnsi="仿宋" w:eastAsia="仿宋" w:cs="仿宋"/>
          <w:b/>
          <w:sz w:val="24"/>
          <w:szCs w:val="24"/>
        </w:rPr>
      </w:pPr>
    </w:p>
    <w:p>
      <w:pPr>
        <w:spacing w:line="360" w:lineRule="auto"/>
        <w:ind w:firstLine="2650" w:firstLineChars="600"/>
        <w:rPr>
          <w:rFonts w:ascii="仿宋" w:hAnsi="仿宋" w:eastAsia="仿宋" w:cs="仿宋"/>
          <w:b/>
          <w:sz w:val="44"/>
          <w:szCs w:val="44"/>
        </w:rPr>
      </w:pPr>
    </w:p>
    <w:p>
      <w:pPr>
        <w:spacing w:line="360" w:lineRule="auto"/>
        <w:ind w:firstLine="2650" w:firstLineChars="600"/>
        <w:rPr>
          <w:rFonts w:ascii="仿宋" w:hAnsi="仿宋" w:eastAsia="仿宋" w:cs="仿宋"/>
          <w:b/>
          <w:sz w:val="44"/>
          <w:szCs w:val="44"/>
        </w:rPr>
      </w:pPr>
    </w:p>
    <w:p>
      <w:pPr>
        <w:spacing w:line="360" w:lineRule="auto"/>
        <w:ind w:firstLine="2650" w:firstLineChars="6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YZCG—G2018169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rPr>
              <w:t>禹州市人民政府办公室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60" w:lineRule="exact"/>
              <w:rPr>
                <w:rFonts w:ascii="仿宋" w:hAnsi="仿宋" w:eastAsia="仿宋"/>
                <w:color w:val="000000"/>
                <w:kern w:val="0"/>
                <w:sz w:val="24"/>
                <w:szCs w:val="24"/>
              </w:rPr>
            </w:pPr>
            <w:r>
              <w:rPr>
                <w:rFonts w:hint="eastAsia" w:ascii="仿宋" w:hAnsi="仿宋" w:eastAsia="仿宋"/>
                <w:sz w:val="24"/>
                <w:szCs w:val="24"/>
              </w:rPr>
              <w:t>禹州市人民政府电子政务办公室电子政务外网互联网+政务服务项目项目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叁万元整</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2018年7月26日9：00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注：投标人须提供电子版投标文件一份，单独密封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spacing w:line="440" w:lineRule="exact"/>
              <w:ind w:firstLine="0"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7</w:t>
            </w:r>
            <w:r>
              <w:rPr>
                <w:rFonts w:hint="eastAsia" w:ascii="仿宋" w:hAnsi="仿宋" w:eastAsia="仿宋"/>
                <w:color w:val="FF0000"/>
                <w:sz w:val="24"/>
                <w:szCs w:val="24"/>
                <w:lang w:val="zh-CN"/>
              </w:rPr>
              <w:t>月</w:t>
            </w:r>
            <w:r>
              <w:rPr>
                <w:rFonts w:hint="eastAsia" w:ascii="仿宋" w:hAnsi="仿宋" w:eastAsia="仿宋"/>
                <w:color w:val="FF0000"/>
                <w:sz w:val="24"/>
                <w:szCs w:val="24"/>
              </w:rPr>
              <w:t>26</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7</w:t>
            </w:r>
            <w:r>
              <w:rPr>
                <w:rFonts w:hint="eastAsia" w:ascii="仿宋" w:hAnsi="仿宋" w:eastAsia="仿宋"/>
                <w:color w:val="FF0000"/>
                <w:sz w:val="24"/>
                <w:szCs w:val="24"/>
                <w:lang w:val="zh-CN"/>
              </w:rPr>
              <w:t>月</w:t>
            </w:r>
            <w:r>
              <w:rPr>
                <w:rFonts w:hint="eastAsia" w:ascii="仿宋" w:hAnsi="仿宋" w:eastAsia="仿宋"/>
                <w:color w:val="FF0000"/>
                <w:sz w:val="24"/>
                <w:szCs w:val="24"/>
              </w:rPr>
              <w:t>26</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w:t>
            </w:r>
            <w:r>
              <w:rPr>
                <w:rFonts w:hint="eastAsia" w:ascii="仿宋" w:hAnsi="仿宋" w:eastAsia="仿宋"/>
                <w:b/>
                <w:bCs/>
                <w:sz w:val="24"/>
                <w:szCs w:val="24"/>
              </w:rPr>
              <w:t>182.4万元。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5.1.8合同书（参考样本)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5"/>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6"/>
        </w:numPr>
        <w:spacing w:line="440" w:lineRule="exact"/>
        <w:ind w:firstLine="1533" w:firstLineChars="347"/>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numPr>
          <w:ilvl w:val="0"/>
          <w:numId w:val="7"/>
        </w:numPr>
        <w:spacing w:line="440" w:lineRule="exact"/>
        <w:ind w:firstLine="1325" w:firstLineChars="300"/>
        <w:rPr>
          <w:rFonts w:ascii="仿宋" w:hAnsi="仿宋" w:eastAsia="仿宋"/>
          <w:b/>
          <w:sz w:val="44"/>
        </w:rPr>
      </w:pPr>
      <w:r>
        <w:rPr>
          <w:rFonts w:hint="eastAsia" w:ascii="仿宋" w:hAnsi="仿宋" w:eastAsia="仿宋"/>
          <w:b/>
          <w:sz w:val="44"/>
        </w:rPr>
        <w:t xml:space="preserve">  采购内容及其他要求</w:t>
      </w:r>
    </w:p>
    <w:p>
      <w:pPr>
        <w:widowControl/>
        <w:spacing w:line="440" w:lineRule="exact"/>
        <w:rPr>
          <w:rFonts w:ascii="仿宋" w:hAnsi="仿宋" w:eastAsia="仿宋"/>
          <w:b/>
          <w:sz w:val="44"/>
        </w:rPr>
      </w:pPr>
    </w:p>
    <w:p>
      <w:pPr>
        <w:widowControl/>
        <w:numPr>
          <w:ilvl w:val="0"/>
          <w:numId w:val="8"/>
        </w:numPr>
        <w:spacing w:line="440" w:lineRule="exact"/>
        <w:rPr>
          <w:rFonts w:ascii="仿宋" w:hAnsi="仿宋" w:eastAsia="仿宋" w:cs="仿宋"/>
          <w:b/>
          <w:sz w:val="24"/>
          <w:szCs w:val="24"/>
        </w:rPr>
      </w:pPr>
      <w:r>
        <w:rPr>
          <w:rFonts w:hint="eastAsia" w:ascii="仿宋" w:hAnsi="仿宋" w:eastAsia="仿宋" w:cs="仿宋"/>
          <w:b/>
          <w:sz w:val="24"/>
          <w:szCs w:val="24"/>
        </w:rPr>
        <w:t>采购内容及其它要求：</w:t>
      </w:r>
    </w:p>
    <w:p>
      <w:pPr>
        <w:widowControl/>
        <w:spacing w:line="440" w:lineRule="exact"/>
        <w:rPr>
          <w:rFonts w:ascii="仿宋" w:hAnsi="仿宋" w:eastAsia="仿宋"/>
          <w:b/>
          <w:sz w:val="44"/>
        </w:rPr>
      </w:pPr>
    </w:p>
    <w:tbl>
      <w:tblPr>
        <w:tblStyle w:val="36"/>
        <w:tblW w:w="8545" w:type="dxa"/>
        <w:tblInd w:w="0" w:type="dxa"/>
        <w:tblLayout w:type="fixed"/>
        <w:tblCellMar>
          <w:top w:w="0" w:type="dxa"/>
          <w:left w:w="108" w:type="dxa"/>
          <w:bottom w:w="0" w:type="dxa"/>
          <w:right w:w="108" w:type="dxa"/>
        </w:tblCellMar>
      </w:tblPr>
      <w:tblGrid>
        <w:gridCol w:w="1139"/>
        <w:gridCol w:w="3659"/>
        <w:gridCol w:w="1007"/>
        <w:gridCol w:w="1371"/>
        <w:gridCol w:w="1369"/>
      </w:tblGrid>
      <w:tr>
        <w:tblPrEx>
          <w:tblLayout w:type="fixed"/>
          <w:tblCellMar>
            <w:top w:w="0" w:type="dxa"/>
            <w:left w:w="108" w:type="dxa"/>
            <w:bottom w:w="0" w:type="dxa"/>
            <w:right w:w="108" w:type="dxa"/>
          </w:tblCellMar>
        </w:tblPrEx>
        <w:trPr>
          <w:trHeight w:val="346" w:hRule="atLeast"/>
        </w:trPr>
        <w:tc>
          <w:tcPr>
            <w:tcW w:w="1139" w:type="dxa"/>
            <w:tcBorders>
              <w:top w:val="single" w:color="auto" w:sz="4" w:space="0"/>
              <w:left w:val="single" w:color="auto" w:sz="4" w:space="0"/>
              <w:bottom w:val="single" w:color="auto" w:sz="4" w:space="0"/>
              <w:right w:val="single" w:color="auto" w:sz="4" w:space="0"/>
            </w:tcBorders>
            <w:shd w:val="clear" w:color="000000" w:fill="DCE6F1"/>
            <w:vAlign w:val="center"/>
          </w:tcPr>
          <w:p>
            <w:pPr>
              <w:spacing w:line="400" w:lineRule="exact"/>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3659" w:type="dxa"/>
            <w:tcBorders>
              <w:top w:val="single" w:color="auto" w:sz="4" w:space="0"/>
              <w:left w:val="nil"/>
              <w:bottom w:val="single" w:color="auto" w:sz="4" w:space="0"/>
              <w:right w:val="single" w:color="auto" w:sz="4" w:space="0"/>
            </w:tcBorders>
            <w:shd w:val="clear" w:color="000000" w:fill="DCE6F1"/>
            <w:vAlign w:val="center"/>
          </w:tcPr>
          <w:p>
            <w:pPr>
              <w:spacing w:line="400" w:lineRule="exact"/>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1007" w:type="dxa"/>
            <w:tcBorders>
              <w:top w:val="single" w:color="auto" w:sz="4" w:space="0"/>
              <w:left w:val="nil"/>
              <w:bottom w:val="single" w:color="auto" w:sz="4" w:space="0"/>
              <w:right w:val="single" w:color="auto" w:sz="4" w:space="0"/>
            </w:tcBorders>
            <w:shd w:val="clear" w:color="000000" w:fill="DCE6F1"/>
            <w:vAlign w:val="center"/>
          </w:tcPr>
          <w:p>
            <w:pPr>
              <w:spacing w:line="400" w:lineRule="exact"/>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单位</w:t>
            </w:r>
          </w:p>
        </w:tc>
        <w:tc>
          <w:tcPr>
            <w:tcW w:w="1371" w:type="dxa"/>
            <w:tcBorders>
              <w:top w:val="single" w:color="auto" w:sz="4" w:space="0"/>
              <w:left w:val="nil"/>
              <w:bottom w:val="single" w:color="auto" w:sz="4" w:space="0"/>
              <w:right w:val="single" w:color="auto" w:sz="4" w:space="0"/>
            </w:tcBorders>
            <w:shd w:val="clear" w:color="000000" w:fill="DCE6F1"/>
            <w:vAlign w:val="center"/>
          </w:tcPr>
          <w:p>
            <w:pPr>
              <w:spacing w:line="400" w:lineRule="exact"/>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1369" w:type="dxa"/>
            <w:tcBorders>
              <w:top w:val="single" w:color="auto" w:sz="4" w:space="0"/>
              <w:left w:val="nil"/>
              <w:bottom w:val="single" w:color="auto" w:sz="4" w:space="0"/>
              <w:right w:val="single" w:color="auto" w:sz="4" w:space="0"/>
            </w:tcBorders>
            <w:shd w:val="clear" w:color="000000" w:fill="DCE6F1"/>
            <w:vAlign w:val="center"/>
          </w:tcPr>
          <w:p>
            <w:pPr>
              <w:spacing w:line="400" w:lineRule="exact"/>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备注</w:t>
            </w:r>
          </w:p>
        </w:tc>
      </w:tr>
      <w:tr>
        <w:tblPrEx>
          <w:tblLayout w:type="fixed"/>
          <w:tblCellMar>
            <w:top w:w="0" w:type="dxa"/>
            <w:left w:w="108" w:type="dxa"/>
            <w:bottom w:w="0" w:type="dxa"/>
            <w:right w:w="108" w:type="dxa"/>
          </w:tblCellMar>
        </w:tblPrEx>
        <w:trPr>
          <w:trHeight w:val="2928" w:hRule="atLeast"/>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65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光缆线路铺设</w:t>
            </w:r>
          </w:p>
        </w:tc>
        <w:tc>
          <w:tcPr>
            <w:tcW w:w="10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KM</w:t>
            </w:r>
          </w:p>
        </w:tc>
        <w:tc>
          <w:tcPr>
            <w:tcW w:w="137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151</w:t>
            </w:r>
          </w:p>
        </w:tc>
        <w:tc>
          <w:tcPr>
            <w:tcW w:w="1369" w:type="dxa"/>
            <w:tcBorders>
              <w:top w:val="nil"/>
              <w:left w:val="nil"/>
              <w:bottom w:val="single" w:color="auto" w:sz="4" w:space="0"/>
              <w:right w:val="single" w:color="auto" w:sz="4" w:space="0"/>
            </w:tcBorders>
            <w:vAlign w:val="center"/>
          </w:tcPr>
          <w:p>
            <w:pPr>
              <w:spacing w:line="300" w:lineRule="exact"/>
              <w:rPr>
                <w:rFonts w:ascii="仿宋" w:hAnsi="仿宋" w:eastAsia="仿宋" w:cs="仿宋"/>
                <w:color w:val="000000"/>
                <w:sz w:val="24"/>
                <w:szCs w:val="24"/>
              </w:rPr>
            </w:pPr>
            <w:r>
              <w:rPr>
                <w:rFonts w:hint="eastAsia" w:ascii="仿宋" w:hAnsi="仿宋" w:eastAsia="仿宋" w:cs="仿宋"/>
                <w:color w:val="000000"/>
                <w:sz w:val="24"/>
                <w:szCs w:val="24"/>
              </w:rPr>
              <w:t>要求为国标全新12芯光缆，此距离与实际布线距离有出入，请根据实际做好预算。</w:t>
            </w:r>
          </w:p>
        </w:tc>
      </w:tr>
      <w:tr>
        <w:tblPrEx>
          <w:tblLayout w:type="fixed"/>
          <w:tblCellMar>
            <w:top w:w="0" w:type="dxa"/>
            <w:left w:w="108" w:type="dxa"/>
            <w:bottom w:w="0" w:type="dxa"/>
            <w:right w:w="108" w:type="dxa"/>
          </w:tblCellMar>
        </w:tblPrEx>
        <w:trPr>
          <w:trHeight w:val="949" w:hRule="atLeast"/>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365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机柜</w:t>
            </w:r>
          </w:p>
        </w:tc>
        <w:tc>
          <w:tcPr>
            <w:tcW w:w="10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137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26</w:t>
            </w:r>
          </w:p>
        </w:tc>
        <w:tc>
          <w:tcPr>
            <w:tcW w:w="1369" w:type="dxa"/>
            <w:tcBorders>
              <w:top w:val="nil"/>
              <w:left w:val="nil"/>
              <w:bottom w:val="single" w:color="auto" w:sz="4" w:space="0"/>
              <w:right w:val="single" w:color="auto" w:sz="4" w:space="0"/>
            </w:tcBorders>
            <w:vAlign w:val="center"/>
          </w:tcPr>
          <w:p>
            <w:pPr>
              <w:spacing w:line="400" w:lineRule="exact"/>
              <w:jc w:val="center"/>
              <w:rPr>
                <w:rFonts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949" w:hRule="atLeast"/>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365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光交箱</w:t>
            </w:r>
          </w:p>
        </w:tc>
        <w:tc>
          <w:tcPr>
            <w:tcW w:w="10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个</w:t>
            </w:r>
          </w:p>
        </w:tc>
        <w:tc>
          <w:tcPr>
            <w:tcW w:w="137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26</w:t>
            </w:r>
          </w:p>
        </w:tc>
        <w:tc>
          <w:tcPr>
            <w:tcW w:w="1369" w:type="dxa"/>
            <w:tcBorders>
              <w:top w:val="nil"/>
              <w:left w:val="nil"/>
              <w:bottom w:val="single" w:color="auto" w:sz="4" w:space="0"/>
              <w:right w:val="single" w:color="auto" w:sz="4" w:space="0"/>
            </w:tcBorders>
            <w:vAlign w:val="center"/>
          </w:tcPr>
          <w:p>
            <w:pPr>
              <w:spacing w:line="400" w:lineRule="exact"/>
              <w:jc w:val="center"/>
              <w:rPr>
                <w:rFonts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949" w:hRule="atLeast"/>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365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20KM光模块</w:t>
            </w:r>
          </w:p>
        </w:tc>
        <w:tc>
          <w:tcPr>
            <w:tcW w:w="10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个</w:t>
            </w:r>
          </w:p>
        </w:tc>
        <w:tc>
          <w:tcPr>
            <w:tcW w:w="137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98</w:t>
            </w:r>
          </w:p>
        </w:tc>
        <w:tc>
          <w:tcPr>
            <w:tcW w:w="1369" w:type="dxa"/>
            <w:tcBorders>
              <w:top w:val="nil"/>
              <w:left w:val="nil"/>
              <w:bottom w:val="single" w:color="auto" w:sz="4" w:space="0"/>
              <w:right w:val="single" w:color="auto" w:sz="4" w:space="0"/>
            </w:tcBorders>
            <w:vAlign w:val="center"/>
          </w:tcPr>
          <w:p>
            <w:pPr>
              <w:spacing w:line="400" w:lineRule="exact"/>
              <w:jc w:val="center"/>
              <w:rPr>
                <w:rFonts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949" w:hRule="atLeast"/>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365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24口全光交换机</w:t>
            </w:r>
          </w:p>
        </w:tc>
        <w:tc>
          <w:tcPr>
            <w:tcW w:w="10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137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26</w:t>
            </w:r>
          </w:p>
        </w:tc>
        <w:tc>
          <w:tcPr>
            <w:tcW w:w="1369" w:type="dxa"/>
            <w:tcBorders>
              <w:top w:val="nil"/>
              <w:left w:val="nil"/>
              <w:bottom w:val="single" w:color="auto" w:sz="4" w:space="0"/>
              <w:right w:val="single" w:color="auto" w:sz="4" w:space="0"/>
            </w:tcBorders>
            <w:vAlign w:val="center"/>
          </w:tcPr>
          <w:p>
            <w:pPr>
              <w:spacing w:line="400" w:lineRule="exact"/>
              <w:jc w:val="center"/>
              <w:rPr>
                <w:rFonts w:ascii="仿宋" w:hAnsi="仿宋" w:eastAsia="仿宋" w:cs="仿宋"/>
                <w:color w:val="000000"/>
                <w:sz w:val="24"/>
                <w:szCs w:val="24"/>
              </w:rPr>
            </w:pPr>
          </w:p>
        </w:tc>
      </w:tr>
      <w:tr>
        <w:tblPrEx>
          <w:tblLayout w:type="fixed"/>
          <w:tblCellMar>
            <w:top w:w="0" w:type="dxa"/>
            <w:left w:w="108" w:type="dxa"/>
            <w:bottom w:w="0" w:type="dxa"/>
            <w:right w:w="108" w:type="dxa"/>
          </w:tblCellMar>
        </w:tblPrEx>
        <w:trPr>
          <w:trHeight w:val="949" w:hRule="atLeast"/>
        </w:trPr>
        <w:tc>
          <w:tcPr>
            <w:tcW w:w="1139"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365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带光口8口交换机</w:t>
            </w:r>
          </w:p>
        </w:tc>
        <w:tc>
          <w:tcPr>
            <w:tcW w:w="100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137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72</w:t>
            </w:r>
          </w:p>
        </w:tc>
        <w:tc>
          <w:tcPr>
            <w:tcW w:w="1369" w:type="dxa"/>
            <w:tcBorders>
              <w:top w:val="nil"/>
              <w:left w:val="nil"/>
              <w:bottom w:val="single" w:color="auto" w:sz="4" w:space="0"/>
              <w:right w:val="single" w:color="auto" w:sz="4" w:space="0"/>
            </w:tcBorders>
            <w:vAlign w:val="center"/>
          </w:tcPr>
          <w:p>
            <w:pPr>
              <w:spacing w:line="400" w:lineRule="exact"/>
              <w:jc w:val="center"/>
              <w:rPr>
                <w:rFonts w:ascii="仿宋" w:hAnsi="仿宋" w:eastAsia="仿宋" w:cs="仿宋"/>
                <w:color w:val="000000"/>
                <w:sz w:val="24"/>
                <w:szCs w:val="24"/>
              </w:rPr>
            </w:pPr>
          </w:p>
        </w:tc>
      </w:tr>
    </w:tbl>
    <w:p>
      <w:pPr>
        <w:rPr>
          <w:rFonts w:ascii="仿宋" w:hAnsi="仿宋" w:eastAsia="仿宋" w:cs="仿宋"/>
          <w:color w:val="000000"/>
          <w:sz w:val="24"/>
          <w:szCs w:val="24"/>
        </w:rPr>
      </w:pP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二、工程概况</w:t>
      </w:r>
    </w:p>
    <w:p>
      <w:pPr>
        <w:spacing w:line="360" w:lineRule="auto"/>
        <w:ind w:firstLine="482" w:firstLineChars="200"/>
        <w:rPr>
          <w:rFonts w:ascii="仿宋" w:hAnsi="仿宋" w:eastAsia="仿宋" w:cs="仿宋"/>
          <w:color w:val="000000"/>
          <w:sz w:val="24"/>
          <w:szCs w:val="24"/>
        </w:rPr>
      </w:pPr>
      <w:r>
        <w:rPr>
          <w:rFonts w:hint="eastAsia" w:ascii="仿宋" w:hAnsi="仿宋" w:eastAsia="仿宋" w:cs="仿宋"/>
          <w:b/>
          <w:color w:val="000000"/>
          <w:sz w:val="24"/>
          <w:szCs w:val="24"/>
        </w:rPr>
        <w:t>1.工程名称：</w:t>
      </w:r>
      <w:r>
        <w:rPr>
          <w:rFonts w:hint="eastAsia" w:ascii="仿宋" w:hAnsi="仿宋" w:eastAsia="仿宋" w:cs="仿宋"/>
          <w:color w:val="000000"/>
          <w:sz w:val="24"/>
          <w:szCs w:val="24"/>
        </w:rPr>
        <w:t>禹州市人民政府电子政务办公室电子政务外网乡镇办“互联网+政务服务”试点村、社区光纤线路铺设工程</w:t>
      </w:r>
    </w:p>
    <w:p>
      <w:pPr>
        <w:spacing w:line="360" w:lineRule="auto"/>
        <w:ind w:firstLine="482" w:firstLineChars="200"/>
        <w:rPr>
          <w:rFonts w:ascii="仿宋" w:hAnsi="仿宋" w:eastAsia="仿宋" w:cs="仿宋"/>
          <w:color w:val="000000"/>
          <w:sz w:val="24"/>
          <w:szCs w:val="24"/>
        </w:rPr>
      </w:pPr>
      <w:r>
        <w:rPr>
          <w:rFonts w:hint="eastAsia" w:ascii="仿宋" w:hAnsi="仿宋" w:eastAsia="仿宋" w:cs="仿宋"/>
          <w:b/>
          <w:color w:val="000000"/>
          <w:sz w:val="24"/>
          <w:szCs w:val="24"/>
        </w:rPr>
        <w:t>2.工程地点：</w:t>
      </w:r>
      <w:r>
        <w:rPr>
          <w:rFonts w:hint="eastAsia" w:ascii="仿宋" w:hAnsi="仿宋" w:eastAsia="仿宋" w:cs="仿宋"/>
          <w:color w:val="000000"/>
          <w:sz w:val="24"/>
          <w:szCs w:val="24"/>
        </w:rPr>
        <w:t>禹州市</w:t>
      </w:r>
    </w:p>
    <w:p>
      <w:pPr>
        <w:spacing w:line="360" w:lineRule="auto"/>
        <w:ind w:firstLine="482" w:firstLineChars="200"/>
        <w:rPr>
          <w:rFonts w:ascii="仿宋" w:hAnsi="仿宋" w:eastAsia="仿宋" w:cs="仿宋"/>
          <w:color w:val="000000"/>
          <w:sz w:val="24"/>
          <w:szCs w:val="24"/>
        </w:rPr>
      </w:pPr>
      <w:r>
        <w:rPr>
          <w:rFonts w:hint="eastAsia" w:ascii="仿宋" w:hAnsi="仿宋" w:eastAsia="仿宋" w:cs="仿宋"/>
          <w:b/>
          <w:color w:val="000000"/>
          <w:sz w:val="24"/>
          <w:szCs w:val="24"/>
        </w:rPr>
        <w:t>3.工程内容：</w:t>
      </w:r>
      <w:r>
        <w:rPr>
          <w:rFonts w:hint="eastAsia" w:ascii="仿宋" w:hAnsi="仿宋" w:eastAsia="仿宋" w:cs="仿宋"/>
          <w:color w:val="000000"/>
          <w:sz w:val="24"/>
          <w:szCs w:val="24"/>
        </w:rPr>
        <w:t>22个乡镇政府到试点村及便民服务中心、市内4个街道办事处到便民服务中心及24个社区的光纤线路铺设、两端设备的安装及其他</w:t>
      </w:r>
    </w:p>
    <w:p>
      <w:pPr>
        <w:spacing w:line="360" w:lineRule="auto"/>
        <w:ind w:firstLine="482" w:firstLineChars="200"/>
        <w:rPr>
          <w:rFonts w:ascii="仿宋" w:hAnsi="仿宋" w:eastAsia="仿宋" w:cs="仿宋"/>
          <w:color w:val="000000"/>
          <w:sz w:val="24"/>
          <w:szCs w:val="24"/>
        </w:rPr>
      </w:pPr>
      <w:r>
        <w:rPr>
          <w:rFonts w:hint="eastAsia" w:ascii="仿宋" w:hAnsi="仿宋" w:eastAsia="仿宋" w:cs="仿宋"/>
          <w:b/>
          <w:color w:val="000000"/>
          <w:sz w:val="24"/>
          <w:szCs w:val="24"/>
        </w:rPr>
        <w:t>4.工程期限：</w:t>
      </w:r>
      <w:r>
        <w:rPr>
          <w:rFonts w:hint="eastAsia" w:ascii="仿宋" w:hAnsi="仿宋" w:eastAsia="仿宋" w:cs="仿宋"/>
          <w:color w:val="000000"/>
          <w:sz w:val="24"/>
          <w:szCs w:val="24"/>
        </w:rPr>
        <w:t>30天</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三、施工要求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工程工期紧，质量要求高，为保证优良的工程质量，投标方应制定施工方案、在施工管理、劳动力组织、施工进度计划控制、技术实施、安全和工期的保证措施、文明施工及工程质量保证措施等方面，做科学性和可行性考虑，力求具体、实用、针对性。</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中标方应严格按照制定的施工方案指导施工，围绕质量、工期和安全这三大目标有序施工。</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施工时要有专人指挥，施工作业人员应穿工作服，工作鞋、戴安全帽、手套等防护用品。</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光缆使用国标全新12芯光纤进行敷设，光缆敷设前应按长度、环境条件和设计要求进行配盘，选择合适的接头位置，配盘尽量按整盘配置，减少断缆，光缆的接头位置安排应合理。光缆敷设时，其弯曲半径、预留长度、位置等应符合设计要求和相关技术标准的规定。使用机械牵引时，牵引最大速度应为15m/min；牵引力不应超过光缆最大允许张力的80%，且主要牵引力应作用在光缆加强芯上。</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施工中光缆外护层（套）不得有破损，接头处密封良好。</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四、管道光缆敷设要求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1、管道光缆占用的管孔，应靠近管孔群两侧优先选用；同一光缆占用各段管道的管孔位置应保持不变。当管道空余管孔不具备上述条件时，亦应占用管孔群中同一侧的管孔。</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2、管道光缆住人（手）孔内应紧靠人（手）孔壁，并用尼龙扎带拥绑在电缆托架上，人（手）孔内光缆应排放整齐，禁止出现交叉现象。</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3、光缆在管孔内不得有接头，不得在人孔中间直接穿过。光缆接头应放在人孔铁架上予以固定保护。</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4、完成敷设工作后，应检查人孔中的敷设余量和弯曲半备，指标应满足设计要求和相关技术标准的规定，管孔进出口应封堵严密。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5、光缆在吹缆前应进行管道保气及导通试验，确认管道无破损测气或扭伤，无混土等污物后方可吹输。</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五、架空光缆敷设要求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如需架设电杆，电杆洞深应根据电杆的类别、现场的土质以及施工所在地的土质决定，洞深应满足设计要求及相关技术标准的规定以确保立杆质量。架空光缆的杆距一般应为40米，设计有具体规定应遵照设计要求。杆路建筑方式、吊线、拉线等技术要求应满足设计要求和相关技术标准的规定。</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2、为确保光缆施工质量，宜采用人力牵引吊上挂设法进行敷设，当地形条件不允许时可采用机械牵引挂设法。</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3、架空光缆与电力导线及其他设施的最小距离及防护措施应符合设计要求及相关技术标准的规定。</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架空光缆每根电杆处均应作伸缩弯，以防止光纤热胀冷缩，每隔一定距离在电杆上盘留余留缆，以备光缆维修使用。架空光缆引上电杆时，杆下部分要用钢管保护，吊上部位应留有伸缩弯，以防光缆被损伤及气候变化的影响。</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5、光缆接头余留长度遵设计要求，余留应榄成圆图后报扎在杆上。</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六、光缆接续技术要求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1、光缆接续前，首先核对光缆接头的位置、光缆端别等，根据接头余留长度要求留足光缆再截断光缆头，</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2、管道光缆接头及余留宜安装在人孔壁上或置于光缆托板间人孔内较高位置上。</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3、架空光缆接头一般应安装在电杆位置，两侧应做伸缩弯，接头余留应盘成圆圈后据扎在杆上。</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4、光缆接头的编号以一个中继段为单位自上行往下行方向顺序编号，光缆接头标桩应埋设的接头盒正上方。</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5、光纤熔接使用熔接机应严格遵守厂家使用说明及要求。每根光纤护套、涂层的去除，油膏的擦拭清洗，光纤端面的制备，光纤熔接，热缩管保护等作业应规范，同时应连续完成，不得任意中断。</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6、光纤接续后应采用OTDR进行监测；熔接合格后的光纤接续部位应立即进行热缩加强管的保护，加强管收缩应均匀、无气泡。</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7、光缆接头盒应符合设计要求，一般应采用机械装配密封式接头盒或封粘式连接装置。接头盒应具有良好的密封性、机械强度、耐腐蚀性，接头盒安装后要确保接头盒的密封。</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8、接头盒的装配应按照接头盒出厂说明书进行。接续完成后，盒内应放入接续卡一份，另一份妥善保管。接续卡填写的光纤接续损耗应为OTDR监测值。</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9、光缆的金属加强件和外护套的连接方式应符合设计要求，一般情况下做悬浮处理，即两侧断开绝缘。</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10、光缆进入管道入口处使用井口滑轮，入管处利用相应管口护瓦等防护措施进行</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11、光缆倒放时防止光缆打背扣，禁止踩蹋，重压或在地上拖拉光缆。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12、光缆敷设完毕后，由人工将每个直通人孔内的余缆沿人孔壁放置在规定的光缆支架上，用尼龙扎带等进行固定，固定时用力应轻，防止损伤光缆。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13、人孔内的光缆接头，在未接续前用防水胶带包好，并盘留丁电缆支架上固定牢固。</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14、在每个人（手）孔内光缆均应挂牌标识，光缆标识牌应防水，防老化。</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七、安全要求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1、针对光缆施工特点，制定安全保障措施；开工前进行必要的安全培训，并进行安全考试，考试合格后方可上岗作业。</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2、光缆沟或管道沟开挖前，要探明径路上的既有缆线及设施，对已探明存在既有线及设施的区段，严禁使用机械、尖销及其它尖锐器械大力开挖，同时要请相关产权单位派人到施工现场进行配合。</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3、在公路或铁路沿线进行光缆施工时，应采取安全措施措施保证施工人员安全及铁路设施的安全，防止挖沟损坏公路或铁路路基及信号设备，应预先考虑堆土场地，防止堆土危及行车安全。</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在有行人及车辆通过的地方施工时，要在人孔、沟坑边沿、顶管基坑边沿等危险部位，设置明显的安全警示标志，安全警示标志必须符合国家标准，以保证路过行人及车辆的安全。对于市区内等特殊地段管道线路施工要针对实际情况采取相应的安全防护措施。</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5、气吹敷缆时，吹缆机操作人员必须按章操作，以确保人员、设备、光缆的安全；在管道的对端必须设专人进行防护，管道两端人员要保持通信联络畅通，防止吹缆过程中气吹头、试通棒等物吹出伤人。</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光缆吊挂施工，进行立杆作业及高空、高处作业时，施工人员应严格按照施工规范及方案要求进行施工，现场周围应设置安全区域，并有专人防护。敷设承力索及光缆时，应有专人指挥，不能影响交通，要安全有序地进行。</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7、在人孔、无人站进行光缆接续，进入前应先进行开门（开盖）通风，未经通风不得入内。施工中有异常感觉立即撤离。进入后，外面应是安全标志或专人防护。</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8、工程施工车辆机具都必须经过检查合格，机械操作人员和车辆驾驶人员必须是取得相应的资格证。</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八、环保要求</w:t>
      </w:r>
    </w:p>
    <w:p>
      <w:pPr>
        <w:spacing w:line="360" w:lineRule="auto"/>
        <w:ind w:firstLine="480" w:firstLineChars="200"/>
        <w:rPr>
          <w:rFonts w:ascii="仿宋" w:hAnsi="仿宋" w:eastAsia="仿宋" w:cs="仿宋"/>
          <w:b/>
          <w:color w:val="000000"/>
          <w:sz w:val="24"/>
          <w:szCs w:val="24"/>
        </w:rPr>
      </w:pPr>
      <w:r>
        <w:rPr>
          <w:rFonts w:hint="eastAsia" w:ascii="仿宋" w:hAnsi="仿宋" w:eastAsia="仿宋" w:cs="仿宋"/>
          <w:color w:val="000000"/>
          <w:sz w:val="24"/>
          <w:szCs w:val="24"/>
        </w:rPr>
        <w:t>施工人员应文明施工，禁止对周围环境造成污染和破坏，施工方案应制定管理规定并按项目特点制定相关的环境保护措施，并对作业现场实施监督检查。严格控制施工作业带的宽度，施工机具和人员必须在限定的作业范围内活动；作业带内有植被或树木时，应尽量减小作业带的宽度；加强对施工现场植被的保护，禁止在河流中冲洗设备，避免污染水源，禁止在林区、待收割的田地吸烟等行为。</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通信光缆工程点多线长，施工前要与沿线相关部门及单位取得联系，办理相关手续。应制定相应的保护措施，减少施工污染，保护好生态环境。施工人员遵守当地风俗习惯、施工现场的规章制度，保证施工现场的良好秩序和环境卫生。</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2、光缆开盖卸下的包装物，光缆检验测试的下脚料、废弃物，测试仪表使用过的废旧电池，标示、警示牌刷漆剩余油漆等都要统一收集，集中处理，避免乱扔乱放。</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在市区范围内进行光缆管道施工，要在指定的地点堆放材料，及时清运挖出的管道沟土，并采取措施防止尘土飞扬、洒落等。挖沟时尽量减少对草坪、花坛、花草树木等的破坏，施工完成后要将破坏的部分进行修复，收工后施工现场清扫干净。</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4、修建光缆管道和人孔排出的积水，应引至下水道、排水沟或其他不影响交通和环境的地方，不能随意排放。</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5、开挖水泥地面使用切割机工作时应接水源进行防尘，应降低噪声和废气排放量，施工完毕后路面应恢复原始路面。</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6、光缆或管道沟开挖过程中如发现文物、古迹、爆炸物等，应当停止施工，对现场进行保护，及时报告给有关部门，按规定处理后再继续施工。</w:t>
      </w:r>
    </w:p>
    <w:p>
      <w:pPr>
        <w:jc w:val="center"/>
        <w:rPr>
          <w:rFonts w:ascii="仿宋" w:hAnsi="仿宋" w:eastAsia="仿宋" w:cs="仿宋"/>
          <w:color w:val="000000"/>
          <w:sz w:val="24"/>
          <w:szCs w:val="24"/>
          <w:lang w:val="zh-CN"/>
        </w:rPr>
      </w:pPr>
    </w:p>
    <w:p>
      <w:pPr>
        <w:rPr>
          <w:rFonts w:ascii="仿宋" w:hAnsi="仿宋" w:eastAsia="仿宋" w:cs="仿宋"/>
          <w:color w:val="000000"/>
          <w:sz w:val="24"/>
          <w:szCs w:val="24"/>
          <w:lang w:val="zh-CN"/>
        </w:rPr>
      </w:pPr>
      <w:r>
        <w:rPr>
          <w:rFonts w:hint="eastAsia" w:ascii="仿宋" w:hAnsi="仿宋" w:eastAsia="仿宋" w:cs="仿宋"/>
          <w:color w:val="000000"/>
          <w:sz w:val="24"/>
          <w:szCs w:val="24"/>
          <w:lang w:val="zh-CN"/>
        </w:rPr>
        <w:t>九、所需设备参数要求</w:t>
      </w:r>
    </w:p>
    <w:p>
      <w:pPr>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1、24</w:t>
      </w:r>
      <w:r>
        <w:rPr>
          <w:rFonts w:hint="eastAsia" w:ascii="仿宋" w:hAnsi="仿宋" w:eastAsia="仿宋" w:cs="仿宋"/>
          <w:color w:val="000000"/>
          <w:sz w:val="24"/>
          <w:szCs w:val="24"/>
        </w:rPr>
        <w:t>口全光交换机</w:t>
      </w:r>
      <w:r>
        <w:rPr>
          <w:rFonts w:hint="eastAsia" w:ascii="仿宋" w:hAnsi="仿宋" w:eastAsia="仿宋" w:cs="仿宋"/>
          <w:color w:val="000000"/>
          <w:sz w:val="24"/>
          <w:szCs w:val="24"/>
          <w:lang w:val="zh-CN"/>
        </w:rPr>
        <w:t>（26台）</w:t>
      </w:r>
    </w:p>
    <w:tbl>
      <w:tblPr>
        <w:tblStyle w:val="3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330" w:type="dxa"/>
            <w:gridSpan w:val="2"/>
            <w:shd w:val="clear" w:color="auto" w:fill="auto"/>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产品类型</w:t>
            </w:r>
          </w:p>
        </w:tc>
        <w:tc>
          <w:tcPr>
            <w:tcW w:w="6521"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千兆以太网交换机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传输速率★</w:t>
            </w:r>
          </w:p>
        </w:tc>
        <w:tc>
          <w:tcPr>
            <w:tcW w:w="6521"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10/100/1000Mbps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背板带宽★</w:t>
            </w:r>
          </w:p>
        </w:tc>
        <w:tc>
          <w:tcPr>
            <w:tcW w:w="6521"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大于等于250Gbps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包转发率★</w:t>
            </w:r>
          </w:p>
        </w:tc>
        <w:tc>
          <w:tcPr>
            <w:tcW w:w="6521"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大于等于96Mpps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330" w:type="dxa"/>
            <w:gridSpan w:val="2"/>
            <w:shd w:val="clear" w:color="auto" w:fill="auto"/>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端口参数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端口结构</w:t>
            </w:r>
          </w:p>
        </w:tc>
        <w:tc>
          <w:tcPr>
            <w:tcW w:w="6521"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非模块化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端口数量★</w:t>
            </w:r>
          </w:p>
        </w:tc>
        <w:tc>
          <w:tcPr>
            <w:tcW w:w="6521"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大于等于24个100/1000Base-X 千兆光口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vMerge w:val="continue"/>
            <w:shd w:val="clear" w:color="auto" w:fill="auto"/>
            <w:vAlign w:val="center"/>
          </w:tcPr>
          <w:p>
            <w:pPr>
              <w:jc w:val="center"/>
              <w:rPr>
                <w:rFonts w:ascii="仿宋" w:hAnsi="仿宋" w:eastAsia="仿宋" w:cs="仿宋"/>
                <w:color w:val="000000"/>
                <w:sz w:val="24"/>
                <w:szCs w:val="24"/>
              </w:rPr>
            </w:pPr>
          </w:p>
        </w:tc>
        <w:tc>
          <w:tcPr>
            <w:tcW w:w="6521"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大于等于2个10G BASE-X SFP+万兆光口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传输模式</w:t>
            </w:r>
          </w:p>
        </w:tc>
        <w:tc>
          <w:tcPr>
            <w:tcW w:w="6521"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全双工/半双工自适应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330" w:type="dxa"/>
            <w:gridSpan w:val="2"/>
            <w:shd w:val="clear" w:color="auto" w:fill="auto"/>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堆叠功能</w:t>
            </w:r>
          </w:p>
        </w:tc>
        <w:tc>
          <w:tcPr>
            <w:tcW w:w="6521"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可堆叠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VLAN★</w:t>
            </w:r>
          </w:p>
        </w:tc>
        <w:tc>
          <w:tcPr>
            <w:tcW w:w="6521"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支持基于端口的VLAN，支持基于协议的VLAN，支持QinQ，灵活QinQ，支持VLAN Mapping，支持Voice VLAN，支持Guest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QOS</w:t>
            </w:r>
          </w:p>
        </w:tc>
        <w:tc>
          <w:tcPr>
            <w:tcW w:w="6521"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支持对端口接收报文的速率和发送报文的速率进行限制，支持报文重定向，支持端口队列调度（SP、WRR、SP+WRR），支持报文的802.1p和DSCP优先级重新标记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组播管理</w:t>
            </w:r>
          </w:p>
        </w:tc>
        <w:tc>
          <w:tcPr>
            <w:tcW w:w="6521"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支持IGMP Snooping /MLD Snooping，支持组播VLAN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网络管理</w:t>
            </w:r>
          </w:p>
        </w:tc>
        <w:tc>
          <w:tcPr>
            <w:tcW w:w="6521"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支持XModem/FTP/TFTP加载升级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vMerge w:val="continue"/>
            <w:shd w:val="clear" w:color="auto" w:fill="auto"/>
            <w:vAlign w:val="center"/>
          </w:tcPr>
          <w:p>
            <w:pPr>
              <w:jc w:val="center"/>
              <w:rPr>
                <w:rFonts w:ascii="仿宋" w:hAnsi="仿宋" w:eastAsia="仿宋" w:cs="仿宋"/>
                <w:color w:val="000000"/>
                <w:sz w:val="24"/>
                <w:szCs w:val="24"/>
              </w:rPr>
            </w:pPr>
          </w:p>
        </w:tc>
        <w:tc>
          <w:tcPr>
            <w:tcW w:w="6521"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支持命令行接口（CLI），Telnet，Console口进行配置，支持SNMPv1/v2/v3，WEB网管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vMerge w:val="continue"/>
            <w:shd w:val="clear" w:color="auto" w:fill="auto"/>
            <w:vAlign w:val="center"/>
          </w:tcPr>
          <w:p>
            <w:pPr>
              <w:jc w:val="center"/>
              <w:rPr>
                <w:rFonts w:ascii="仿宋" w:hAnsi="仿宋" w:eastAsia="仿宋" w:cs="仿宋"/>
                <w:color w:val="000000"/>
                <w:sz w:val="24"/>
                <w:szCs w:val="24"/>
              </w:rPr>
            </w:pPr>
          </w:p>
        </w:tc>
        <w:tc>
          <w:tcPr>
            <w:tcW w:w="6521"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支持NTP，支持Ping、Tracert，电源、风扇、温度告警， Loopback-detection 端口环回检测， CPU防护，支持系统日志，分级告警，调试信息输出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安全管理</w:t>
            </w:r>
          </w:p>
        </w:tc>
        <w:tc>
          <w:tcPr>
            <w:tcW w:w="6521"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支持用户分级管理和口令保护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vMerge w:val="continue"/>
            <w:shd w:val="clear" w:color="auto" w:fill="auto"/>
            <w:vAlign w:val="center"/>
          </w:tcPr>
          <w:p>
            <w:pPr>
              <w:jc w:val="center"/>
              <w:rPr>
                <w:rFonts w:ascii="仿宋" w:hAnsi="仿宋" w:eastAsia="仿宋" w:cs="仿宋"/>
                <w:color w:val="000000"/>
                <w:sz w:val="24"/>
                <w:szCs w:val="24"/>
              </w:rPr>
            </w:pPr>
          </w:p>
        </w:tc>
        <w:tc>
          <w:tcPr>
            <w:tcW w:w="6521"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支持802.1X认证/集中式MAC地址认证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vMerge w:val="continue"/>
            <w:shd w:val="clear" w:color="auto" w:fill="auto"/>
            <w:vAlign w:val="center"/>
          </w:tcPr>
          <w:p>
            <w:pPr>
              <w:jc w:val="center"/>
              <w:rPr>
                <w:rFonts w:ascii="仿宋" w:hAnsi="仿宋" w:eastAsia="仿宋" w:cs="仿宋"/>
                <w:color w:val="000000"/>
                <w:sz w:val="24"/>
                <w:szCs w:val="24"/>
              </w:rPr>
            </w:pPr>
          </w:p>
        </w:tc>
        <w:tc>
          <w:tcPr>
            <w:tcW w:w="6521"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支持Guest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vMerge w:val="continue"/>
            <w:shd w:val="clear" w:color="auto" w:fill="auto"/>
            <w:vAlign w:val="center"/>
          </w:tcPr>
          <w:p>
            <w:pPr>
              <w:jc w:val="center"/>
              <w:rPr>
                <w:rFonts w:ascii="仿宋" w:hAnsi="仿宋" w:eastAsia="仿宋" w:cs="仿宋"/>
                <w:color w:val="000000"/>
                <w:sz w:val="24"/>
                <w:szCs w:val="24"/>
              </w:rPr>
            </w:pPr>
          </w:p>
        </w:tc>
        <w:tc>
          <w:tcPr>
            <w:tcW w:w="6521"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支持RADIUS认证，SSH 2.0，端口隔离，端口安全，IP源地址保护，ARP 入侵检测功能，IP+MAC+端口多元组绑定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330" w:type="dxa"/>
            <w:gridSpan w:val="2"/>
            <w:shd w:val="clear" w:color="auto" w:fill="auto"/>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其它参数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其它参数</w:t>
            </w:r>
          </w:p>
        </w:tc>
        <w:tc>
          <w:tcPr>
            <w:tcW w:w="6521"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★链路聚合：支持GE/10GE端口聚合；支持动态聚合；支持跨设备聚合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809" w:type="dxa"/>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其它特点</w:t>
            </w:r>
          </w:p>
        </w:tc>
        <w:tc>
          <w:tcPr>
            <w:tcW w:w="6521"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DHCP：支持DHCP Client； DHCP Snooping； DHCP Snooping option82； DHCP Relay； DHCP Server； DHCP auto-config（零配置）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vMerge w:val="continue"/>
            <w:shd w:val="clear" w:color="auto" w:fill="auto"/>
            <w:vAlign w:val="center"/>
          </w:tcPr>
          <w:p>
            <w:pPr>
              <w:jc w:val="center"/>
              <w:rPr>
                <w:rFonts w:ascii="仿宋" w:hAnsi="仿宋" w:eastAsia="仿宋" w:cs="仿宋"/>
                <w:color w:val="000000"/>
                <w:sz w:val="24"/>
                <w:szCs w:val="24"/>
              </w:rPr>
            </w:pPr>
          </w:p>
        </w:tc>
        <w:tc>
          <w:tcPr>
            <w:tcW w:w="6521"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★二层环网协议：支持STP/RSTP/MSTP/PVST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9" w:type="dxa"/>
            <w:vMerge w:val="continue"/>
            <w:shd w:val="clear" w:color="auto" w:fill="auto"/>
            <w:vAlign w:val="center"/>
          </w:tcPr>
          <w:p>
            <w:pPr>
              <w:jc w:val="center"/>
              <w:rPr>
                <w:rFonts w:ascii="仿宋" w:hAnsi="仿宋" w:eastAsia="仿宋" w:cs="仿宋"/>
                <w:color w:val="000000"/>
                <w:sz w:val="24"/>
                <w:szCs w:val="24"/>
              </w:rPr>
            </w:pPr>
          </w:p>
        </w:tc>
        <w:tc>
          <w:tcPr>
            <w:tcW w:w="6521" w:type="dxa"/>
            <w:shd w:val="clear" w:color="auto" w:fill="auto"/>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绿色节能：支持EEE(802.3az)；支持端口自动Power down功能；支持端口定时down功能</w:t>
            </w:r>
          </w:p>
        </w:tc>
      </w:tr>
    </w:tbl>
    <w:p>
      <w:pPr>
        <w:rPr>
          <w:rFonts w:ascii="仿宋" w:hAnsi="仿宋" w:eastAsia="仿宋" w:cs="仿宋"/>
          <w:color w:val="000000"/>
          <w:sz w:val="24"/>
          <w:szCs w:val="24"/>
          <w:lang w:val="zh-CN"/>
        </w:rPr>
      </w:pPr>
    </w:p>
    <w:p>
      <w:pPr>
        <w:rPr>
          <w:rFonts w:ascii="仿宋" w:hAnsi="仿宋" w:eastAsia="仿宋" w:cs="仿宋"/>
          <w:color w:val="000000"/>
          <w:sz w:val="24"/>
          <w:szCs w:val="24"/>
          <w:lang w:val="zh-CN"/>
        </w:rPr>
      </w:pPr>
      <w:r>
        <w:rPr>
          <w:rFonts w:hint="eastAsia" w:ascii="仿宋" w:hAnsi="仿宋" w:eastAsia="仿宋" w:cs="仿宋"/>
          <w:color w:val="000000"/>
          <w:sz w:val="24"/>
          <w:szCs w:val="24"/>
          <w:lang w:val="zh-CN"/>
        </w:rPr>
        <w:t>2、带光口</w:t>
      </w:r>
      <w:r>
        <w:rPr>
          <w:rFonts w:hint="eastAsia" w:ascii="仿宋" w:hAnsi="仿宋" w:eastAsia="仿宋" w:cs="仿宋"/>
          <w:color w:val="000000"/>
          <w:sz w:val="24"/>
          <w:szCs w:val="24"/>
        </w:rPr>
        <w:t>8口交换机</w:t>
      </w:r>
      <w:r>
        <w:rPr>
          <w:rFonts w:hint="eastAsia" w:ascii="仿宋" w:hAnsi="仿宋" w:eastAsia="仿宋" w:cs="仿宋"/>
          <w:color w:val="000000"/>
          <w:sz w:val="24"/>
          <w:szCs w:val="24"/>
          <w:lang w:val="zh-CN"/>
        </w:rPr>
        <w:t>（72台）</w:t>
      </w:r>
    </w:p>
    <w:tbl>
      <w:tblPr>
        <w:tblStyle w:val="36"/>
        <w:tblW w:w="820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80"/>
        <w:gridCol w:w="52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2980" w:type="dxa"/>
            <w:vMerge w:val="restart"/>
            <w:shd w:val="clear" w:color="000000" w:fill="FAFAFA"/>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主要参数</w:t>
            </w:r>
          </w:p>
        </w:tc>
        <w:tc>
          <w:tcPr>
            <w:tcW w:w="5220" w:type="dxa"/>
            <w:shd w:val="clear" w:color="auto" w:fill="auto"/>
            <w:vAlign w:val="bottom"/>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千兆以太网交换机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trPr>
        <w:tc>
          <w:tcPr>
            <w:tcW w:w="2980" w:type="dxa"/>
            <w:vMerge w:val="continue"/>
            <w:shd w:val="clear" w:color="auto" w:fill="auto"/>
            <w:vAlign w:val="center"/>
          </w:tcPr>
          <w:p>
            <w:pPr>
              <w:rPr>
                <w:rFonts w:ascii="仿宋" w:hAnsi="仿宋" w:eastAsia="仿宋" w:cs="仿宋"/>
                <w:b/>
                <w:bCs/>
                <w:color w:val="000000"/>
                <w:sz w:val="24"/>
                <w:szCs w:val="24"/>
              </w:rPr>
            </w:pPr>
          </w:p>
        </w:tc>
        <w:tc>
          <w:tcPr>
            <w:tcW w:w="5220" w:type="dxa"/>
            <w:shd w:val="clear" w:color="auto" w:fill="auto"/>
          </w:tcPr>
          <w:p>
            <w:pPr>
              <w:rPr>
                <w:rFonts w:ascii="仿宋" w:hAnsi="仿宋" w:eastAsia="仿宋" w:cs="仿宋"/>
                <w:b/>
                <w:bCs/>
                <w:color w:val="000000"/>
                <w:sz w:val="24"/>
                <w:szCs w:val="24"/>
              </w:rPr>
            </w:pPr>
            <w:r>
              <w:rPr>
                <w:rFonts w:hint="eastAsia" w:ascii="仿宋" w:hAnsi="仿宋" w:eastAsia="仿宋" w:cs="仿宋"/>
                <w:b/>
                <w:bCs/>
                <w:color w:val="000000"/>
                <w:sz w:val="24"/>
                <w:szCs w:val="24"/>
              </w:rPr>
              <w:t>传输速率≥</w:t>
            </w:r>
            <w:r>
              <w:rPr>
                <w:rFonts w:hint="eastAsia" w:ascii="仿宋" w:hAnsi="仿宋" w:eastAsia="仿宋" w:cs="仿宋"/>
                <w:color w:val="000000"/>
                <w:sz w:val="24"/>
                <w:szCs w:val="24"/>
              </w:rPr>
              <w:t>8个10/100/1000Base-T以太网口，</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1个100/1000BASE-X SFP光口★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2980" w:type="dxa"/>
            <w:vMerge w:val="continue"/>
            <w:shd w:val="clear" w:color="auto" w:fill="auto"/>
            <w:vAlign w:val="center"/>
          </w:tcPr>
          <w:p>
            <w:pPr>
              <w:rPr>
                <w:rFonts w:ascii="仿宋" w:hAnsi="仿宋" w:eastAsia="仿宋" w:cs="仿宋"/>
                <w:b/>
                <w:bCs/>
                <w:color w:val="000000"/>
                <w:sz w:val="24"/>
                <w:szCs w:val="24"/>
              </w:rPr>
            </w:pPr>
          </w:p>
        </w:tc>
        <w:tc>
          <w:tcPr>
            <w:tcW w:w="5220" w:type="dxa"/>
            <w:shd w:val="clear" w:color="auto" w:fill="auto"/>
          </w:tcPr>
          <w:p>
            <w:pPr>
              <w:ind w:firstLine="241" w:firstLineChars="100"/>
              <w:rPr>
                <w:rFonts w:ascii="仿宋" w:hAnsi="仿宋" w:eastAsia="仿宋" w:cs="仿宋"/>
                <w:b/>
                <w:bCs/>
                <w:color w:val="000000"/>
                <w:sz w:val="24"/>
                <w:szCs w:val="24"/>
              </w:rPr>
            </w:pPr>
            <w:r>
              <w:rPr>
                <w:rFonts w:hint="eastAsia" w:ascii="仿宋" w:hAnsi="仿宋" w:eastAsia="仿宋" w:cs="仿宋"/>
                <w:b/>
                <w:bCs/>
                <w:color w:val="000000"/>
                <w:sz w:val="24"/>
                <w:szCs w:val="24"/>
              </w:rPr>
              <w:t>背板带宽≥</w:t>
            </w:r>
            <w:r>
              <w:rPr>
                <w:rFonts w:hint="eastAsia" w:ascii="仿宋" w:hAnsi="仿宋" w:eastAsia="仿宋" w:cs="仿宋"/>
                <w:color w:val="000000"/>
                <w:sz w:val="24"/>
                <w:szCs w:val="24"/>
              </w:rPr>
              <w:t>18Gbps★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2980" w:type="dxa"/>
            <w:vMerge w:val="continue"/>
            <w:shd w:val="clear" w:color="auto" w:fill="auto"/>
            <w:vAlign w:val="center"/>
          </w:tcPr>
          <w:p>
            <w:pPr>
              <w:rPr>
                <w:rFonts w:ascii="仿宋" w:hAnsi="仿宋" w:eastAsia="仿宋" w:cs="仿宋"/>
                <w:b/>
                <w:bCs/>
                <w:color w:val="000000"/>
                <w:sz w:val="24"/>
                <w:szCs w:val="24"/>
              </w:rPr>
            </w:pPr>
          </w:p>
        </w:tc>
        <w:tc>
          <w:tcPr>
            <w:tcW w:w="5220" w:type="dxa"/>
            <w:shd w:val="clear" w:color="auto" w:fill="auto"/>
          </w:tcPr>
          <w:p>
            <w:pPr>
              <w:ind w:firstLine="241" w:firstLineChars="100"/>
              <w:rPr>
                <w:rFonts w:ascii="仿宋" w:hAnsi="仿宋" w:eastAsia="仿宋" w:cs="仿宋"/>
                <w:b/>
                <w:bCs/>
                <w:color w:val="000000"/>
                <w:sz w:val="24"/>
                <w:szCs w:val="24"/>
              </w:rPr>
            </w:pPr>
            <w:r>
              <w:rPr>
                <w:rFonts w:hint="eastAsia" w:ascii="仿宋" w:hAnsi="仿宋" w:eastAsia="仿宋" w:cs="仿宋"/>
                <w:b/>
                <w:bCs/>
                <w:color w:val="000000"/>
                <w:sz w:val="24"/>
                <w:szCs w:val="24"/>
              </w:rPr>
              <w:t>包转发率≥</w:t>
            </w:r>
            <w:r>
              <w:rPr>
                <w:rFonts w:hint="eastAsia" w:ascii="仿宋" w:hAnsi="仿宋" w:eastAsia="仿宋" w:cs="仿宋"/>
                <w:color w:val="000000"/>
                <w:sz w:val="24"/>
                <w:szCs w:val="24"/>
              </w:rPr>
              <w:t>4Mpps★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2980" w:type="dxa"/>
            <w:vMerge w:val="continue"/>
            <w:shd w:val="clear" w:color="auto" w:fill="auto"/>
            <w:vAlign w:val="center"/>
          </w:tcPr>
          <w:p>
            <w:pPr>
              <w:rPr>
                <w:rFonts w:ascii="仿宋" w:hAnsi="仿宋" w:eastAsia="仿宋" w:cs="仿宋"/>
                <w:b/>
                <w:bCs/>
                <w:color w:val="000000"/>
                <w:sz w:val="24"/>
                <w:szCs w:val="24"/>
              </w:rPr>
            </w:pPr>
          </w:p>
        </w:tc>
        <w:tc>
          <w:tcPr>
            <w:tcW w:w="5220" w:type="dxa"/>
            <w:shd w:val="clear" w:color="auto" w:fill="auto"/>
          </w:tcPr>
          <w:p>
            <w:pPr>
              <w:ind w:firstLine="241" w:firstLineChars="100"/>
              <w:rPr>
                <w:rFonts w:ascii="仿宋" w:hAnsi="仿宋" w:eastAsia="仿宋" w:cs="仿宋"/>
                <w:b/>
                <w:bCs/>
                <w:color w:val="000000"/>
                <w:sz w:val="24"/>
                <w:szCs w:val="24"/>
              </w:rPr>
            </w:pPr>
            <w:r>
              <w:rPr>
                <w:rFonts w:hint="eastAsia" w:ascii="仿宋" w:hAnsi="仿宋" w:eastAsia="仿宋" w:cs="仿宋"/>
                <w:b/>
                <w:bCs/>
                <w:color w:val="000000"/>
                <w:sz w:val="24"/>
                <w:szCs w:val="24"/>
              </w:rPr>
              <w:t>MAC地址表≥</w:t>
            </w:r>
            <w:r>
              <w:rPr>
                <w:rFonts w:hint="eastAsia" w:ascii="仿宋" w:hAnsi="仿宋" w:eastAsia="仿宋" w:cs="仿宋"/>
                <w:color w:val="000000"/>
                <w:sz w:val="24"/>
                <w:szCs w:val="24"/>
              </w:rPr>
              <w:t>4K</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2980" w:type="dxa"/>
            <w:vMerge w:val="restart"/>
            <w:shd w:val="clear" w:color="000000" w:fill="FAFAFA"/>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功能特性</w:t>
            </w:r>
          </w:p>
        </w:tc>
        <w:tc>
          <w:tcPr>
            <w:tcW w:w="5220" w:type="dxa"/>
            <w:shd w:val="clear" w:color="auto" w:fill="auto"/>
          </w:tcPr>
          <w:p>
            <w:pPr>
              <w:ind w:firstLine="241" w:firstLineChars="100"/>
              <w:rPr>
                <w:rFonts w:ascii="仿宋" w:hAnsi="仿宋" w:eastAsia="仿宋" w:cs="仿宋"/>
                <w:b/>
                <w:bCs/>
                <w:color w:val="000000"/>
                <w:sz w:val="24"/>
                <w:szCs w:val="24"/>
              </w:rPr>
            </w:pPr>
            <w:r>
              <w:rPr>
                <w:rFonts w:hint="eastAsia" w:ascii="仿宋" w:hAnsi="仿宋" w:eastAsia="仿宋" w:cs="仿宋"/>
                <w:b/>
                <w:bCs/>
                <w:color w:val="000000"/>
                <w:sz w:val="24"/>
                <w:szCs w:val="24"/>
              </w:rPr>
              <w:t>VLAN</w:t>
            </w:r>
            <w:r>
              <w:rPr>
                <w:rFonts w:hint="eastAsia" w:ascii="仿宋" w:hAnsi="仿宋" w:eastAsia="仿宋" w:cs="仿宋"/>
                <w:color w:val="000000"/>
                <w:sz w:val="24"/>
                <w:szCs w:val="24"/>
              </w:rPr>
              <w:t>支持 VLAN，管理VLAN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70" w:hRule="atLeast"/>
        </w:trPr>
        <w:tc>
          <w:tcPr>
            <w:tcW w:w="2980" w:type="dxa"/>
            <w:vMerge w:val="continue"/>
            <w:shd w:val="clear" w:color="auto" w:fill="auto"/>
            <w:vAlign w:val="center"/>
          </w:tcPr>
          <w:p>
            <w:pPr>
              <w:rPr>
                <w:rFonts w:ascii="仿宋" w:hAnsi="仿宋" w:eastAsia="仿宋" w:cs="仿宋"/>
                <w:b/>
                <w:bCs/>
                <w:color w:val="000000"/>
                <w:sz w:val="24"/>
                <w:szCs w:val="24"/>
              </w:rPr>
            </w:pPr>
          </w:p>
        </w:tc>
        <w:tc>
          <w:tcPr>
            <w:tcW w:w="5220" w:type="dxa"/>
            <w:shd w:val="clear" w:color="auto" w:fill="auto"/>
          </w:tcPr>
          <w:p>
            <w:pPr>
              <w:ind w:firstLine="241" w:firstLineChars="100"/>
              <w:rPr>
                <w:rFonts w:ascii="仿宋" w:hAnsi="仿宋" w:eastAsia="仿宋" w:cs="仿宋"/>
                <w:b/>
                <w:bCs/>
                <w:color w:val="000000"/>
                <w:sz w:val="24"/>
                <w:szCs w:val="24"/>
              </w:rPr>
            </w:pPr>
            <w:r>
              <w:rPr>
                <w:rFonts w:hint="eastAsia" w:ascii="仿宋" w:hAnsi="仿宋" w:eastAsia="仿宋" w:cs="仿宋"/>
                <w:b/>
                <w:bCs/>
                <w:color w:val="000000"/>
                <w:sz w:val="24"/>
                <w:szCs w:val="24"/>
              </w:rPr>
              <w:t>QOS</w:t>
            </w:r>
            <w:r>
              <w:rPr>
                <w:rFonts w:hint="eastAsia" w:ascii="仿宋" w:hAnsi="仿宋" w:eastAsia="仿宋" w:cs="仿宋"/>
                <w:color w:val="000000"/>
                <w:sz w:val="24"/>
                <w:szCs w:val="24"/>
              </w:rPr>
              <w:t>支持SP、WRR、SP+WRR三种调度方式， 802.1p/DSCP优先级调度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2980" w:type="dxa"/>
            <w:vMerge w:val="continue"/>
            <w:shd w:val="clear" w:color="auto" w:fill="auto"/>
            <w:vAlign w:val="center"/>
          </w:tcPr>
          <w:p>
            <w:pPr>
              <w:rPr>
                <w:rFonts w:ascii="仿宋" w:hAnsi="仿宋" w:eastAsia="仿宋" w:cs="仿宋"/>
                <w:b/>
                <w:bCs/>
                <w:color w:val="000000"/>
                <w:sz w:val="24"/>
                <w:szCs w:val="24"/>
              </w:rPr>
            </w:pPr>
          </w:p>
        </w:tc>
        <w:tc>
          <w:tcPr>
            <w:tcW w:w="5220" w:type="dxa"/>
            <w:shd w:val="clear" w:color="auto" w:fill="auto"/>
          </w:tcPr>
          <w:p>
            <w:pPr>
              <w:ind w:firstLine="241" w:firstLineChars="100"/>
              <w:rPr>
                <w:rFonts w:ascii="仿宋" w:hAnsi="仿宋" w:eastAsia="仿宋" w:cs="仿宋"/>
                <w:b/>
                <w:bCs/>
                <w:color w:val="000000"/>
                <w:sz w:val="24"/>
                <w:szCs w:val="24"/>
              </w:rPr>
            </w:pPr>
            <w:r>
              <w:rPr>
                <w:rFonts w:hint="eastAsia" w:ascii="仿宋" w:hAnsi="仿宋" w:eastAsia="仿宋" w:cs="仿宋"/>
                <w:b/>
                <w:bCs/>
                <w:color w:val="000000"/>
                <w:sz w:val="24"/>
                <w:szCs w:val="24"/>
              </w:rPr>
              <w:t>组播管理</w:t>
            </w:r>
            <w:r>
              <w:rPr>
                <w:rFonts w:hint="eastAsia" w:ascii="仿宋" w:hAnsi="仿宋" w:eastAsia="仿宋" w:cs="仿宋"/>
                <w:color w:val="000000"/>
                <w:sz w:val="24"/>
                <w:szCs w:val="24"/>
              </w:rPr>
              <w:t>支持IGMP Snooping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6" w:hRule="atLeast"/>
        </w:trPr>
        <w:tc>
          <w:tcPr>
            <w:tcW w:w="2980" w:type="dxa"/>
            <w:vMerge w:val="continue"/>
            <w:shd w:val="clear" w:color="auto" w:fill="auto"/>
            <w:vAlign w:val="center"/>
          </w:tcPr>
          <w:p>
            <w:pPr>
              <w:rPr>
                <w:rFonts w:ascii="仿宋" w:hAnsi="仿宋" w:eastAsia="仿宋" w:cs="仿宋"/>
                <w:b/>
                <w:bCs/>
                <w:color w:val="000000"/>
                <w:sz w:val="24"/>
                <w:szCs w:val="24"/>
              </w:rPr>
            </w:pPr>
          </w:p>
        </w:tc>
        <w:tc>
          <w:tcPr>
            <w:tcW w:w="5220" w:type="dxa"/>
            <w:shd w:val="clear" w:color="auto" w:fill="auto"/>
          </w:tcPr>
          <w:p>
            <w:pPr>
              <w:ind w:firstLine="240" w:firstLineChars="100"/>
              <w:rPr>
                <w:rFonts w:ascii="仿宋" w:hAnsi="仿宋" w:eastAsia="仿宋" w:cs="仿宋"/>
                <w:b/>
                <w:bCs/>
                <w:color w:val="000000"/>
                <w:sz w:val="24"/>
                <w:szCs w:val="24"/>
              </w:rPr>
            </w:pPr>
            <w:r>
              <w:rPr>
                <w:rFonts w:hint="eastAsia" w:ascii="仿宋" w:hAnsi="仿宋" w:eastAsia="仿宋" w:cs="仿宋"/>
                <w:color w:val="000000"/>
                <w:sz w:val="24"/>
                <w:szCs w:val="24"/>
              </w:rPr>
              <w:t>★</w:t>
            </w:r>
            <w:r>
              <w:rPr>
                <w:rFonts w:hint="eastAsia" w:ascii="仿宋" w:hAnsi="仿宋" w:eastAsia="仿宋" w:cs="仿宋"/>
                <w:b/>
                <w:bCs/>
                <w:color w:val="000000"/>
                <w:sz w:val="24"/>
                <w:szCs w:val="24"/>
              </w:rPr>
              <w:t>网络管理</w:t>
            </w:r>
            <w:r>
              <w:rPr>
                <w:rFonts w:hint="eastAsia" w:ascii="仿宋" w:hAnsi="仿宋" w:eastAsia="仿宋" w:cs="仿宋"/>
                <w:color w:val="000000"/>
                <w:sz w:val="24"/>
                <w:szCs w:val="24"/>
              </w:rPr>
              <w:t>支持SNMP v1/v2c/v3，支持WEB网管，支持Telnet，支持DHCP-client，支持NTP时钟，支持一键还原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trPr>
        <w:tc>
          <w:tcPr>
            <w:tcW w:w="2980" w:type="dxa"/>
            <w:vMerge w:val="continue"/>
            <w:shd w:val="clear" w:color="auto" w:fill="auto"/>
            <w:vAlign w:val="center"/>
          </w:tcPr>
          <w:p>
            <w:pPr>
              <w:rPr>
                <w:rFonts w:ascii="仿宋" w:hAnsi="仿宋" w:eastAsia="仿宋" w:cs="仿宋"/>
                <w:b/>
                <w:bCs/>
                <w:color w:val="000000"/>
                <w:sz w:val="24"/>
                <w:szCs w:val="24"/>
              </w:rPr>
            </w:pPr>
          </w:p>
        </w:tc>
        <w:tc>
          <w:tcPr>
            <w:tcW w:w="5220" w:type="dxa"/>
            <w:shd w:val="clear" w:color="auto" w:fill="auto"/>
          </w:tcPr>
          <w:p>
            <w:pPr>
              <w:ind w:firstLine="241" w:firstLineChars="100"/>
              <w:rPr>
                <w:rFonts w:ascii="仿宋" w:hAnsi="仿宋" w:eastAsia="仿宋" w:cs="仿宋"/>
                <w:b/>
                <w:bCs/>
                <w:color w:val="000000"/>
                <w:sz w:val="24"/>
                <w:szCs w:val="24"/>
              </w:rPr>
            </w:pPr>
            <w:r>
              <w:rPr>
                <w:rFonts w:hint="eastAsia" w:ascii="仿宋" w:hAnsi="仿宋" w:eastAsia="仿宋" w:cs="仿宋"/>
                <w:b/>
                <w:bCs/>
                <w:color w:val="000000"/>
                <w:sz w:val="24"/>
                <w:szCs w:val="24"/>
              </w:rPr>
              <w:t>安全管理</w:t>
            </w:r>
            <w:r>
              <w:rPr>
                <w:rFonts w:hint="eastAsia" w:ascii="仿宋" w:hAnsi="仿宋" w:eastAsia="仿宋" w:cs="仿宋"/>
                <w:color w:val="000000"/>
                <w:sz w:val="24"/>
                <w:szCs w:val="24"/>
              </w:rPr>
              <w:t>支持硬件ACL，支持基于端口的MAC过滤，支持端口风暴抑制，支持SSL</w:t>
            </w:r>
          </w:p>
        </w:tc>
      </w:tr>
    </w:tbl>
    <w:p>
      <w:pPr>
        <w:spacing w:line="360" w:lineRule="auto"/>
        <w:ind w:firstLine="240" w:firstLineChars="1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十、其它要求</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1、投标人须明确投标产品的厂家、产地、品牌、型号、详细参数，否则为无效投标。</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、投标人应就该项目完整投标，否则为无效投标。</w:t>
      </w:r>
    </w:p>
    <w:p>
      <w:pPr>
        <w:tabs>
          <w:tab w:val="left" w:pos="5963"/>
        </w:tabs>
        <w:spacing w:line="420" w:lineRule="exact"/>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zh-CN"/>
        </w:rPr>
        <w:t>、招标文件列明不允许或未列明允许进口产品参加投标的，均视为拒绝进口产品参加投标。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color w:val="000000"/>
          <w:sz w:val="24"/>
          <w:szCs w:val="24"/>
          <w:lang w:val="zh-CN"/>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7</w:t>
      </w:r>
      <w:r>
        <w:rPr>
          <w:rFonts w:hint="eastAsia" w:ascii="仿宋" w:hAnsi="仿宋" w:eastAsia="仿宋" w:cs="仿宋"/>
          <w:color w:val="000000"/>
          <w:sz w:val="24"/>
          <w:szCs w:val="24"/>
          <w:lang w:val="zh-CN"/>
        </w:rPr>
        <w:t>、产品必须符合国家质量检测标准和本招标文件规定标准的全新正品现货，供货时提供随货物《产品合格证》及其它相关质量证明文件。</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8</w:t>
      </w:r>
      <w:r>
        <w:rPr>
          <w:rFonts w:hint="eastAsia" w:ascii="仿宋" w:hAnsi="仿宋" w:eastAsia="仿宋" w:cs="仿宋"/>
          <w:color w:val="000000"/>
          <w:sz w:val="24"/>
          <w:szCs w:val="24"/>
          <w:lang w:val="zh-CN"/>
        </w:rPr>
        <w:t>、专利权：投标人应</w:t>
      </w:r>
      <w:r>
        <w:rPr>
          <w:rFonts w:hint="eastAsia" w:ascii="仿宋" w:hAnsi="仿宋" w:eastAsia="仿宋" w:cs="仿宋"/>
          <w:color w:val="000000"/>
          <w:sz w:val="24"/>
          <w:szCs w:val="24"/>
        </w:rPr>
        <w:t>承诺</w:t>
      </w:r>
      <w:r>
        <w:rPr>
          <w:rFonts w:hint="eastAsia" w:ascii="仿宋" w:hAnsi="仿宋" w:eastAsia="仿宋" w:cs="仿宋"/>
          <w:color w:val="000000"/>
          <w:sz w:val="24"/>
          <w:szCs w:val="24"/>
          <w:lang w:val="zh-CN"/>
        </w:rPr>
        <w:t>用户在使用该货物或其任何一部分时不受第三方提出侵犯其专利权、商标权和工业设计权等的起诉。</w:t>
      </w:r>
    </w:p>
    <w:p>
      <w:pPr>
        <w:spacing w:line="360" w:lineRule="auto"/>
        <w:ind w:firstLine="480" w:firstLineChars="200"/>
        <w:rPr>
          <w:rFonts w:ascii="仿宋" w:hAnsi="仿宋" w:eastAsia="仿宋" w:cs="仿宋"/>
          <w:color w:val="FF0000"/>
          <w:sz w:val="24"/>
          <w:szCs w:val="24"/>
          <w:lang w:val="zh-CN"/>
        </w:rPr>
      </w:pPr>
      <w:r>
        <w:rPr>
          <w:rFonts w:hint="eastAsia" w:ascii="仿宋" w:hAnsi="仿宋" w:eastAsia="仿宋" w:cs="仿宋"/>
          <w:color w:val="FF0000"/>
          <w:sz w:val="24"/>
          <w:szCs w:val="24"/>
        </w:rPr>
        <w:t>9</w:t>
      </w:r>
      <w:r>
        <w:rPr>
          <w:rFonts w:hint="eastAsia" w:ascii="仿宋" w:hAnsi="仿宋" w:eastAsia="仿宋" w:cs="仿宋"/>
          <w:color w:val="FF0000"/>
          <w:sz w:val="24"/>
          <w:szCs w:val="24"/>
          <w:lang w:val="zh-CN"/>
        </w:rPr>
        <w:t>、投标人应对投标资料的真实性负责，评标结束后，对提供的线路路由覆盖率进行实地验证，如与投标资料不符，取消其中标资格。</w:t>
      </w:r>
    </w:p>
    <w:p>
      <w:pPr>
        <w:spacing w:line="360" w:lineRule="auto"/>
        <w:ind w:firstLine="480" w:firstLineChars="200"/>
        <w:rPr>
          <w:rFonts w:ascii="仿宋" w:hAnsi="仿宋" w:eastAsia="仿宋" w:cs="仿宋"/>
          <w:color w:val="FF0000"/>
          <w:sz w:val="24"/>
          <w:szCs w:val="24"/>
          <w:lang w:val="zh-CN"/>
        </w:rPr>
      </w:pPr>
      <w:r>
        <w:rPr>
          <w:rFonts w:hint="eastAsia" w:ascii="仿宋" w:hAnsi="仿宋" w:eastAsia="仿宋" w:cs="仿宋"/>
          <w:color w:val="FF0000"/>
          <w:sz w:val="24"/>
          <w:szCs w:val="24"/>
          <w:lang w:val="zh-CN"/>
        </w:rPr>
        <w:t>10、为保证系统的兼容性、稳定性和可用性，投标人需要按照设计方案对接市电子政务外网，如果中标后不能实现对接，取消中标资格，并承担由此造成的相应法律责任和损失。</w:t>
      </w:r>
    </w:p>
    <w:p>
      <w:pPr>
        <w:spacing w:line="360" w:lineRule="auto"/>
        <w:ind w:firstLine="480" w:firstLineChars="200"/>
        <w:rPr>
          <w:rFonts w:ascii="仿宋" w:hAnsi="仿宋" w:eastAsia="仿宋" w:cs="仿宋"/>
          <w:color w:val="FF0000"/>
          <w:sz w:val="24"/>
          <w:szCs w:val="24"/>
          <w:lang w:val="zh-CN"/>
        </w:rPr>
      </w:pP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11</w:t>
      </w:r>
      <w:r>
        <w:rPr>
          <w:rFonts w:hint="eastAsia" w:ascii="仿宋" w:hAnsi="仿宋" w:eastAsia="仿宋" w:cs="仿宋"/>
          <w:color w:val="000000"/>
          <w:sz w:val="24"/>
          <w:szCs w:val="24"/>
          <w:lang w:val="zh-CN"/>
        </w:rPr>
        <w:t>、建设完成后所有权归禹州市人民政府所有。</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12</w:t>
      </w:r>
      <w:r>
        <w:rPr>
          <w:rFonts w:hint="eastAsia" w:ascii="仿宋" w:hAnsi="仿宋" w:eastAsia="仿宋" w:cs="仿宋"/>
          <w:color w:val="000000"/>
          <w:sz w:val="24"/>
          <w:szCs w:val="24"/>
          <w:lang w:val="zh-CN"/>
        </w:rPr>
        <w:t>、投标人须明确设备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13</w:t>
      </w:r>
      <w:r>
        <w:rPr>
          <w:rFonts w:hint="eastAsia" w:ascii="仿宋" w:hAnsi="仿宋" w:eastAsia="仿宋" w:cs="仿宋"/>
          <w:color w:val="000000"/>
          <w:sz w:val="24"/>
          <w:szCs w:val="24"/>
          <w:lang w:val="zh-CN"/>
        </w:rPr>
        <w:t>、投标人须明确维修点地址、负责人、联系人和联系电话等详细资料。</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14</w:t>
      </w:r>
      <w:r>
        <w:rPr>
          <w:rFonts w:hint="eastAsia" w:ascii="仿宋" w:hAnsi="仿宋" w:eastAsia="仿宋" w:cs="仿宋"/>
          <w:color w:val="000000"/>
          <w:sz w:val="24"/>
          <w:szCs w:val="24"/>
          <w:lang w:val="zh-CN"/>
        </w:rPr>
        <w:t>、本项目为交钥匙工程（包括设备、材料、元件、</w:t>
      </w:r>
      <w:r>
        <w:rPr>
          <w:rFonts w:hint="eastAsia" w:ascii="仿宋" w:hAnsi="仿宋" w:eastAsia="仿宋" w:cs="仿宋"/>
          <w:color w:val="000000"/>
          <w:sz w:val="24"/>
          <w:szCs w:val="24"/>
        </w:rPr>
        <w:t>设备机柜</w:t>
      </w:r>
      <w:r>
        <w:rPr>
          <w:rFonts w:hint="eastAsia" w:ascii="仿宋" w:hAnsi="仿宋" w:eastAsia="仿宋" w:cs="仿宋"/>
          <w:color w:val="000000"/>
          <w:sz w:val="24"/>
          <w:szCs w:val="24"/>
          <w:lang w:val="zh-CN"/>
        </w:rPr>
        <w:t>等购置、安装调试、验收、</w:t>
      </w:r>
      <w:r>
        <w:rPr>
          <w:rFonts w:hint="eastAsia" w:ascii="仿宋" w:hAnsi="仿宋" w:eastAsia="仿宋" w:cs="仿宋"/>
          <w:color w:val="000000"/>
          <w:sz w:val="24"/>
          <w:szCs w:val="24"/>
        </w:rPr>
        <w:t>线路及</w:t>
      </w:r>
      <w:r>
        <w:rPr>
          <w:rFonts w:hint="eastAsia" w:ascii="仿宋" w:hAnsi="仿宋" w:eastAsia="仿宋" w:cs="仿宋"/>
          <w:color w:val="000000"/>
          <w:sz w:val="24"/>
          <w:szCs w:val="24"/>
          <w:lang w:val="zh-CN"/>
        </w:rPr>
        <w:t xml:space="preserve">与其它施工单位协作所产生的费用等）。 </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15</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付款方式（不响应者为无效投标）</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经验收合格一次性付清。</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16、预算金额： 182.4万元，超出者为无效投标。</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bCs/>
          <w:color w:val="000000"/>
          <w:sz w:val="24"/>
          <w:szCs w:val="24"/>
        </w:rPr>
        <w:t>17</w:t>
      </w:r>
      <w:r>
        <w:rPr>
          <w:rFonts w:hint="eastAsia" w:ascii="仿宋" w:hAnsi="仿宋" w:eastAsia="仿宋" w:cs="仿宋"/>
          <w:color w:val="000000"/>
          <w:sz w:val="24"/>
          <w:szCs w:val="24"/>
        </w:rPr>
        <w:t>、投标商必须由法定代表人或委托代理人参加开标会议，随时接受评标委员会询问，并予作出书面解答。</w:t>
      </w:r>
    </w:p>
    <w:p>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18、验收标准</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spacing w:line="360" w:lineRule="auto"/>
        <w:ind w:firstLine="480" w:firstLineChars="200"/>
        <w:rPr>
          <w:rFonts w:ascii="仿宋" w:hAnsi="仿宋" w:eastAsia="仿宋" w:cs="仿宋"/>
          <w:color w:val="000000"/>
          <w:sz w:val="24"/>
          <w:szCs w:val="24"/>
          <w:lang w:val="zh-CN"/>
        </w:rPr>
      </w:pPr>
      <w:r>
        <w:rPr>
          <w:rFonts w:hint="eastAsia" w:ascii="仿宋" w:hAnsi="仿宋" w:eastAsia="仿宋" w:cs="仿宋"/>
          <w:color w:val="000000"/>
          <w:sz w:val="24"/>
          <w:szCs w:val="24"/>
          <w:lang w:val="zh-CN"/>
        </w:rPr>
        <w:t>（2）按照招标文件要求、投标文件响应和承诺验收。</w:t>
      </w:r>
    </w:p>
    <w:p>
      <w:pPr>
        <w:spacing w:line="600" w:lineRule="exact"/>
        <w:rPr>
          <w:rFonts w:ascii="仿宋" w:hAnsi="仿宋" w:eastAsia="仿宋" w:cs="仿宋"/>
          <w:color w:val="000000"/>
          <w:sz w:val="24"/>
          <w:szCs w:val="24"/>
        </w:rPr>
      </w:pPr>
    </w:p>
    <w:p>
      <w:pPr>
        <w:ind w:left="424" w:leftChars="202" w:right="567" w:firstLine="360" w:firstLineChars="150"/>
        <w:rPr>
          <w:rFonts w:ascii="仿宋" w:hAnsi="仿宋" w:eastAsia="仿宋" w:cs="仿宋"/>
          <w:color w:val="000000"/>
          <w:sz w:val="24"/>
          <w:szCs w:val="24"/>
        </w:rPr>
      </w:pPr>
    </w:p>
    <w:p>
      <w:pPr>
        <w:spacing w:line="520" w:lineRule="exact"/>
        <w:rPr>
          <w:rFonts w:ascii="仿宋" w:hAnsi="仿宋" w:eastAsia="仿宋"/>
          <w:sz w:val="24"/>
          <w:szCs w:val="24"/>
        </w:rPr>
      </w:pPr>
      <w:r>
        <w:rPr>
          <w:rFonts w:hint="eastAsia" w:ascii="仿宋" w:hAnsi="仿宋" w:eastAsia="仿宋" w:cs="仿宋"/>
          <w:color w:val="000000"/>
          <w:sz w:val="24"/>
          <w:szCs w:val="24"/>
        </w:rPr>
        <w:br w:type="page"/>
      </w:r>
    </w:p>
    <w:p>
      <w:pPr>
        <w:spacing w:line="520" w:lineRule="exact"/>
        <w:ind w:firstLine="1205" w:firstLineChars="500"/>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ind w:firstLine="1205" w:firstLineChars="500"/>
        <w:jc w:val="center"/>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108" w:firstLineChars="700"/>
        <w:rPr>
          <w:rFonts w:ascii="仿宋" w:hAnsi="仿宋" w:eastAsia="仿宋" w:cs="仿宋"/>
          <w:b/>
          <w:sz w:val="30"/>
          <w:szCs w:val="30"/>
        </w:rPr>
      </w:pPr>
      <w:r>
        <w:rPr>
          <w:rFonts w:hint="eastAsia" w:ascii="仿宋" w:hAnsi="仿宋" w:eastAsia="仿宋" w:cs="仿宋"/>
          <w:b/>
          <w:sz w:val="30"/>
          <w:szCs w:val="30"/>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（2）营业执照副本、银行开户许可证、无行贿记录告知函、法定代表人授权代表社保证明、法人代表授权委托书（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（3）投标保证金缴纳回执；</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pStyle w:val="125"/>
        <w:spacing w:before="120" w:after="120"/>
        <w:ind w:firstLine="0" w:firstLineChars="0"/>
        <w:rPr>
          <w:rFonts w:ascii="仿宋" w:hAnsi="仿宋" w:eastAsia="仿宋" w:cs="仿宋"/>
          <w:szCs w:val="24"/>
        </w:rPr>
      </w:pPr>
      <w:r>
        <w:rPr>
          <w:rFonts w:hint="eastAsia" w:ascii="仿宋" w:hAnsi="仿宋" w:eastAsia="仿宋" w:cs="仿宋"/>
          <w:szCs w:val="24"/>
        </w:rPr>
        <w:t>3.5评分标准</w:t>
      </w:r>
    </w:p>
    <w:tbl>
      <w:tblPr>
        <w:tblStyle w:val="36"/>
        <w:tblpPr w:leftFromText="180" w:rightFromText="180" w:vertAnchor="text" w:tblpXSpec="center" w:tblpY="1"/>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2046" w:type="dxa"/>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分值构成</w:t>
            </w:r>
          </w:p>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(总分100分)</w:t>
            </w:r>
          </w:p>
        </w:tc>
        <w:tc>
          <w:tcPr>
            <w:tcW w:w="6920" w:type="dxa"/>
            <w:gridSpan w:val="2"/>
            <w:vAlign w:val="center"/>
          </w:tcPr>
          <w:p>
            <w:pPr>
              <w:spacing w:line="4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价格分值：30分</w:t>
            </w:r>
          </w:p>
          <w:p>
            <w:pPr>
              <w:spacing w:line="4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商务部分：30分</w:t>
            </w:r>
          </w:p>
          <w:p>
            <w:pPr>
              <w:spacing w:line="4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spacing w:line="420" w:lineRule="exact"/>
              <w:ind w:firstLine="482" w:firstLineChars="200"/>
              <w:rPr>
                <w:rFonts w:ascii="仿宋" w:hAnsi="仿宋" w:eastAsia="仿宋"/>
                <w:b/>
                <w:color w:val="000000"/>
                <w:sz w:val="24"/>
                <w:szCs w:val="24"/>
              </w:rPr>
            </w:pPr>
            <w:r>
              <w:rPr>
                <w:rFonts w:hint="eastAsia" w:ascii="仿宋" w:hAnsi="仿宋" w:eastAsia="仿宋"/>
                <w:b/>
                <w:color w:val="000000"/>
                <w:sz w:val="24"/>
                <w:szCs w:val="24"/>
              </w:rPr>
              <w:t>（一）价格部分（满分</w:t>
            </w:r>
            <w:r>
              <w:rPr>
                <w:rFonts w:hint="eastAsia" w:ascii="仿宋" w:hAnsi="仿宋" w:eastAsia="仿宋"/>
                <w:color w:val="000000"/>
                <w:sz w:val="24"/>
                <w:szCs w:val="24"/>
              </w:rPr>
              <w:t>30</w:t>
            </w:r>
            <w:r>
              <w:rPr>
                <w:rFonts w:hint="eastAsia" w:ascii="仿宋" w:hAnsi="仿宋" w:eastAsia="仿宋"/>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top w:val="single" w:color="auto" w:sz="4" w:space="0"/>
            </w:tcBorders>
            <w:vAlign w:val="center"/>
          </w:tcPr>
          <w:p>
            <w:pPr>
              <w:spacing w:line="420" w:lineRule="exact"/>
              <w:jc w:val="center"/>
              <w:rPr>
                <w:rFonts w:ascii="仿宋" w:hAnsi="仿宋" w:eastAsia="仿宋"/>
                <w:b/>
                <w:color w:val="000000"/>
                <w:sz w:val="24"/>
                <w:szCs w:val="24"/>
              </w:rPr>
            </w:pPr>
            <w:r>
              <w:rPr>
                <w:rFonts w:hint="eastAsia" w:ascii="仿宋" w:hAnsi="仿宋" w:eastAsia="仿宋"/>
                <w:b/>
                <w:color w:val="000000"/>
                <w:sz w:val="24"/>
                <w:szCs w:val="24"/>
              </w:rPr>
              <w:t>评分因素</w:t>
            </w:r>
          </w:p>
        </w:tc>
        <w:tc>
          <w:tcPr>
            <w:tcW w:w="5953" w:type="dxa"/>
            <w:tcBorders>
              <w:top w:val="single" w:color="auto" w:sz="4" w:space="0"/>
            </w:tcBorders>
            <w:vAlign w:val="center"/>
          </w:tcPr>
          <w:p>
            <w:pPr>
              <w:spacing w:line="420" w:lineRule="exact"/>
              <w:ind w:firstLine="482" w:firstLineChars="200"/>
              <w:jc w:val="center"/>
              <w:rPr>
                <w:rFonts w:ascii="仿宋" w:hAnsi="仿宋" w:eastAsia="仿宋"/>
                <w:b/>
                <w:color w:val="000000"/>
                <w:sz w:val="24"/>
                <w:szCs w:val="24"/>
              </w:rPr>
            </w:pPr>
            <w:r>
              <w:rPr>
                <w:rFonts w:hint="eastAsia" w:ascii="仿宋" w:hAnsi="仿宋" w:eastAsia="仿宋"/>
                <w:b/>
                <w:color w:val="000000"/>
                <w:sz w:val="24"/>
                <w:szCs w:val="24"/>
              </w:rPr>
              <w:t>评分标准</w:t>
            </w:r>
          </w:p>
        </w:tc>
        <w:tc>
          <w:tcPr>
            <w:tcW w:w="967" w:type="dxa"/>
            <w:tcBorders>
              <w:top w:val="single" w:color="auto" w:sz="4" w:space="0"/>
            </w:tcBorders>
            <w:vAlign w:val="center"/>
          </w:tcPr>
          <w:p>
            <w:pPr>
              <w:spacing w:line="420" w:lineRule="exact"/>
              <w:rPr>
                <w:rFonts w:ascii="仿宋" w:hAnsi="仿宋" w:eastAsia="仿宋"/>
                <w:b/>
                <w:color w:val="000000"/>
                <w:sz w:val="24"/>
                <w:szCs w:val="24"/>
              </w:rPr>
            </w:pPr>
            <w:r>
              <w:rPr>
                <w:rFonts w:hint="eastAsia" w:ascii="仿宋" w:hAnsi="仿宋" w:eastAsia="仿宋"/>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046" w:type="dxa"/>
            <w:tcBorders>
              <w:top w:val="single" w:color="auto" w:sz="4" w:space="0"/>
            </w:tcBorders>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投标报价</w:t>
            </w:r>
          </w:p>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评分标准</w:t>
            </w:r>
          </w:p>
        </w:tc>
        <w:tc>
          <w:tcPr>
            <w:tcW w:w="5953" w:type="dxa"/>
            <w:tcBorders>
              <w:top w:val="single" w:color="auto" w:sz="4" w:space="0"/>
            </w:tcBorders>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评标基准价：满足招标文件要求的有效投标报价中，最低的投标报价为评标基准价。</w:t>
            </w:r>
          </w:p>
          <w:p>
            <w:pPr>
              <w:spacing w:line="420" w:lineRule="exact"/>
              <w:rPr>
                <w:rFonts w:ascii="仿宋" w:hAnsi="仿宋" w:eastAsia="仿宋"/>
                <w:color w:val="000000"/>
                <w:sz w:val="24"/>
                <w:szCs w:val="24"/>
              </w:rPr>
            </w:pPr>
            <w:r>
              <w:rPr>
                <w:rFonts w:hint="eastAsia" w:ascii="仿宋" w:hAnsi="仿宋" w:eastAsia="仿宋"/>
                <w:color w:val="000000"/>
                <w:sz w:val="24"/>
                <w:szCs w:val="24"/>
              </w:rPr>
              <w:t>投标报价得分=（评标基准价/投标报价）×30</w:t>
            </w:r>
          </w:p>
        </w:tc>
        <w:tc>
          <w:tcPr>
            <w:tcW w:w="967" w:type="dxa"/>
            <w:tcBorders>
              <w:top w:val="single" w:color="auto" w:sz="4" w:space="0"/>
            </w:tcBorders>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spacing w:line="420" w:lineRule="exact"/>
              <w:jc w:val="center"/>
              <w:rPr>
                <w:rFonts w:ascii="仿宋" w:hAnsi="仿宋" w:eastAsia="仿宋"/>
                <w:b/>
                <w:color w:val="000000"/>
                <w:sz w:val="24"/>
                <w:szCs w:val="24"/>
              </w:rPr>
            </w:pPr>
            <w:r>
              <w:rPr>
                <w:rFonts w:hint="eastAsia" w:ascii="仿宋" w:hAnsi="仿宋" w:eastAsia="仿宋"/>
                <w:b/>
                <w:color w:val="000000"/>
                <w:sz w:val="24"/>
                <w:szCs w:val="24"/>
              </w:rPr>
              <w:t>（二）商务部分（满分</w:t>
            </w:r>
            <w:r>
              <w:rPr>
                <w:rFonts w:hint="eastAsia" w:ascii="仿宋" w:hAnsi="仿宋" w:eastAsia="仿宋"/>
                <w:color w:val="000000"/>
                <w:sz w:val="24"/>
                <w:szCs w:val="24"/>
              </w:rPr>
              <w:t>30</w:t>
            </w:r>
            <w:r>
              <w:rPr>
                <w:rFonts w:hint="eastAsia" w:ascii="仿宋" w:hAnsi="仿宋" w:eastAsia="仿宋"/>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bottom w:val="single" w:color="auto" w:sz="4" w:space="0"/>
            </w:tcBorders>
            <w:vAlign w:val="center"/>
          </w:tcPr>
          <w:p>
            <w:pPr>
              <w:spacing w:line="420" w:lineRule="exact"/>
              <w:jc w:val="center"/>
              <w:rPr>
                <w:rFonts w:ascii="仿宋" w:hAnsi="仿宋" w:eastAsia="仿宋"/>
                <w:b/>
                <w:color w:val="000000"/>
                <w:sz w:val="24"/>
                <w:szCs w:val="24"/>
              </w:rPr>
            </w:pPr>
            <w:r>
              <w:rPr>
                <w:rFonts w:hint="eastAsia" w:ascii="仿宋" w:hAnsi="仿宋" w:eastAsia="仿宋"/>
                <w:b/>
                <w:color w:val="000000"/>
                <w:sz w:val="24"/>
                <w:szCs w:val="24"/>
              </w:rPr>
              <w:t>评分因素</w:t>
            </w:r>
          </w:p>
        </w:tc>
        <w:tc>
          <w:tcPr>
            <w:tcW w:w="5953" w:type="dxa"/>
            <w:vAlign w:val="center"/>
          </w:tcPr>
          <w:p>
            <w:pPr>
              <w:spacing w:line="420" w:lineRule="exact"/>
              <w:jc w:val="center"/>
              <w:rPr>
                <w:rFonts w:ascii="仿宋" w:hAnsi="仿宋" w:eastAsia="仿宋"/>
                <w:b/>
                <w:color w:val="000000"/>
                <w:sz w:val="24"/>
                <w:szCs w:val="24"/>
              </w:rPr>
            </w:pPr>
            <w:r>
              <w:rPr>
                <w:rFonts w:hint="eastAsia" w:ascii="仿宋" w:hAnsi="仿宋" w:eastAsia="仿宋"/>
                <w:b/>
                <w:color w:val="000000"/>
                <w:sz w:val="24"/>
                <w:szCs w:val="24"/>
              </w:rPr>
              <w:t>评分标准</w:t>
            </w:r>
          </w:p>
        </w:tc>
        <w:tc>
          <w:tcPr>
            <w:tcW w:w="967" w:type="dxa"/>
            <w:vAlign w:val="center"/>
          </w:tcPr>
          <w:p>
            <w:pPr>
              <w:spacing w:line="420" w:lineRule="exact"/>
              <w:rPr>
                <w:rFonts w:ascii="仿宋" w:hAnsi="仿宋" w:eastAsia="仿宋"/>
                <w:b/>
                <w:color w:val="000000"/>
                <w:sz w:val="24"/>
                <w:szCs w:val="24"/>
              </w:rPr>
            </w:pPr>
            <w:r>
              <w:rPr>
                <w:rFonts w:hint="eastAsia" w:ascii="仿宋" w:hAnsi="仿宋" w:eastAsia="仿宋"/>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6" w:hRule="atLeast"/>
        </w:trPr>
        <w:tc>
          <w:tcPr>
            <w:tcW w:w="2046" w:type="dxa"/>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投标人实力</w:t>
            </w:r>
          </w:p>
        </w:tc>
        <w:tc>
          <w:tcPr>
            <w:tcW w:w="5953" w:type="dxa"/>
            <w:vAlign w:val="center"/>
          </w:tcPr>
          <w:p>
            <w:pPr>
              <w:spacing w:line="4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投标人</w:t>
            </w:r>
            <w:r>
              <w:rPr>
                <w:rFonts w:hint="eastAsia" w:ascii="仿宋" w:hAnsi="仿宋" w:eastAsia="仿宋"/>
                <w:color w:val="000000" w:themeColor="text1"/>
                <w:sz w:val="24"/>
                <w:szCs w:val="24"/>
                <w14:textFill>
                  <w14:solidFill>
                    <w14:schemeClr w14:val="tx1"/>
                  </w14:solidFill>
                </w14:textFill>
              </w:rPr>
              <w:t>2016年1月1日以来参与光纤网络建设类似项目成交金额在180万以上的每有一个项目加2分,没有不得分，满分10分。</w:t>
            </w:r>
          </w:p>
          <w:p>
            <w:pPr>
              <w:spacing w:line="4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投标人</w:t>
            </w:r>
            <w:r>
              <w:rPr>
                <w:rFonts w:hint="eastAsia" w:ascii="仿宋" w:hAnsi="仿宋" w:eastAsia="仿宋"/>
                <w:color w:val="000000" w:themeColor="text1"/>
                <w:sz w:val="24"/>
                <w:szCs w:val="24"/>
                <w14:textFill>
                  <w14:solidFill>
                    <w14:schemeClr w14:val="tx1"/>
                  </w14:solidFill>
                </w14:textFill>
              </w:rPr>
              <w:t>2016年1月1日以来参与类似方面覆盖98%以上行政村光纤网络建设项目，每一个项目加5分,没有不得分，满分5分。</w:t>
            </w:r>
          </w:p>
          <w:p>
            <w:pPr>
              <w:spacing w:line="420" w:lineRule="exact"/>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w:t>
            </w:r>
            <w:r>
              <w:rPr>
                <w:rFonts w:ascii="仿宋" w:hAnsi="仿宋" w:eastAsia="仿宋" w:cs="宋体"/>
                <w:color w:val="000000" w:themeColor="text1"/>
                <w:sz w:val="24"/>
                <w:szCs w:val="24"/>
                <w14:textFill>
                  <w14:solidFill>
                    <w14:schemeClr w14:val="tx1"/>
                  </w14:solidFill>
                </w14:textFill>
              </w:rPr>
              <w:t>投标人</w:t>
            </w:r>
            <w:r>
              <w:rPr>
                <w:rFonts w:hint="eastAsia" w:ascii="仿宋" w:hAnsi="仿宋" w:eastAsia="仿宋" w:cs="宋体"/>
                <w:color w:val="000000" w:themeColor="text1"/>
                <w:sz w:val="24"/>
                <w:szCs w:val="24"/>
                <w14:textFill>
                  <w14:solidFill>
                    <w14:schemeClr w14:val="tx1"/>
                  </w14:solidFill>
                </w14:textFill>
              </w:rPr>
              <w:t>提供2016年1月1日</w:t>
            </w:r>
            <w:r>
              <w:rPr>
                <w:rFonts w:hint="eastAsia" w:ascii="仿宋" w:hAnsi="仿宋" w:eastAsia="仿宋" w:cs="宋体"/>
                <w:color w:val="000000" w:themeColor="text1"/>
                <w:sz w:val="24"/>
                <w:szCs w:val="24"/>
                <w:lang w:eastAsia="zh-CN"/>
                <w14:textFill>
                  <w14:solidFill>
                    <w14:schemeClr w14:val="tx1"/>
                  </w14:solidFill>
                </w14:textFill>
              </w:rPr>
              <w:t>以来</w:t>
            </w:r>
            <w:r>
              <w:rPr>
                <w:rFonts w:hint="eastAsia" w:ascii="仿宋" w:hAnsi="仿宋" w:eastAsia="仿宋" w:cs="宋体"/>
                <w:color w:val="000000" w:themeColor="text1"/>
                <w:sz w:val="24"/>
                <w:szCs w:val="24"/>
                <w14:textFill>
                  <w14:solidFill>
                    <w14:schemeClr w14:val="tx1"/>
                  </w14:solidFill>
                </w14:textFill>
              </w:rPr>
              <w:t>参与信息化建设并签订类似项目战略合作协议，每份合同</w:t>
            </w:r>
            <w:r>
              <w:rPr>
                <w:rFonts w:hint="eastAsia" w:ascii="仿宋" w:hAnsi="仿宋" w:eastAsia="仿宋" w:cs="宋体"/>
                <w:color w:val="000000" w:themeColor="text1"/>
                <w:sz w:val="24"/>
                <w:szCs w:val="24"/>
                <w:lang w:val="en-US" w:eastAsia="zh-CN"/>
                <w14:textFill>
                  <w14:solidFill>
                    <w14:schemeClr w14:val="tx1"/>
                  </w14:solidFill>
                </w14:textFill>
              </w:rPr>
              <w:t>1</w:t>
            </w:r>
            <w:r>
              <w:rPr>
                <w:rFonts w:hint="eastAsia" w:ascii="仿宋" w:hAnsi="仿宋" w:eastAsia="仿宋" w:cs="宋体"/>
                <w:color w:val="000000" w:themeColor="text1"/>
                <w:sz w:val="24"/>
                <w:szCs w:val="24"/>
                <w14:textFill>
                  <w14:solidFill>
                    <w14:schemeClr w14:val="tx1"/>
                  </w14:solidFill>
                </w14:textFill>
              </w:rPr>
              <w:t xml:space="preserve">分，共5分。 </w:t>
            </w:r>
          </w:p>
          <w:p>
            <w:pPr>
              <w:spacing w:line="42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lang w:val="zh-CN"/>
                <w14:textFill>
                  <w14:solidFill>
                    <w14:schemeClr w14:val="tx1"/>
                  </w14:solidFill>
                </w14:textFill>
              </w:rPr>
              <w:t>投标人具备覆盖项目范围内的线路路由设施，为本公司自有产权，能保证后期使用中不产生纠纷，提供相关证明材料，覆盖率在95%以上的（含95%）得10分，否则不得分。（请注意“其他要求”第九条对此项的要求）</w:t>
            </w:r>
          </w:p>
        </w:tc>
        <w:tc>
          <w:tcPr>
            <w:tcW w:w="967" w:type="dxa"/>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spacing w:line="42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（三）技术部分（满分</w:t>
            </w:r>
            <w:r>
              <w:rPr>
                <w:rFonts w:hint="eastAsia" w:ascii="仿宋" w:hAnsi="仿宋" w:eastAsia="仿宋"/>
                <w:color w:val="000000" w:themeColor="text1"/>
                <w:sz w:val="24"/>
                <w:szCs w:val="24"/>
                <w14:textFill>
                  <w14:solidFill>
                    <w14:schemeClr w14:val="tx1"/>
                  </w14:solidFill>
                </w14:textFill>
              </w:rPr>
              <w:t>40</w:t>
            </w:r>
            <w:r>
              <w:rPr>
                <w:rFonts w:hint="eastAsia" w:ascii="仿宋" w:hAnsi="仿宋" w:eastAsia="仿宋"/>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420" w:lineRule="exact"/>
              <w:jc w:val="center"/>
              <w:rPr>
                <w:rFonts w:ascii="仿宋" w:hAnsi="仿宋" w:eastAsia="仿宋"/>
                <w:b/>
                <w:color w:val="000000"/>
                <w:sz w:val="24"/>
                <w:szCs w:val="24"/>
              </w:rPr>
            </w:pPr>
            <w:r>
              <w:rPr>
                <w:rFonts w:hint="eastAsia" w:ascii="仿宋" w:hAnsi="仿宋" w:eastAsia="仿宋"/>
                <w:b/>
                <w:color w:val="000000"/>
                <w:sz w:val="24"/>
                <w:szCs w:val="24"/>
              </w:rPr>
              <w:t>评分因素</w:t>
            </w:r>
          </w:p>
        </w:tc>
        <w:tc>
          <w:tcPr>
            <w:tcW w:w="5953" w:type="dxa"/>
            <w:vAlign w:val="center"/>
          </w:tcPr>
          <w:p>
            <w:pPr>
              <w:spacing w:line="420" w:lineRule="exact"/>
              <w:ind w:firstLine="482" w:firstLineChars="2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评分标准</w:t>
            </w:r>
          </w:p>
        </w:tc>
        <w:tc>
          <w:tcPr>
            <w:tcW w:w="967" w:type="dxa"/>
            <w:vAlign w:val="center"/>
          </w:tcPr>
          <w:p>
            <w:pPr>
              <w:spacing w:line="420" w:lineRule="exact"/>
              <w:rPr>
                <w:rFonts w:ascii="仿宋" w:hAnsi="仿宋" w:eastAsia="仿宋"/>
                <w:b/>
                <w:color w:val="000000"/>
                <w:sz w:val="24"/>
                <w:szCs w:val="24"/>
              </w:rPr>
            </w:pPr>
            <w:r>
              <w:rPr>
                <w:rFonts w:hint="eastAsia" w:ascii="仿宋" w:hAnsi="仿宋" w:eastAsia="仿宋"/>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对招标文件</w:t>
            </w:r>
          </w:p>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响应程度</w:t>
            </w:r>
          </w:p>
        </w:tc>
        <w:tc>
          <w:tcPr>
            <w:tcW w:w="5953" w:type="dxa"/>
            <w:vAlign w:val="center"/>
          </w:tcPr>
          <w:p>
            <w:pPr>
              <w:spacing w:line="4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eastAsia" w:ascii="仿宋" w:hAnsi="仿宋" w:eastAsia="仿宋" w:cs="宋体"/>
                <w:color w:val="000000" w:themeColor="text1"/>
                <w:sz w:val="24"/>
                <w:szCs w:val="24"/>
                <w14:textFill>
                  <w14:solidFill>
                    <w14:schemeClr w14:val="tx1"/>
                  </w14:solidFill>
                </w14:textFill>
              </w:rPr>
              <w:t>投标产品完全满足招标文件技术要求的得基础分10分，加星项每优于一项加1分，共13分。</w:t>
            </w:r>
          </w:p>
        </w:tc>
        <w:tc>
          <w:tcPr>
            <w:tcW w:w="967" w:type="dxa"/>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42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投标文件</w:t>
            </w:r>
          </w:p>
          <w:p>
            <w:pPr>
              <w:spacing w:line="42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规范程度</w:t>
            </w:r>
          </w:p>
        </w:tc>
        <w:tc>
          <w:tcPr>
            <w:tcW w:w="5953" w:type="dxa"/>
            <w:vAlign w:val="center"/>
          </w:tcPr>
          <w:p>
            <w:pPr>
              <w:spacing w:line="42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1、装订规范、文字清晰、无差错1分。</w:t>
            </w:r>
          </w:p>
          <w:p>
            <w:pPr>
              <w:spacing w:line="42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2、所提供资料准确完整 1 分。投标文件编制无目录和页码，排序混乱和缺篇少页的不得分。</w:t>
            </w:r>
          </w:p>
        </w:tc>
        <w:tc>
          <w:tcPr>
            <w:tcW w:w="967" w:type="dxa"/>
            <w:vAlign w:val="center"/>
          </w:tcPr>
          <w:p>
            <w:pPr>
              <w:spacing w:line="420" w:lineRule="exact"/>
              <w:rPr>
                <w:rFonts w:ascii="仿宋" w:hAnsi="仿宋" w:eastAsia="仿宋" w:cs="宋体"/>
                <w:color w:val="000000"/>
                <w:sz w:val="24"/>
                <w:szCs w:val="24"/>
              </w:rPr>
            </w:pPr>
            <w:r>
              <w:rPr>
                <w:rFonts w:hint="eastAsia" w:ascii="仿宋" w:hAnsi="仿宋" w:eastAsia="仿宋" w:cs="宋体"/>
                <w:color w:val="00000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420" w:lineRule="exact"/>
              <w:jc w:val="center"/>
              <w:rPr>
                <w:rFonts w:ascii="仿宋" w:hAnsi="仿宋" w:eastAsia="仿宋"/>
                <w:color w:val="000000"/>
                <w:sz w:val="24"/>
                <w:szCs w:val="24"/>
              </w:rPr>
            </w:pPr>
            <w:r>
              <w:rPr>
                <w:rFonts w:hint="eastAsia" w:ascii="仿宋" w:hAnsi="仿宋" w:eastAsia="仿宋"/>
                <w:color w:val="000000"/>
                <w:sz w:val="24"/>
                <w:szCs w:val="24"/>
              </w:rPr>
              <w:t>实施及售后服务承诺</w:t>
            </w:r>
          </w:p>
        </w:tc>
        <w:tc>
          <w:tcPr>
            <w:tcW w:w="5953" w:type="dxa"/>
            <w:vAlign w:val="center"/>
          </w:tcPr>
          <w:p>
            <w:pPr>
              <w:pStyle w:val="130"/>
              <w:numPr>
                <w:ilvl w:val="0"/>
                <w:numId w:val="9"/>
              </w:numPr>
              <w:spacing w:line="420" w:lineRule="exact"/>
              <w:ind w:firstLineChars="0"/>
              <w:rPr>
                <w:rFonts w:ascii="仿宋" w:hAnsi="仿宋" w:eastAsia="仿宋"/>
                <w:color w:val="000000"/>
                <w:sz w:val="24"/>
                <w:szCs w:val="24"/>
              </w:rPr>
            </w:pPr>
            <w:r>
              <w:rPr>
                <w:rFonts w:hint="eastAsia" w:ascii="仿宋" w:hAnsi="仿宋" w:eastAsia="仿宋"/>
                <w:color w:val="000000"/>
                <w:sz w:val="24"/>
                <w:szCs w:val="24"/>
              </w:rPr>
              <w:t>由评委根据各投标供应商技术方案的详细性、可行性、完善性等进行横向对比酌情打分（0-2分）。</w:t>
            </w:r>
          </w:p>
          <w:p>
            <w:pPr>
              <w:pStyle w:val="130"/>
              <w:numPr>
                <w:ilvl w:val="0"/>
                <w:numId w:val="9"/>
              </w:numPr>
              <w:spacing w:line="420" w:lineRule="exact"/>
              <w:ind w:firstLineChars="0"/>
              <w:jc w:val="left"/>
              <w:rPr>
                <w:rFonts w:ascii="仿宋" w:hAnsi="仿宋" w:eastAsia="仿宋" w:cs="宋体"/>
                <w:color w:val="000000"/>
                <w:sz w:val="24"/>
                <w:szCs w:val="24"/>
              </w:rPr>
            </w:pPr>
            <w:r>
              <w:rPr>
                <w:rFonts w:hint="eastAsia" w:ascii="仿宋" w:hAnsi="仿宋" w:eastAsia="仿宋" w:cs="宋体"/>
                <w:color w:val="000000"/>
                <w:sz w:val="24"/>
                <w:szCs w:val="24"/>
              </w:rPr>
              <w:t>项目完成时间20天以内（含20天）完成工程得10分，30天以内（含20天）完成工程得5分， 30天以上不得分。</w:t>
            </w:r>
          </w:p>
          <w:p>
            <w:pPr>
              <w:pStyle w:val="130"/>
              <w:numPr>
                <w:ilvl w:val="0"/>
                <w:numId w:val="9"/>
              </w:numPr>
              <w:spacing w:line="420" w:lineRule="exact"/>
              <w:ind w:firstLineChars="0"/>
              <w:jc w:val="left"/>
              <w:rPr>
                <w:rFonts w:ascii="仿宋" w:hAnsi="仿宋" w:eastAsia="仿宋" w:cs="宋体"/>
                <w:color w:val="000000"/>
                <w:sz w:val="24"/>
                <w:szCs w:val="24"/>
              </w:rPr>
            </w:pPr>
            <w:r>
              <w:rPr>
                <w:rFonts w:hint="eastAsia" w:ascii="仿宋" w:hAnsi="仿宋" w:eastAsia="仿宋"/>
                <w:color w:val="000000"/>
                <w:sz w:val="24"/>
                <w:szCs w:val="24"/>
              </w:rPr>
              <w:t>解决问题时间：以小时为单位（四舍五入法，分钟取整按1小时计算），以4小时为起点，基本分1分，每减少1小时，加2分，满分7分。4小时以上的每超过1小时扣2分，6小时以上不得分（提供详细的售后服务方案，包含售后车辆、人员、设备等）。</w:t>
            </w:r>
          </w:p>
          <w:p>
            <w:pPr>
              <w:pStyle w:val="130"/>
              <w:numPr>
                <w:ilvl w:val="0"/>
                <w:numId w:val="9"/>
              </w:numPr>
              <w:spacing w:line="420" w:lineRule="exact"/>
              <w:ind w:firstLineChars="0"/>
              <w:jc w:val="left"/>
              <w:rPr>
                <w:rFonts w:ascii="仿宋" w:hAnsi="仿宋" w:eastAsia="仿宋" w:cs="宋体"/>
                <w:color w:val="000000" w:themeColor="text1"/>
                <w:sz w:val="24"/>
                <w:szCs w:val="24"/>
              </w:rPr>
            </w:pPr>
            <w:r>
              <w:rPr>
                <w:rFonts w:hint="eastAsia" w:ascii="仿宋" w:hAnsi="仿宋" w:eastAsia="仿宋"/>
                <w:color w:val="000000"/>
                <w:sz w:val="24"/>
                <w:szCs w:val="24"/>
              </w:rPr>
              <w:t>提供完整的布线图及网络节点图，根据详细及合理</w:t>
            </w:r>
            <w:r>
              <w:rPr>
                <w:rFonts w:hint="eastAsia" w:ascii="仿宋" w:hAnsi="仿宋" w:eastAsia="仿宋"/>
                <w:color w:val="000000" w:themeColor="text1"/>
                <w:sz w:val="24"/>
                <w:szCs w:val="24"/>
              </w:rPr>
              <w:t>程度评委酌情打分0—3分。</w:t>
            </w:r>
          </w:p>
          <w:p>
            <w:pPr>
              <w:pStyle w:val="130"/>
              <w:numPr>
                <w:ilvl w:val="0"/>
                <w:numId w:val="9"/>
              </w:numPr>
              <w:spacing w:line="420" w:lineRule="exact"/>
              <w:ind w:firstLineChars="0"/>
              <w:jc w:val="left"/>
              <w:rPr>
                <w:rFonts w:ascii="仿宋" w:hAnsi="仿宋" w:eastAsia="仿宋" w:cs="宋体"/>
                <w:color w:val="FF0000"/>
                <w:sz w:val="24"/>
                <w:szCs w:val="24"/>
              </w:rPr>
            </w:pPr>
            <w:r>
              <w:rPr>
                <w:rFonts w:hint="eastAsia" w:ascii="仿宋" w:hAnsi="仿宋" w:eastAsia="仿宋"/>
                <w:color w:val="000000" w:themeColor="text1"/>
                <w:sz w:val="24"/>
                <w:szCs w:val="24"/>
              </w:rPr>
              <w:t>提供对接市电子政务外网的完整方案，由评委根据各投标供应商方案的详细性、可行性、完善性等进行横向对比酌情打分（0-3分）</w:t>
            </w:r>
          </w:p>
        </w:tc>
        <w:tc>
          <w:tcPr>
            <w:tcW w:w="967" w:type="dxa"/>
            <w:vAlign w:val="center"/>
          </w:tcPr>
          <w:p>
            <w:pPr>
              <w:spacing w:line="420" w:lineRule="exact"/>
              <w:rPr>
                <w:rFonts w:ascii="仿宋" w:hAnsi="仿宋" w:eastAsia="仿宋"/>
                <w:color w:val="000000"/>
                <w:sz w:val="24"/>
                <w:szCs w:val="24"/>
              </w:rPr>
            </w:pPr>
            <w:r>
              <w:rPr>
                <w:rFonts w:hint="eastAsia" w:ascii="仿宋" w:hAnsi="仿宋" w:eastAsia="仿宋"/>
                <w:color w:val="000000"/>
                <w:sz w:val="24"/>
                <w:szCs w:val="24"/>
              </w:rPr>
              <w:t>25分</w:t>
            </w:r>
          </w:p>
        </w:tc>
      </w:tr>
    </w:tbl>
    <w:p>
      <w:pPr>
        <w:pStyle w:val="125"/>
        <w:spacing w:before="120" w:after="120"/>
        <w:ind w:firstLine="0" w:firstLineChars="0"/>
        <w:rPr>
          <w:rFonts w:ascii="仿宋" w:hAnsi="仿宋" w:eastAsia="仿宋" w:cs="仿宋"/>
          <w:szCs w:val="24"/>
        </w:rPr>
      </w:pPr>
    </w:p>
    <w:p>
      <w:pPr>
        <w:pStyle w:val="125"/>
        <w:spacing w:before="120" w:after="120"/>
        <w:ind w:firstLine="0" w:firstLineChars="0"/>
        <w:rPr>
          <w:rFonts w:ascii="仿宋" w:hAnsi="仿宋" w:eastAsia="仿宋" w:cs="仿宋"/>
          <w:b/>
          <w:color w:val="FF0000"/>
          <w:szCs w:val="24"/>
        </w:rPr>
      </w:pPr>
      <w:r>
        <w:rPr>
          <w:rFonts w:hint="eastAsia" w:ascii="仿宋" w:hAnsi="仿宋" w:eastAsia="仿宋" w:cs="仿宋"/>
          <w:b/>
          <w:color w:val="FF0000"/>
          <w:szCs w:val="24"/>
        </w:rPr>
        <w:t>（特别提示：以上各标段评分表中所涉及到的证件投标人在开标时候均须携带原件，未提供原件者不得分）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s="仿宋"/>
                <w:color w:val="0000FF"/>
                <w:szCs w:val="24"/>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各标段推荐三名中标候选人，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         （以下简称“本项目”）咨询服务事宜，达成如下合同条款：</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根据               项目要求提供咨询服务，完成本项目。</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第七条  甲方的职责和义务</w:t>
      </w:r>
    </w:p>
    <w:p>
      <w:pPr>
        <w:numPr>
          <w:ilvl w:val="0"/>
          <w:numId w:val="10"/>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10"/>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10"/>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10"/>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10"/>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10"/>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第八条  乙方的职责和义务</w:t>
      </w:r>
    </w:p>
    <w:p>
      <w:pPr>
        <w:numPr>
          <w:ilvl w:val="0"/>
          <w:numId w:val="11"/>
        </w:numPr>
        <w:spacing w:line="360" w:lineRule="auto"/>
        <w:rPr>
          <w:rFonts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1"/>
        </w:numPr>
        <w:spacing w:line="360" w:lineRule="auto"/>
        <w:rPr>
          <w:rFonts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1"/>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1"/>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1"/>
        </w:numPr>
        <w:spacing w:line="360" w:lineRule="auto"/>
        <w:rPr>
          <w:rFonts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numPr>
          <w:ilvl w:val="0"/>
          <w:numId w:val="12"/>
        </w:numPr>
        <w:autoSpaceDE w:val="0"/>
        <w:autoSpaceDN w:val="0"/>
        <w:adjustRightInd w:val="0"/>
        <w:spacing w:line="360" w:lineRule="auto"/>
        <w:rPr>
          <w:rFonts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投标文件（一）</w:t>
      </w:r>
    </w:p>
    <w:p>
      <w:pPr>
        <w:spacing w:line="360" w:lineRule="auto"/>
        <w:ind w:firstLine="3120" w:firstLineChars="1300"/>
        <w:rPr>
          <w:rFonts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r>
        <w:rPr>
          <w:rFonts w:hint="eastAsia" w:ascii="仿宋_GB2312" w:hAnsi="仿宋_GB2312" w:eastAsia="仿宋_GB2312" w:cs="仿宋_GB2312"/>
          <w:sz w:val="16"/>
          <w:szCs w:val="44"/>
        </w:rPr>
        <w:t>（第    标段）</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投标文件（二）</w:t>
      </w:r>
    </w:p>
    <w:p>
      <w:pPr>
        <w:spacing w:line="360" w:lineRule="auto"/>
        <w:ind w:firstLine="3360" w:firstLineChars="1400"/>
        <w:rPr>
          <w:rFonts w:ascii="仿宋_GB2312" w:hAnsi="仿宋_GB2312" w:eastAsia="仿宋_GB2312" w:cs="仿宋_GB2312"/>
          <w:sz w:val="24"/>
          <w:szCs w:val="24"/>
        </w:rPr>
      </w:pPr>
      <w:r>
        <w:rPr>
          <w:rFonts w:hint="eastAsia" w:ascii="仿宋_GB2312" w:hAnsi="仿宋_GB2312" w:eastAsia="仿宋_GB2312" w:cs="仿宋_GB2312"/>
          <w:sz w:val="24"/>
          <w:szCs w:val="24"/>
        </w:rPr>
        <w:t>（符合性证明文件）</w:t>
      </w:r>
    </w:p>
    <w:p>
      <w:pPr>
        <w:spacing w:line="360" w:lineRule="auto"/>
        <w:jc w:val="center"/>
        <w:rPr>
          <w:rFonts w:ascii="仿宋_GB2312" w:hAnsi="仿宋_GB2312" w:eastAsia="仿宋_GB2312" w:cs="仿宋_GB2312"/>
          <w:sz w:val="16"/>
          <w:szCs w:val="44"/>
        </w:rPr>
      </w:pPr>
      <w:r>
        <w:rPr>
          <w:rFonts w:hint="eastAsia" w:ascii="仿宋_GB2312" w:hAnsi="仿宋_GB2312" w:eastAsia="仿宋_GB2312" w:cs="仿宋_GB2312"/>
          <w:sz w:val="16"/>
          <w:szCs w:val="44"/>
        </w:rPr>
        <w:t>（第   标段）</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仿宋"/>
          <w:sz w:val="24"/>
          <w:szCs w:val="24"/>
        </w:rPr>
        <w:t>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1205" w:firstLineChars="500"/>
        <w:jc w:val="left"/>
        <w:rPr>
          <w:rFonts w:ascii="仿宋" w:hAnsi="仿宋" w:eastAsia="仿宋" w:cs="仿宋_GB2312"/>
          <w:b/>
          <w:bCs/>
          <w:sz w:val="24"/>
          <w:szCs w:val="24"/>
        </w:rPr>
      </w:pPr>
      <w:r>
        <w:rPr>
          <w:rFonts w:hint="eastAsia" w:ascii="仿宋" w:hAnsi="仿宋" w:eastAsia="仿宋" w:cs="仿宋_GB2312"/>
          <w:b/>
          <w:bCs/>
          <w:sz w:val="24"/>
          <w:szCs w:val="24"/>
        </w:rPr>
        <w:t>（技术参数及评分标准要求中所提供的相关证明材料复印件）</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154340"/>
    <w:multiLevelType w:val="singleLevel"/>
    <w:tmpl w:val="FE154340"/>
    <w:lvl w:ilvl="0" w:tentative="0">
      <w:start w:val="1"/>
      <w:numFmt w:val="chineseCounting"/>
      <w:suff w:val="nothing"/>
      <w:lvlText w:val="%1、"/>
      <w:lvlJc w:val="left"/>
      <w:rPr>
        <w:rFonts w:hint="eastAsia"/>
      </w:rPr>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9F259E"/>
    <w:multiLevelType w:val="singleLevel"/>
    <w:tmpl w:val="0B9F259E"/>
    <w:lvl w:ilvl="0" w:tentative="0">
      <w:start w:val="9"/>
      <w:numFmt w:val="chineseCounting"/>
      <w:suff w:val="nothing"/>
      <w:lvlText w:val="第%1部分　"/>
      <w:lvlJc w:val="left"/>
      <w:pPr>
        <w:ind w:left="2813" w:firstLine="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B38C3AC"/>
    <w:multiLevelType w:val="singleLevel"/>
    <w:tmpl w:val="3B38C3AC"/>
    <w:lvl w:ilvl="0" w:tentative="0">
      <w:start w:val="4"/>
      <w:numFmt w:val="chineseCounting"/>
      <w:suff w:val="space"/>
      <w:lvlText w:val="第%1部分"/>
      <w:lvlJc w:val="left"/>
      <w:rPr>
        <w:rFonts w:hint="eastAsia"/>
      </w:rPr>
    </w:lvl>
  </w:abstractNum>
  <w:abstractNum w:abstractNumId="7">
    <w:nsid w:val="4ED746A5"/>
    <w:multiLevelType w:val="multilevel"/>
    <w:tmpl w:val="4ED746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E374A4"/>
    <w:multiLevelType w:val="singleLevel"/>
    <w:tmpl w:val="56E374A4"/>
    <w:lvl w:ilvl="0" w:tentative="0">
      <w:start w:val="9"/>
      <w:numFmt w:val="decimal"/>
      <w:pStyle w:val="119"/>
      <w:suff w:val="nothing"/>
      <w:lvlText w:val="%1、"/>
      <w:lvlJc w:val="left"/>
    </w:lvl>
  </w:abstractNum>
  <w:abstractNum w:abstractNumId="9">
    <w:nsid w:val="5A0532E2"/>
    <w:multiLevelType w:val="singleLevel"/>
    <w:tmpl w:val="5A0532E2"/>
    <w:lvl w:ilvl="0" w:tentative="0">
      <w:start w:val="4"/>
      <w:numFmt w:val="chineseCounting"/>
      <w:suff w:val="nothing"/>
      <w:lvlText w:val="第%1部"/>
      <w:lvlJc w:val="left"/>
    </w:lvl>
  </w:abstractNum>
  <w:abstractNum w:abstractNumId="10">
    <w:nsid w:val="5A27AEF7"/>
    <w:multiLevelType w:val="multilevel"/>
    <w:tmpl w:val="5A27AEF7"/>
    <w:lvl w:ilvl="0" w:tentative="0">
      <w:start w:val="2"/>
      <w:numFmt w:val="chineseCounting"/>
      <w:suff w:val="nothing"/>
      <w:lvlText w:val="（%1）"/>
      <w:lvlJc w:val="left"/>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1">
    <w:nsid w:val="5A30CB82"/>
    <w:multiLevelType w:val="singleLevel"/>
    <w:tmpl w:val="5A30CB82"/>
    <w:lvl w:ilvl="0" w:tentative="0">
      <w:start w:val="1"/>
      <w:numFmt w:val="chineseCounting"/>
      <w:suff w:val="space"/>
      <w:lvlText w:val="第%1部分"/>
      <w:lvlJc w:val="left"/>
    </w:lvl>
  </w:abstractNum>
  <w:num w:numId="1">
    <w:abstractNumId w:val="8"/>
  </w:num>
  <w:num w:numId="2">
    <w:abstractNumId w:val="11"/>
  </w:num>
  <w:num w:numId="3">
    <w:abstractNumId w:val="10"/>
  </w:num>
  <w:num w:numId="4">
    <w:abstractNumId w:val="5"/>
  </w:num>
  <w:num w:numId="5">
    <w:abstractNumId w:val="4"/>
  </w:num>
  <w:num w:numId="6">
    <w:abstractNumId w:val="9"/>
  </w:num>
  <w:num w:numId="7">
    <w:abstractNumId w:val="6"/>
  </w:num>
  <w:num w:numId="8">
    <w:abstractNumId w:val="0"/>
  </w:num>
  <w:num w:numId="9">
    <w:abstractNumId w:val="7"/>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3474C"/>
    <w:rsid w:val="000401F4"/>
    <w:rsid w:val="000403D3"/>
    <w:rsid w:val="0004040B"/>
    <w:rsid w:val="00045C71"/>
    <w:rsid w:val="00046011"/>
    <w:rsid w:val="00053691"/>
    <w:rsid w:val="0005417E"/>
    <w:rsid w:val="00055FE9"/>
    <w:rsid w:val="00057824"/>
    <w:rsid w:val="00062FB4"/>
    <w:rsid w:val="00064349"/>
    <w:rsid w:val="00067144"/>
    <w:rsid w:val="00070CCA"/>
    <w:rsid w:val="0007139F"/>
    <w:rsid w:val="00072DE0"/>
    <w:rsid w:val="00082E72"/>
    <w:rsid w:val="00083AE7"/>
    <w:rsid w:val="0009644A"/>
    <w:rsid w:val="000A1737"/>
    <w:rsid w:val="000A4A5C"/>
    <w:rsid w:val="000B1DEF"/>
    <w:rsid w:val="000B7D76"/>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517"/>
    <w:rsid w:val="00134A1E"/>
    <w:rsid w:val="0013506F"/>
    <w:rsid w:val="001371EA"/>
    <w:rsid w:val="0013743A"/>
    <w:rsid w:val="00140518"/>
    <w:rsid w:val="00142D29"/>
    <w:rsid w:val="00151EA5"/>
    <w:rsid w:val="001547B1"/>
    <w:rsid w:val="0016013C"/>
    <w:rsid w:val="00161BFD"/>
    <w:rsid w:val="00164B95"/>
    <w:rsid w:val="001675F5"/>
    <w:rsid w:val="00172A27"/>
    <w:rsid w:val="001754C8"/>
    <w:rsid w:val="00177C1F"/>
    <w:rsid w:val="00181789"/>
    <w:rsid w:val="00186B61"/>
    <w:rsid w:val="00192253"/>
    <w:rsid w:val="001973FA"/>
    <w:rsid w:val="001A0E1D"/>
    <w:rsid w:val="001A6444"/>
    <w:rsid w:val="001A663A"/>
    <w:rsid w:val="001A7E89"/>
    <w:rsid w:val="001B0A65"/>
    <w:rsid w:val="001B4D0B"/>
    <w:rsid w:val="001B67B3"/>
    <w:rsid w:val="001B7C79"/>
    <w:rsid w:val="001C154B"/>
    <w:rsid w:val="001C5D7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401"/>
    <w:rsid w:val="00261F28"/>
    <w:rsid w:val="00265DC0"/>
    <w:rsid w:val="002661D5"/>
    <w:rsid w:val="0027580D"/>
    <w:rsid w:val="002821B7"/>
    <w:rsid w:val="00284351"/>
    <w:rsid w:val="00284A6E"/>
    <w:rsid w:val="00290622"/>
    <w:rsid w:val="002906D4"/>
    <w:rsid w:val="002934EE"/>
    <w:rsid w:val="002955C9"/>
    <w:rsid w:val="00297AA7"/>
    <w:rsid w:val="002A0FC7"/>
    <w:rsid w:val="002A1D45"/>
    <w:rsid w:val="002A68EA"/>
    <w:rsid w:val="002B3C52"/>
    <w:rsid w:val="002D58C8"/>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178B"/>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277"/>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6741"/>
    <w:rsid w:val="004072DE"/>
    <w:rsid w:val="0041597D"/>
    <w:rsid w:val="004173C2"/>
    <w:rsid w:val="004230F5"/>
    <w:rsid w:val="00423231"/>
    <w:rsid w:val="004236A4"/>
    <w:rsid w:val="00424558"/>
    <w:rsid w:val="00431C98"/>
    <w:rsid w:val="00433B29"/>
    <w:rsid w:val="00437087"/>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87F9C"/>
    <w:rsid w:val="0049332D"/>
    <w:rsid w:val="00493F1D"/>
    <w:rsid w:val="00493F4B"/>
    <w:rsid w:val="00494C4F"/>
    <w:rsid w:val="004950C4"/>
    <w:rsid w:val="004A41F5"/>
    <w:rsid w:val="004B20F6"/>
    <w:rsid w:val="004C5C48"/>
    <w:rsid w:val="004C699A"/>
    <w:rsid w:val="004D39B1"/>
    <w:rsid w:val="004D5284"/>
    <w:rsid w:val="004D79E5"/>
    <w:rsid w:val="004D7EA1"/>
    <w:rsid w:val="004E1761"/>
    <w:rsid w:val="004E353C"/>
    <w:rsid w:val="004E3895"/>
    <w:rsid w:val="004E76CE"/>
    <w:rsid w:val="004F0275"/>
    <w:rsid w:val="00503082"/>
    <w:rsid w:val="005032D1"/>
    <w:rsid w:val="005067CB"/>
    <w:rsid w:val="00510B62"/>
    <w:rsid w:val="0051183E"/>
    <w:rsid w:val="005365BA"/>
    <w:rsid w:val="00536AC1"/>
    <w:rsid w:val="00540DBB"/>
    <w:rsid w:val="00541014"/>
    <w:rsid w:val="00544554"/>
    <w:rsid w:val="00546F35"/>
    <w:rsid w:val="00552ED5"/>
    <w:rsid w:val="005540F0"/>
    <w:rsid w:val="00554F2F"/>
    <w:rsid w:val="00561640"/>
    <w:rsid w:val="00562A43"/>
    <w:rsid w:val="00565ECC"/>
    <w:rsid w:val="00574F8B"/>
    <w:rsid w:val="00575253"/>
    <w:rsid w:val="00590BFE"/>
    <w:rsid w:val="005937E8"/>
    <w:rsid w:val="005A3789"/>
    <w:rsid w:val="005B17A0"/>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31B9"/>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34AE"/>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2F16"/>
    <w:rsid w:val="008C7B11"/>
    <w:rsid w:val="008E2D50"/>
    <w:rsid w:val="008E310B"/>
    <w:rsid w:val="008E3D91"/>
    <w:rsid w:val="008E5D63"/>
    <w:rsid w:val="008E6B23"/>
    <w:rsid w:val="008E7ABE"/>
    <w:rsid w:val="008F132A"/>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4D27"/>
    <w:rsid w:val="009A6B63"/>
    <w:rsid w:val="009A7ED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12F42"/>
    <w:rsid w:val="00A20320"/>
    <w:rsid w:val="00A265C8"/>
    <w:rsid w:val="00A32183"/>
    <w:rsid w:val="00A4579E"/>
    <w:rsid w:val="00A475BA"/>
    <w:rsid w:val="00A52ED4"/>
    <w:rsid w:val="00A535FA"/>
    <w:rsid w:val="00A564A6"/>
    <w:rsid w:val="00A5710E"/>
    <w:rsid w:val="00A65ADC"/>
    <w:rsid w:val="00A712DC"/>
    <w:rsid w:val="00A71C22"/>
    <w:rsid w:val="00A73A17"/>
    <w:rsid w:val="00A73BA7"/>
    <w:rsid w:val="00A76289"/>
    <w:rsid w:val="00A7728B"/>
    <w:rsid w:val="00A81308"/>
    <w:rsid w:val="00A81E8A"/>
    <w:rsid w:val="00A8484C"/>
    <w:rsid w:val="00A850DC"/>
    <w:rsid w:val="00A85F6C"/>
    <w:rsid w:val="00A869E4"/>
    <w:rsid w:val="00A86EF2"/>
    <w:rsid w:val="00AA467B"/>
    <w:rsid w:val="00AA5AC3"/>
    <w:rsid w:val="00AA642C"/>
    <w:rsid w:val="00AA6FFB"/>
    <w:rsid w:val="00AB2898"/>
    <w:rsid w:val="00AB30FD"/>
    <w:rsid w:val="00AB3B8F"/>
    <w:rsid w:val="00AB615C"/>
    <w:rsid w:val="00AB7C9A"/>
    <w:rsid w:val="00AC0242"/>
    <w:rsid w:val="00AC1BB2"/>
    <w:rsid w:val="00AD377B"/>
    <w:rsid w:val="00AD3E47"/>
    <w:rsid w:val="00AD5870"/>
    <w:rsid w:val="00AD7EF1"/>
    <w:rsid w:val="00AD7F6D"/>
    <w:rsid w:val="00AE10C6"/>
    <w:rsid w:val="00AE41AE"/>
    <w:rsid w:val="00AE4AD2"/>
    <w:rsid w:val="00AE5327"/>
    <w:rsid w:val="00AE64F2"/>
    <w:rsid w:val="00AF19E3"/>
    <w:rsid w:val="00AF54D7"/>
    <w:rsid w:val="00AF55F2"/>
    <w:rsid w:val="00AF5BDA"/>
    <w:rsid w:val="00B01B85"/>
    <w:rsid w:val="00B03111"/>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19A4"/>
    <w:rsid w:val="00BA2A27"/>
    <w:rsid w:val="00BA5006"/>
    <w:rsid w:val="00BA5E88"/>
    <w:rsid w:val="00BB15C9"/>
    <w:rsid w:val="00BB4037"/>
    <w:rsid w:val="00BB4153"/>
    <w:rsid w:val="00BC01D8"/>
    <w:rsid w:val="00BC02CE"/>
    <w:rsid w:val="00BC292B"/>
    <w:rsid w:val="00BC3942"/>
    <w:rsid w:val="00BD33BB"/>
    <w:rsid w:val="00BD7CAD"/>
    <w:rsid w:val="00BE21A1"/>
    <w:rsid w:val="00BE3E20"/>
    <w:rsid w:val="00BE4D04"/>
    <w:rsid w:val="00BE53BA"/>
    <w:rsid w:val="00BE60FC"/>
    <w:rsid w:val="00BE6842"/>
    <w:rsid w:val="00BE7841"/>
    <w:rsid w:val="00BF5C98"/>
    <w:rsid w:val="00C03A90"/>
    <w:rsid w:val="00C04493"/>
    <w:rsid w:val="00C0471C"/>
    <w:rsid w:val="00C21FF9"/>
    <w:rsid w:val="00C23204"/>
    <w:rsid w:val="00C26061"/>
    <w:rsid w:val="00C26DFB"/>
    <w:rsid w:val="00C3340E"/>
    <w:rsid w:val="00C3452B"/>
    <w:rsid w:val="00C432F7"/>
    <w:rsid w:val="00C5085A"/>
    <w:rsid w:val="00C55FD8"/>
    <w:rsid w:val="00C57044"/>
    <w:rsid w:val="00C611F9"/>
    <w:rsid w:val="00C6232F"/>
    <w:rsid w:val="00C65549"/>
    <w:rsid w:val="00C74EBE"/>
    <w:rsid w:val="00C75F1E"/>
    <w:rsid w:val="00C762BD"/>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0281"/>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A7A75"/>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936BA"/>
    <w:rsid w:val="00FA4695"/>
    <w:rsid w:val="00FA5DA2"/>
    <w:rsid w:val="00FA736E"/>
    <w:rsid w:val="00FB076C"/>
    <w:rsid w:val="00FB096C"/>
    <w:rsid w:val="00FB38CF"/>
    <w:rsid w:val="00FC01F2"/>
    <w:rsid w:val="00FC4AFE"/>
    <w:rsid w:val="00FC7FD0"/>
    <w:rsid w:val="00FD48A1"/>
    <w:rsid w:val="00FD6801"/>
    <w:rsid w:val="00FD72BC"/>
    <w:rsid w:val="00FE2E7D"/>
    <w:rsid w:val="00FE7864"/>
    <w:rsid w:val="00FF3912"/>
    <w:rsid w:val="00FF3C91"/>
    <w:rsid w:val="00FF6AB2"/>
    <w:rsid w:val="00FF73DB"/>
    <w:rsid w:val="01017847"/>
    <w:rsid w:val="01536E45"/>
    <w:rsid w:val="015F5D2B"/>
    <w:rsid w:val="01AE553D"/>
    <w:rsid w:val="01D912AA"/>
    <w:rsid w:val="031A41B0"/>
    <w:rsid w:val="03CB53C9"/>
    <w:rsid w:val="03D744EF"/>
    <w:rsid w:val="04252D6C"/>
    <w:rsid w:val="04524D74"/>
    <w:rsid w:val="048C72C6"/>
    <w:rsid w:val="04973478"/>
    <w:rsid w:val="04E5185D"/>
    <w:rsid w:val="04EF7AD9"/>
    <w:rsid w:val="04F1400C"/>
    <w:rsid w:val="054A14EB"/>
    <w:rsid w:val="055236E0"/>
    <w:rsid w:val="058277B4"/>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E3119C4"/>
    <w:rsid w:val="0F0D73B6"/>
    <w:rsid w:val="0F2C7289"/>
    <w:rsid w:val="0FBA420F"/>
    <w:rsid w:val="10240870"/>
    <w:rsid w:val="105F0CCD"/>
    <w:rsid w:val="10A25988"/>
    <w:rsid w:val="10DE7BA5"/>
    <w:rsid w:val="10EF23EF"/>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5D1987"/>
    <w:rsid w:val="13705BCF"/>
    <w:rsid w:val="141176DD"/>
    <w:rsid w:val="146639B0"/>
    <w:rsid w:val="14810804"/>
    <w:rsid w:val="14C32394"/>
    <w:rsid w:val="14E7756C"/>
    <w:rsid w:val="15555471"/>
    <w:rsid w:val="15D15729"/>
    <w:rsid w:val="162949D9"/>
    <w:rsid w:val="166F3B31"/>
    <w:rsid w:val="16BB3F9C"/>
    <w:rsid w:val="17093EDF"/>
    <w:rsid w:val="171656DB"/>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FB31C4"/>
    <w:rsid w:val="1C7F2DEC"/>
    <w:rsid w:val="1CAE5C61"/>
    <w:rsid w:val="1CC57EEC"/>
    <w:rsid w:val="1D1E07AB"/>
    <w:rsid w:val="1D285414"/>
    <w:rsid w:val="1D5D79CE"/>
    <w:rsid w:val="1D846EFB"/>
    <w:rsid w:val="1E1761B2"/>
    <w:rsid w:val="1F7C3C3A"/>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BB4D59"/>
    <w:rsid w:val="24BF19AA"/>
    <w:rsid w:val="24CA4202"/>
    <w:rsid w:val="24D66891"/>
    <w:rsid w:val="25302039"/>
    <w:rsid w:val="256C7451"/>
    <w:rsid w:val="25AD30A0"/>
    <w:rsid w:val="25E3691E"/>
    <w:rsid w:val="2667745A"/>
    <w:rsid w:val="26E95B4E"/>
    <w:rsid w:val="276906C7"/>
    <w:rsid w:val="278238A3"/>
    <w:rsid w:val="28742078"/>
    <w:rsid w:val="288E3F7A"/>
    <w:rsid w:val="288F49C5"/>
    <w:rsid w:val="28BF1B33"/>
    <w:rsid w:val="28BF2210"/>
    <w:rsid w:val="28CE556E"/>
    <w:rsid w:val="29366E7C"/>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7249A1"/>
    <w:rsid w:val="2D873A70"/>
    <w:rsid w:val="2DB610BD"/>
    <w:rsid w:val="2DFB43CE"/>
    <w:rsid w:val="2E3D7FDF"/>
    <w:rsid w:val="2E5606EB"/>
    <w:rsid w:val="2E5C72E5"/>
    <w:rsid w:val="2E9D5FE0"/>
    <w:rsid w:val="2F232D02"/>
    <w:rsid w:val="2F2A34A3"/>
    <w:rsid w:val="2F38041E"/>
    <w:rsid w:val="2F433D86"/>
    <w:rsid w:val="2F9A5364"/>
    <w:rsid w:val="2F9D183B"/>
    <w:rsid w:val="2FEB36BE"/>
    <w:rsid w:val="30006487"/>
    <w:rsid w:val="30842425"/>
    <w:rsid w:val="30F82434"/>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B44BD6"/>
    <w:rsid w:val="34CE04B2"/>
    <w:rsid w:val="34F94C42"/>
    <w:rsid w:val="35020BCE"/>
    <w:rsid w:val="354E2015"/>
    <w:rsid w:val="35636C46"/>
    <w:rsid w:val="35736992"/>
    <w:rsid w:val="37692631"/>
    <w:rsid w:val="37B10108"/>
    <w:rsid w:val="389F7F0D"/>
    <w:rsid w:val="38B66F17"/>
    <w:rsid w:val="39264E83"/>
    <w:rsid w:val="397D15ED"/>
    <w:rsid w:val="39A31772"/>
    <w:rsid w:val="39E86E10"/>
    <w:rsid w:val="3A0511AE"/>
    <w:rsid w:val="3A252A28"/>
    <w:rsid w:val="3A361775"/>
    <w:rsid w:val="3A5B0DB6"/>
    <w:rsid w:val="3AFB2C67"/>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D69CE"/>
    <w:rsid w:val="43123999"/>
    <w:rsid w:val="43306F54"/>
    <w:rsid w:val="439D162E"/>
    <w:rsid w:val="43AF4EB6"/>
    <w:rsid w:val="43D47894"/>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9B4550E"/>
    <w:rsid w:val="49F50EB5"/>
    <w:rsid w:val="4AB76254"/>
    <w:rsid w:val="4AF72F43"/>
    <w:rsid w:val="4AFC078A"/>
    <w:rsid w:val="4AFE130C"/>
    <w:rsid w:val="4B06415A"/>
    <w:rsid w:val="4B2C4572"/>
    <w:rsid w:val="4B307A80"/>
    <w:rsid w:val="4BBD5B2C"/>
    <w:rsid w:val="4BF36702"/>
    <w:rsid w:val="4C0E0B24"/>
    <w:rsid w:val="4D5610A9"/>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73B2A77"/>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DE1B94"/>
    <w:rsid w:val="5D2B1C2D"/>
    <w:rsid w:val="5DAD4A6A"/>
    <w:rsid w:val="5DD07849"/>
    <w:rsid w:val="5E6E4ACB"/>
    <w:rsid w:val="5EEA3B04"/>
    <w:rsid w:val="5F092277"/>
    <w:rsid w:val="5F4B6391"/>
    <w:rsid w:val="5F50568C"/>
    <w:rsid w:val="5F8471B4"/>
    <w:rsid w:val="5FCE7ED4"/>
    <w:rsid w:val="5FEB58A2"/>
    <w:rsid w:val="5FED7CD7"/>
    <w:rsid w:val="601B36B0"/>
    <w:rsid w:val="605A5E28"/>
    <w:rsid w:val="60A449E5"/>
    <w:rsid w:val="612A61E3"/>
    <w:rsid w:val="61B82A98"/>
    <w:rsid w:val="61F84732"/>
    <w:rsid w:val="62352BFE"/>
    <w:rsid w:val="62530EF5"/>
    <w:rsid w:val="62E716B2"/>
    <w:rsid w:val="63097C59"/>
    <w:rsid w:val="633D6D93"/>
    <w:rsid w:val="634F7C15"/>
    <w:rsid w:val="63736A17"/>
    <w:rsid w:val="63937116"/>
    <w:rsid w:val="63C05B9E"/>
    <w:rsid w:val="642F4F3E"/>
    <w:rsid w:val="647F4A97"/>
    <w:rsid w:val="651A4BCA"/>
    <w:rsid w:val="659F5C58"/>
    <w:rsid w:val="65D24C12"/>
    <w:rsid w:val="65F1505D"/>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B90394"/>
    <w:rsid w:val="6FC41E1E"/>
    <w:rsid w:val="6FE86904"/>
    <w:rsid w:val="70241AB8"/>
    <w:rsid w:val="706476AA"/>
    <w:rsid w:val="7105714A"/>
    <w:rsid w:val="710F25A0"/>
    <w:rsid w:val="714177A5"/>
    <w:rsid w:val="7255719B"/>
    <w:rsid w:val="736926A1"/>
    <w:rsid w:val="744C618D"/>
    <w:rsid w:val="74920FD0"/>
    <w:rsid w:val="74924B26"/>
    <w:rsid w:val="74B50A85"/>
    <w:rsid w:val="74DF7784"/>
    <w:rsid w:val="75125292"/>
    <w:rsid w:val="753241CE"/>
    <w:rsid w:val="758826A4"/>
    <w:rsid w:val="75B01AA9"/>
    <w:rsid w:val="76140509"/>
    <w:rsid w:val="763C41F4"/>
    <w:rsid w:val="768649B8"/>
    <w:rsid w:val="76EF0C8A"/>
    <w:rsid w:val="76F83624"/>
    <w:rsid w:val="773F1990"/>
    <w:rsid w:val="776A79F9"/>
    <w:rsid w:val="777A7DC6"/>
    <w:rsid w:val="78640367"/>
    <w:rsid w:val="78C403B7"/>
    <w:rsid w:val="78F73182"/>
    <w:rsid w:val="79400909"/>
    <w:rsid w:val="79640B02"/>
    <w:rsid w:val="796E4180"/>
    <w:rsid w:val="79874C47"/>
    <w:rsid w:val="79D2695D"/>
    <w:rsid w:val="7A731DE7"/>
    <w:rsid w:val="7ABE7E81"/>
    <w:rsid w:val="7AE73174"/>
    <w:rsid w:val="7B1234F7"/>
    <w:rsid w:val="7B5007DD"/>
    <w:rsid w:val="7BD60299"/>
    <w:rsid w:val="7BDD1DA1"/>
    <w:rsid w:val="7BE5680C"/>
    <w:rsid w:val="7C09693B"/>
    <w:rsid w:val="7C0A69CC"/>
    <w:rsid w:val="7C504BF4"/>
    <w:rsid w:val="7C6B7787"/>
    <w:rsid w:val="7C6F62EE"/>
    <w:rsid w:val="7C8C5F2D"/>
    <w:rsid w:val="7C9F5AAF"/>
    <w:rsid w:val="7CAF0D4D"/>
    <w:rsid w:val="7CCC29A0"/>
    <w:rsid w:val="7CF42D7A"/>
    <w:rsid w:val="7D171AFF"/>
    <w:rsid w:val="7D4359D2"/>
    <w:rsid w:val="7D9A0C78"/>
    <w:rsid w:val="7DFE466B"/>
    <w:rsid w:val="7E3459C9"/>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spacing w:afterLines="70" w:line="360" w:lineRule="auto"/>
      <w:ind w:firstLine="200" w:firstLineChars="200"/>
    </w:pPr>
    <w:rPr>
      <w:rFonts w:ascii="宋体" w:hAnsi="宋体" w:eastAsia="宋体" w:cs="Times New Roman"/>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spacing w:before="100" w:beforeAutospacing="1" w:after="100" w:afterAutospacing="1"/>
    </w:pPr>
    <w:rPr>
      <w:rFonts w:ascii="宋体" w:hAnsi="宋体" w:cs="宋体"/>
      <w:sz w:val="24"/>
      <w:szCs w:val="24"/>
    </w:rPr>
  </w:style>
  <w:style w:type="paragraph" w:styleId="130">
    <w:name w:val="List Paragraph"/>
    <w:basedOn w:val="1"/>
    <w:unhideWhenUsed/>
    <w:qFormat/>
    <w:uiPriority w:val="99"/>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9D36D-0A15-42B4-B98F-FEFBB98B41A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4312</Words>
  <Characters>24583</Characters>
  <Lines>204</Lines>
  <Paragraphs>57</Paragraphs>
  <TotalTime>236</TotalTime>
  <ScaleCrop>false</ScaleCrop>
  <LinksUpToDate>false</LinksUpToDate>
  <CharactersWithSpaces>28838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2018-07-05T02:41:00Z</cp:lastPrinted>
  <dcterms:modified xsi:type="dcterms:W3CDTF">2018-07-05T09:20:44Z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