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黑体" w:hAnsi="黑体" w:eastAsia="黑体"/>
          <w:b/>
          <w:bCs/>
          <w:spacing w:val="-20"/>
          <w:sz w:val="44"/>
          <w:szCs w:val="44"/>
          <w:lang w:val="en-US" w:eastAsia="zh-CN"/>
        </w:rPr>
      </w:pPr>
      <w:r>
        <w:rPr>
          <w:rFonts w:hint="eastAsia" w:ascii="黑体" w:hAnsi="黑体" w:eastAsia="黑体"/>
          <w:b/>
          <w:bCs/>
          <w:spacing w:val="-20"/>
          <w:sz w:val="44"/>
          <w:szCs w:val="44"/>
          <w:lang w:val="en-US" w:eastAsia="zh-CN"/>
        </w:rPr>
        <w:t>禹州市人民政府电子政务办公室</w:t>
      </w:r>
    </w:p>
    <w:p>
      <w:pPr>
        <w:jc w:val="center"/>
        <w:rPr>
          <w:rFonts w:ascii="黑体" w:hAnsi="黑体" w:eastAsia="黑体"/>
          <w:b/>
          <w:bCs/>
          <w:spacing w:val="-20"/>
          <w:sz w:val="44"/>
          <w:szCs w:val="44"/>
        </w:rPr>
      </w:pPr>
      <w:r>
        <w:rPr>
          <w:rFonts w:hint="eastAsia" w:ascii="黑体" w:hAnsi="黑体" w:eastAsia="黑体"/>
          <w:b/>
          <w:bCs/>
          <w:spacing w:val="-20"/>
          <w:sz w:val="44"/>
          <w:szCs w:val="44"/>
          <w:lang w:val="en-US" w:eastAsia="zh-CN"/>
        </w:rPr>
        <w:t>电子政务外网互联网出口线路及安全设备项目</w:t>
      </w:r>
    </w:p>
    <w:p>
      <w:pPr>
        <w:jc w:val="center"/>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hint="eastAsia" w:ascii="仿宋" w:hAnsi="仿宋" w:eastAsia="仿宋"/>
          <w:sz w:val="32"/>
          <w:lang w:val="en-US" w:eastAsia="zh-CN"/>
        </w:rPr>
      </w:pPr>
      <w:r>
        <w:rPr>
          <w:rFonts w:hint="eastAsia" w:ascii="仿宋" w:hAnsi="仿宋" w:eastAsia="仿宋"/>
          <w:sz w:val="32"/>
        </w:rPr>
        <w:t>采购单位：</w:t>
      </w:r>
      <w:r>
        <w:rPr>
          <w:rFonts w:hint="eastAsia" w:ascii="仿宋" w:hAnsi="仿宋" w:eastAsia="仿宋" w:cs="仿宋"/>
          <w:sz w:val="32"/>
          <w:szCs w:val="32"/>
        </w:rPr>
        <w:t>禹州</w:t>
      </w:r>
      <w:r>
        <w:rPr>
          <w:rFonts w:hint="eastAsia" w:ascii="仿宋" w:hAnsi="仿宋" w:eastAsia="仿宋" w:cs="仿宋"/>
          <w:sz w:val="32"/>
          <w:szCs w:val="32"/>
          <w:lang w:eastAsia="zh-CN"/>
        </w:rPr>
        <w:t>市人民政府办公室</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项目名称：禹州市人民政府电子政务办公室电子政务外网互联网出口线路及安全设备项目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8157</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七</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禹州市人民政府电子政务办公室</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电子政务外网互联网出口线路及安全设备项目</w:t>
      </w: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　标</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函</w:t>
      </w:r>
    </w:p>
    <w:p>
      <w:pPr>
        <w:jc w:val="both"/>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禹州市政府采购中心受禹州市人民政府</w:t>
      </w:r>
      <w:r>
        <w:rPr>
          <w:rFonts w:hint="eastAsia" w:ascii="仿宋" w:hAnsi="仿宋" w:eastAsia="仿宋" w:cs="仿宋"/>
          <w:sz w:val="24"/>
          <w:szCs w:val="24"/>
          <w:lang w:eastAsia="zh-CN"/>
        </w:rPr>
        <w:t>办公室</w:t>
      </w:r>
      <w:r>
        <w:rPr>
          <w:rFonts w:hint="eastAsia" w:ascii="仿宋" w:hAnsi="仿宋" w:eastAsia="仿宋" w:cs="仿宋"/>
          <w:sz w:val="24"/>
          <w:szCs w:val="24"/>
        </w:rPr>
        <w:t>的委托，就“</w:t>
      </w:r>
      <w:r>
        <w:rPr>
          <w:rFonts w:hint="eastAsia" w:ascii="仿宋" w:hAnsi="仿宋" w:eastAsia="仿宋" w:cs="仿宋"/>
          <w:sz w:val="24"/>
          <w:szCs w:val="24"/>
          <w:lang w:eastAsia="zh-CN"/>
        </w:rPr>
        <w:t>禹州市人民政府电子政务办公室电子政务外网互联网出口线路及安全设备项目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1、采购人：禹州市人民政府办公室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2、项目名称：禹州市人民政府电子政务办公室电子政务外网互联网出口线路及安全设备项目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8157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第二标段为各局委安全设备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5、采购预算：</w:t>
      </w:r>
      <w:r>
        <w:rPr>
          <w:rFonts w:hint="eastAsia" w:ascii="仿宋" w:hAnsi="仿宋" w:eastAsia="仿宋" w:cs="仿宋"/>
          <w:sz w:val="24"/>
          <w:szCs w:val="24"/>
          <w:lang w:eastAsia="zh-CN"/>
        </w:rPr>
        <w:t>第一标段</w:t>
      </w:r>
      <w:r>
        <w:rPr>
          <w:rFonts w:hint="eastAsia" w:ascii="仿宋" w:hAnsi="仿宋" w:eastAsia="仿宋" w:cs="仿宋"/>
          <w:sz w:val="24"/>
          <w:szCs w:val="24"/>
          <w:lang w:val="en-US" w:eastAsia="zh-CN"/>
        </w:rPr>
        <w:t>315</w:t>
      </w:r>
      <w:r>
        <w:rPr>
          <w:rFonts w:hint="eastAsia" w:ascii="仿宋" w:hAnsi="仿宋" w:eastAsia="仿宋" w:cs="仿宋"/>
          <w:sz w:val="24"/>
          <w:szCs w:val="24"/>
        </w:rPr>
        <w:t>万元</w:t>
      </w:r>
      <w:r>
        <w:rPr>
          <w:rFonts w:hint="eastAsia" w:ascii="仿宋" w:hAnsi="仿宋" w:eastAsia="仿宋" w:cs="仿宋"/>
          <w:sz w:val="24"/>
          <w:szCs w:val="24"/>
          <w:lang w:val="en-US" w:eastAsia="zh-CN"/>
        </w:rPr>
        <w:t xml:space="preserve">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6、最高限价：第一标段315万元   第二标段320万元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岳先生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0374-8279117</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2650" w:firstLineChars="6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jc w:val="both"/>
              <w:rPr>
                <w:rFonts w:ascii="仿宋" w:hAnsi="仿宋" w:eastAsia="仿宋"/>
                <w:color w:val="000000"/>
                <w:kern w:val="0"/>
                <w:sz w:val="24"/>
                <w:szCs w:val="24"/>
              </w:rPr>
            </w:pPr>
            <w:r>
              <w:rPr>
                <w:rFonts w:hint="eastAsia" w:ascii="仿宋" w:hAnsi="仿宋" w:eastAsia="仿宋" w:cs="仿宋"/>
                <w:sz w:val="24"/>
                <w:szCs w:val="24"/>
              </w:rPr>
              <w:t>禹州市人民政府</w:t>
            </w:r>
            <w:r>
              <w:rPr>
                <w:rFonts w:hint="eastAsia" w:ascii="仿宋" w:hAnsi="仿宋" w:eastAsia="仿宋" w:cs="仿宋"/>
                <w:sz w:val="24"/>
                <w:szCs w:val="24"/>
                <w:lang w:val="en-US" w:eastAsia="zh-CN"/>
              </w:rPr>
              <w:t>电子政务办公室</w:t>
            </w:r>
            <w:r>
              <w:rPr>
                <w:rFonts w:hint="eastAsia" w:ascii="仿宋" w:hAnsi="仿宋" w:eastAsia="仿宋" w:cs="仿宋"/>
                <w:sz w:val="24"/>
                <w:szCs w:val="24"/>
              </w:rPr>
              <w:t>电子政务外网互联网出口线路及安全设备项目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sz w:val="24"/>
                <w:szCs w:val="24"/>
                <w:lang w:val="en-US" w:eastAsia="zh-CN"/>
              </w:rPr>
            </w:pPr>
            <w:r>
              <w:rPr>
                <w:rFonts w:hint="eastAsia" w:ascii="仿宋" w:hAnsi="仿宋" w:eastAsia="仿宋"/>
                <w:sz w:val="24"/>
                <w:szCs w:val="24"/>
                <w:lang w:eastAsia="zh-CN"/>
              </w:rPr>
              <w:t>第一标段：伍万</w:t>
            </w:r>
            <w:r>
              <w:rPr>
                <w:rFonts w:hint="eastAsia" w:ascii="仿宋" w:hAnsi="仿宋" w:eastAsia="仿宋"/>
                <w:sz w:val="24"/>
                <w:szCs w:val="24"/>
              </w:rPr>
              <w:t>元整</w:t>
            </w:r>
            <w:r>
              <w:rPr>
                <w:rFonts w:hint="eastAsia" w:ascii="仿宋" w:hAnsi="仿宋" w:eastAsia="仿宋"/>
                <w:sz w:val="24"/>
                <w:szCs w:val="24"/>
                <w:lang w:val="en-US" w:eastAsia="zh-CN"/>
              </w:rPr>
              <w:t xml:space="preserve">   第二标段：伍万元整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25</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FF0000"/>
                <w:kern w:val="0"/>
                <w:sz w:val="24"/>
                <w:szCs w:val="24"/>
              </w:rPr>
              <w:t>注：</w:t>
            </w:r>
            <w:r>
              <w:rPr>
                <w:rFonts w:hint="eastAsia" w:ascii="仿宋" w:hAnsi="仿宋" w:eastAsia="仿宋"/>
                <w:color w:val="FF0000"/>
                <w:kern w:val="0"/>
                <w:sz w:val="24"/>
                <w:szCs w:val="24"/>
                <w:lang w:val="en-US" w:eastAsia="zh-CN"/>
              </w:rPr>
              <w:t>1.</w:t>
            </w:r>
            <w:r>
              <w:rPr>
                <w:rFonts w:hint="eastAsia" w:ascii="仿宋" w:hAnsi="仿宋" w:eastAsia="仿宋"/>
                <w:color w:val="FF0000"/>
                <w:kern w:val="0"/>
                <w:sz w:val="24"/>
                <w:szCs w:val="24"/>
              </w:rPr>
              <w:t>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p>
            <w:pPr>
              <w:widowControl/>
              <w:spacing w:line="440" w:lineRule="exact"/>
              <w:textAlignment w:val="center"/>
              <w:rPr>
                <w:rFonts w:hint="eastAsia" w:ascii="仿宋" w:hAnsi="仿宋" w:eastAsia="仿宋"/>
                <w:color w:val="000000"/>
                <w:kern w:val="0"/>
                <w:sz w:val="24"/>
                <w:szCs w:val="24"/>
                <w:lang w:eastAsia="zh-CN"/>
              </w:rPr>
            </w:pP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lang w:eastAsia="zh-CN"/>
              </w:rPr>
              <w:t>投标商应分标段进行投标。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本项目最高限价第一标段：</w:t>
            </w:r>
            <w:r>
              <w:rPr>
                <w:rFonts w:hint="eastAsia" w:ascii="仿宋" w:hAnsi="仿宋" w:eastAsia="仿宋"/>
                <w:b/>
                <w:bCs/>
                <w:sz w:val="24"/>
                <w:szCs w:val="24"/>
                <w:lang w:val="en-US" w:eastAsia="zh-CN"/>
              </w:rPr>
              <w:t>315万元</w:t>
            </w:r>
            <w:r>
              <w:rPr>
                <w:rFonts w:hint="eastAsia" w:ascii="仿宋" w:hAnsi="仿宋" w:eastAsia="仿宋"/>
                <w:b/>
                <w:bCs/>
                <w:sz w:val="24"/>
                <w:szCs w:val="24"/>
              </w:rPr>
              <w:t>，</w:t>
            </w:r>
            <w:r>
              <w:rPr>
                <w:rFonts w:hint="eastAsia" w:ascii="仿宋" w:hAnsi="仿宋" w:eastAsia="仿宋"/>
                <w:b/>
                <w:bCs/>
                <w:sz w:val="24"/>
                <w:szCs w:val="24"/>
                <w:lang w:eastAsia="zh-CN"/>
              </w:rPr>
              <w:t>第二标段</w:t>
            </w:r>
            <w:r>
              <w:rPr>
                <w:rFonts w:hint="eastAsia" w:ascii="仿宋" w:hAnsi="仿宋" w:eastAsia="仿宋"/>
                <w:b/>
                <w:bCs/>
                <w:sz w:val="24"/>
                <w:szCs w:val="24"/>
                <w:lang w:val="en-US" w:eastAsia="zh-CN"/>
              </w:rPr>
              <w:t>320万元。</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209" w:firstLineChars="500"/>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numPr>
          <w:ilvl w:val="0"/>
          <w:numId w:val="6"/>
        </w:numPr>
        <w:spacing w:line="440" w:lineRule="exact"/>
        <w:ind w:firstLine="1533" w:firstLineChars="347"/>
        <w:rPr>
          <w:rFonts w:ascii="仿宋" w:hAnsi="仿宋" w:eastAsia="仿宋"/>
          <w:b/>
          <w:sz w:val="44"/>
        </w:rPr>
        <w:sectPr>
          <w:headerReference r:id="rId7" w:type="default"/>
          <w:footerReference r:id="rId8" w:type="default"/>
          <w:pgSz w:w="11907" w:h="16840"/>
          <w:pgMar w:top="1440" w:right="1474" w:bottom="1440" w:left="1474" w:header="851" w:footer="992" w:gutter="0"/>
          <w:cols w:space="425" w:num="1"/>
          <w:docGrid w:linePitch="312" w:charSpace="0"/>
        </w:sectPr>
      </w:pPr>
    </w:p>
    <w:p>
      <w:pPr>
        <w:widowControl/>
        <w:numPr>
          <w:ilvl w:val="0"/>
          <w:numId w:val="7"/>
        </w:numPr>
        <w:spacing w:line="440" w:lineRule="exact"/>
        <w:ind w:firstLine="1325" w:firstLineChars="300"/>
        <w:rPr>
          <w:rFonts w:hint="eastAsia" w:ascii="仿宋" w:hAnsi="仿宋" w:eastAsia="仿宋"/>
          <w:b/>
          <w:sz w:val="44"/>
        </w:rPr>
      </w:pPr>
      <w:r>
        <w:rPr>
          <w:rFonts w:hint="eastAsia" w:ascii="仿宋" w:hAnsi="仿宋" w:eastAsia="仿宋"/>
          <w:b/>
          <w:sz w:val="44"/>
          <w:lang w:val="en-US" w:eastAsia="zh-CN"/>
        </w:rPr>
        <w:t xml:space="preserve">  </w:t>
      </w:r>
      <w:r>
        <w:rPr>
          <w:rFonts w:hint="eastAsia" w:ascii="仿宋" w:hAnsi="仿宋" w:eastAsia="仿宋"/>
          <w:b/>
          <w:sz w:val="44"/>
        </w:rPr>
        <w:t>采购内容及其他要求</w:t>
      </w:r>
    </w:p>
    <w:p>
      <w:pPr>
        <w:widowControl/>
        <w:numPr>
          <w:ilvl w:val="0"/>
          <w:numId w:val="0"/>
        </w:numPr>
        <w:spacing w:line="440" w:lineRule="exact"/>
        <w:rPr>
          <w:rFonts w:hint="eastAsia" w:ascii="仿宋" w:hAnsi="仿宋" w:eastAsia="仿宋"/>
          <w:b/>
          <w:sz w:val="44"/>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sz w:val="32"/>
          <w:szCs w:val="32"/>
          <w:lang w:val="en-US" w:eastAsia="zh-CN"/>
        </w:rPr>
        <w:t>一、</w:t>
      </w:r>
      <w:r>
        <w:rPr>
          <w:rFonts w:hint="eastAsia" w:ascii="仿宋" w:hAnsi="仿宋" w:eastAsia="仿宋" w:cs="仿宋"/>
          <w:b/>
          <w:bCs/>
          <w:sz w:val="24"/>
          <w:szCs w:val="24"/>
          <w:lang w:val="en-US" w:eastAsia="zh-CN"/>
        </w:rPr>
        <w:t>采购内容及其他要求：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,第一标段为互联网出口网络设备及线路接入；第二标段为各局委安全设备。</w:t>
      </w:r>
    </w:p>
    <w:p>
      <w:pPr>
        <w:spacing w:after="0" w:line="600" w:lineRule="exact"/>
        <w:ind w:firstLine="2409" w:firstLineChars="1000"/>
        <w:rPr>
          <w:rFonts w:ascii="仿宋" w:hAnsi="仿宋" w:eastAsia="仿宋"/>
          <w:b/>
          <w:sz w:val="24"/>
          <w:szCs w:val="24"/>
        </w:rPr>
      </w:pPr>
      <w:r>
        <w:rPr>
          <w:rFonts w:hint="eastAsia" w:ascii="仿宋" w:hAnsi="仿宋" w:eastAsia="仿宋"/>
          <w:b/>
          <w:sz w:val="24"/>
          <w:szCs w:val="24"/>
        </w:rPr>
        <w:t>本项目需实现的功能或者目</w:t>
      </w:r>
    </w:p>
    <w:p>
      <w:pPr>
        <w:spacing w:after="0" w:line="600" w:lineRule="exact"/>
        <w:ind w:firstLine="480" w:firstLineChars="200"/>
        <w:rPr>
          <w:rFonts w:ascii="仿宋" w:hAnsi="仿宋" w:eastAsia="仿宋"/>
          <w:sz w:val="24"/>
          <w:szCs w:val="24"/>
        </w:rPr>
      </w:pPr>
      <w:r>
        <w:rPr>
          <w:rFonts w:ascii="仿宋" w:hAnsi="仿宋" w:eastAsia="仿宋"/>
          <w:sz w:val="24"/>
          <w:szCs w:val="24"/>
        </w:rPr>
        <w:t>严格按照国家电子政务外网标准，实现分区分域、安全隔离、统一互联网出口等功能</w:t>
      </w:r>
      <w:r>
        <w:rPr>
          <w:rFonts w:hint="eastAsia" w:ascii="仿宋" w:hAnsi="仿宋" w:eastAsia="仿宋"/>
          <w:sz w:val="24"/>
          <w:szCs w:val="24"/>
        </w:rPr>
        <w:t>的要求</w:t>
      </w:r>
    </w:p>
    <w:p>
      <w:pPr>
        <w:spacing w:after="0" w:line="6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、接入单位局域网接入部分采用高性能安全设备，有效防止多种网络攻击，路由器支持</w:t>
      </w:r>
      <w:r>
        <w:rPr>
          <w:rFonts w:ascii="仿宋" w:hAnsi="仿宋" w:eastAsia="仿宋"/>
          <w:sz w:val="24"/>
          <w:szCs w:val="24"/>
        </w:rPr>
        <w:t>MCE</w:t>
      </w:r>
      <w:r>
        <w:rPr>
          <w:rFonts w:hint="eastAsia" w:ascii="仿宋" w:hAnsi="仿宋" w:eastAsia="仿宋"/>
          <w:sz w:val="24"/>
          <w:szCs w:val="24"/>
        </w:rPr>
        <w:t>，符合许昌市要求以及自身日常办公需要，能够与许昌市无缝对接，远程管理。</w:t>
      </w:r>
    </w:p>
    <w:p>
      <w:pPr>
        <w:spacing w:after="0" w:line="600" w:lineRule="exact"/>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、接入单位局域网接入部分应与互联网区安全设备统一出口。</w:t>
      </w:r>
    </w:p>
    <w:p>
      <w:pPr>
        <w:spacing w:after="0" w:line="600" w:lineRule="exact"/>
        <w:ind w:firstLine="480" w:firstLineChars="200"/>
        <w:rPr>
          <w:rFonts w:hint="eastAsia" w:ascii="仿宋" w:hAnsi="仿宋" w:eastAsia="仿宋"/>
          <w:sz w:val="24"/>
          <w:szCs w:val="24"/>
        </w:rPr>
      </w:pPr>
    </w:p>
    <w:p>
      <w:pPr>
        <w:spacing w:after="0" w:line="600" w:lineRule="exact"/>
        <w:ind w:firstLine="480" w:firstLineChars="200"/>
        <w:rPr>
          <w:rFonts w:hint="eastAsia" w:ascii="仿宋" w:hAnsi="仿宋" w:eastAsia="仿宋"/>
          <w:sz w:val="24"/>
          <w:szCs w:val="24"/>
        </w:rPr>
      </w:pPr>
    </w:p>
    <w:p>
      <w:pPr>
        <w:outlineLvl w:val="0"/>
        <w:rPr>
          <w:rFonts w:hint="eastAsia" w:ascii="仿宋" w:hAnsi="仿宋" w:eastAsia="仿宋" w:cs="仿宋"/>
          <w:sz w:val="24"/>
          <w:szCs w:val="24"/>
        </w:rPr>
      </w:pPr>
      <w:r>
        <w:rPr>
          <w:rFonts w:hint="eastAsia" w:ascii="仿宋" w:hAnsi="仿宋" w:eastAsia="仿宋"/>
          <w:b/>
          <w:sz w:val="24"/>
          <w:szCs w:val="24"/>
          <w:lang w:val="en-US" w:eastAsia="zh-CN"/>
        </w:rPr>
        <w:t xml:space="preserve"> </w:t>
      </w:r>
      <w:r>
        <w:rPr>
          <w:rFonts w:hint="eastAsia" w:ascii="仿宋" w:hAnsi="仿宋" w:eastAsia="仿宋" w:cs="仿宋"/>
          <w:b/>
          <w:sz w:val="24"/>
          <w:szCs w:val="24"/>
          <w:lang w:val="en-US" w:eastAsia="zh-CN"/>
        </w:rPr>
        <w:t xml:space="preserve">          第一标段      </w:t>
      </w:r>
      <w:r>
        <w:rPr>
          <w:rFonts w:hint="eastAsia" w:ascii="仿宋" w:hAnsi="仿宋" w:eastAsia="仿宋" w:cs="仿宋"/>
          <w:sz w:val="24"/>
          <w:szCs w:val="24"/>
        </w:rPr>
        <w:t>互联网安全出口网络设备及线路接入</w:t>
      </w:r>
    </w:p>
    <w:tbl>
      <w:tblPr>
        <w:tblStyle w:val="36"/>
        <w:tblW w:w="8522" w:type="dxa"/>
        <w:tblInd w:w="0" w:type="dxa"/>
        <w:tblLayout w:type="fixed"/>
        <w:tblCellMar>
          <w:top w:w="0" w:type="dxa"/>
          <w:left w:w="108" w:type="dxa"/>
          <w:bottom w:w="0" w:type="dxa"/>
          <w:right w:w="108" w:type="dxa"/>
        </w:tblCellMar>
      </w:tblPr>
      <w:tblGrid>
        <w:gridCol w:w="1137"/>
        <w:gridCol w:w="3649"/>
        <w:gridCol w:w="1004"/>
        <w:gridCol w:w="1367"/>
        <w:gridCol w:w="1365"/>
      </w:tblGrid>
      <w:tr>
        <w:tblPrEx>
          <w:tblLayout w:type="fixed"/>
          <w:tblCellMar>
            <w:top w:w="0" w:type="dxa"/>
            <w:left w:w="108" w:type="dxa"/>
            <w:bottom w:w="0" w:type="dxa"/>
            <w:right w:w="108" w:type="dxa"/>
          </w:tblCellMar>
        </w:tblPrEx>
        <w:trPr>
          <w:trHeight w:val="423" w:hRule="atLeast"/>
        </w:trPr>
        <w:tc>
          <w:tcPr>
            <w:tcW w:w="113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49"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004"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1367"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1365" w:type="dxa"/>
            <w:tcBorders>
              <w:top w:val="single" w:color="auto" w:sz="4" w:space="0"/>
              <w:left w:val="nil"/>
              <w:bottom w:val="single" w:color="auto" w:sz="4" w:space="0"/>
              <w:right w:val="single" w:color="auto" w:sz="4" w:space="0"/>
            </w:tcBorders>
            <w:shd w:val="clear" w:color="000000" w:fill="DCE6F1"/>
            <w:vAlign w:val="center"/>
          </w:tcPr>
          <w:p>
            <w:pPr>
              <w:spacing w:after="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安全综合网关</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可信安全网关边界</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异常流量清洗</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统一运维管理系统</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1000M互联网线路</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专线接入</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1162"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12</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997" w:hRule="atLeast"/>
        </w:trPr>
        <w:tc>
          <w:tcPr>
            <w:tcW w:w="1137" w:type="dxa"/>
            <w:tcBorders>
              <w:top w:val="nil"/>
              <w:left w:val="single" w:color="auto" w:sz="4" w:space="0"/>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3649"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等级保护评测（三级）</w:t>
            </w:r>
          </w:p>
        </w:tc>
        <w:tc>
          <w:tcPr>
            <w:tcW w:w="1004"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次</w:t>
            </w:r>
          </w:p>
        </w:tc>
        <w:tc>
          <w:tcPr>
            <w:tcW w:w="1367" w:type="dxa"/>
            <w:tcBorders>
              <w:top w:val="nil"/>
              <w:left w:val="nil"/>
              <w:bottom w:val="single" w:color="auto" w:sz="4" w:space="0"/>
              <w:right w:val="single" w:color="auto" w:sz="4" w:space="0"/>
            </w:tcBorders>
            <w:shd w:val="clear" w:color="auto"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65" w:type="dxa"/>
            <w:tcBorders>
              <w:top w:val="nil"/>
              <w:left w:val="nil"/>
              <w:bottom w:val="single" w:color="auto" w:sz="4" w:space="0"/>
              <w:right w:val="single" w:color="auto" w:sz="4" w:space="0"/>
            </w:tcBorders>
            <w:vAlign w:val="center"/>
          </w:tcPr>
          <w:p>
            <w:pPr>
              <w:spacing w:after="0" w:line="400" w:lineRule="exact"/>
              <w:jc w:val="center"/>
              <w:rPr>
                <w:rFonts w:hint="eastAsia" w:ascii="仿宋" w:hAnsi="仿宋" w:eastAsia="仿宋" w:cs="仿宋"/>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adjustRightInd/>
        <w:snapToGrid/>
        <w:spacing w:line="220" w:lineRule="atLeast"/>
        <w:rPr>
          <w:rFonts w:hint="eastAsia" w:ascii="仿宋" w:hAnsi="仿宋" w:eastAsia="仿宋" w:cs="仿宋"/>
          <w:sz w:val="24"/>
          <w:szCs w:val="24"/>
        </w:rPr>
      </w:pPr>
      <w:r>
        <w:rPr>
          <w:rFonts w:hint="eastAsia" w:ascii="仿宋" w:hAnsi="仿宋" w:eastAsia="仿宋" w:cs="仿宋"/>
          <w:sz w:val="24"/>
          <w:szCs w:val="24"/>
        </w:rPr>
        <w:br w:type="page"/>
      </w:r>
    </w:p>
    <w:p>
      <w:pPr>
        <w:jc w:val="center"/>
        <w:rPr>
          <w:rFonts w:hint="eastAsia" w:ascii="仿宋" w:hAnsi="仿宋" w:eastAsia="仿宋" w:cs="仿宋"/>
          <w:sz w:val="24"/>
          <w:szCs w:val="24"/>
        </w:rPr>
      </w:pPr>
      <w:r>
        <w:rPr>
          <w:rFonts w:hint="eastAsia" w:ascii="仿宋" w:hAnsi="仿宋" w:eastAsia="仿宋" w:cs="仿宋"/>
          <w:sz w:val="24"/>
          <w:szCs w:val="24"/>
        </w:rPr>
        <w:t>设备参数</w:t>
      </w:r>
    </w:p>
    <w:p>
      <w:pPr>
        <w:outlineLvl w:val="0"/>
        <w:rPr>
          <w:rFonts w:hint="eastAsia" w:ascii="仿宋" w:hAnsi="仿宋" w:eastAsia="仿宋" w:cs="仿宋"/>
          <w:b/>
          <w:sz w:val="24"/>
          <w:szCs w:val="24"/>
        </w:rPr>
      </w:pPr>
      <w:r>
        <w:rPr>
          <w:rFonts w:hint="eastAsia" w:ascii="仿宋" w:hAnsi="仿宋" w:eastAsia="仿宋" w:cs="仿宋"/>
          <w:b/>
          <w:sz w:val="24"/>
          <w:szCs w:val="24"/>
        </w:rPr>
        <w:t>1、综合安全网关（1台）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center"/>
          </w:tcPr>
          <w:p>
            <w:pPr>
              <w:spacing w:after="0" w:line="400" w:lineRule="exact"/>
              <w:ind w:firstLine="3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采用多级交换架构，控制平面与转发平面分离设计，主控板、业务板、交换网板三者占用不同的机箱物理槽位且采用正交设计；主控板槽位数≥2个；业务板槽位数≥8个；独立交换网板槽位数≥4个；须提供设备正面和背面清晰截图及槽位分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★性能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为保证产品性能，采用多核高性能处理器，单块业务板卡业务性能每秒新建连接数≥30万、最大并发连接数≥2000万，为保证数据真实可靠性，提供工信部下属第三方检测报告复印件。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路由功能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安全防护功能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支持多种安全防护功能，包括但不限于Land、Smurf、UDP Snork attack、Large ICMP Traffic 、Ping of Death、Tiny Fragment 、Tear Drop、IP Spoofing、IP分片报文、ARP欺骗、ARP主动反向查询、TCP报文标志位不合法、超大ICMP报文、地址扫描、端口扫描等攻击防范，还能够针对SYN Flood、UPD Flood、ICMP Flood、DNS Flood、CC等常见DDoS类攻击的安全防御。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支持基于用户、应用的多维安全策略配置，并提供一体化安全策略配置模板（单条策略融合IPS、AV、负载均衡、应用识别等多业务）。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黑名单</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支持静态和动态黑名单功能。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NAT功能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支持静态NAT、源地址NAT、目的地址NAT、NAT ALG等功能。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731" w:type="dxa"/>
            <w:tcBorders>
              <w:top w:val="single" w:color="auto" w:sz="4" w:space="0"/>
              <w:left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VPN功能</w:t>
            </w:r>
          </w:p>
        </w:tc>
        <w:tc>
          <w:tcPr>
            <w:tcW w:w="6917" w:type="dxa"/>
            <w:tcBorders>
              <w:top w:val="single" w:color="auto" w:sz="4" w:space="0"/>
              <w:left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支持VPN功能，包括L2TP、IPSec、GRE、MPLS VPN等。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支持Active/Active和Active/Passive两种工作模式，实现负载分担和业务备份，用于提高系统可靠性。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统一管理</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支持统一管理功能，无需对每块板卡进行IP地址规划，用于节省IP地址、减化部署，并能够实现配置管理、性能监控和日志审计等功能。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★集群功能</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支持两框集群和四框集群，支持异构集群，集群之后的设备可以统一管理，即一个管理IP，提供工信部下属第三方检测报告复印件。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★安全销 售许可证</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所投产品非交换机配置安全板卡形态，整机具备公安部《计算机信息系统安全专用产品销售许可证》提供证书复印件。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双主控、满配交换网板，内置冗余交流电源，配置万兆光接口≥32个，所有端口均为独立可用端口；配置8个万兆多模光模块；配置高性能安全插卡一块，配置负载均衡授权，AV防病毒授权，应用识别授权。</w:t>
            </w:r>
          </w:p>
        </w:tc>
      </w:tr>
    </w:tbl>
    <w:p>
      <w:pPr>
        <w:ind w:left="424" w:leftChars="202" w:right="567" w:firstLine="360" w:firstLineChars="150"/>
        <w:rPr>
          <w:rFonts w:hint="eastAsia" w:ascii="仿宋" w:hAnsi="仿宋" w:eastAsia="仿宋" w:cs="仿宋"/>
          <w:sz w:val="24"/>
          <w:szCs w:val="24"/>
        </w:rPr>
      </w:pPr>
    </w:p>
    <w:p>
      <w:pPr>
        <w:ind w:right="567"/>
        <w:jc w:val="both"/>
        <w:rPr>
          <w:rFonts w:hint="eastAsia" w:ascii="仿宋" w:hAnsi="仿宋" w:eastAsia="仿宋" w:cs="仿宋"/>
          <w:sz w:val="24"/>
          <w:szCs w:val="24"/>
        </w:rPr>
      </w:pPr>
      <w:r>
        <w:rPr>
          <w:rFonts w:hint="eastAsia" w:ascii="仿宋" w:hAnsi="仿宋" w:eastAsia="仿宋" w:cs="仿宋"/>
          <w:b/>
          <w:sz w:val="24"/>
          <w:szCs w:val="24"/>
        </w:rPr>
        <w:t>2、可信安全网关边界（2台）</w:t>
      </w:r>
    </w:p>
    <w:tbl>
      <w:tblPr>
        <w:tblStyle w:val="36"/>
        <w:tblW w:w="8648" w:type="dxa"/>
        <w:jc w:val="center"/>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731"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17" w:type="dxa"/>
            <w:tcBorders>
              <w:top w:val="single" w:color="auto" w:sz="4" w:space="0"/>
              <w:left w:val="single" w:color="auto" w:sz="4" w:space="0"/>
              <w:bottom w:val="single" w:color="auto" w:sz="4" w:space="0"/>
              <w:right w:val="single" w:color="auto" w:sz="4" w:space="0"/>
            </w:tcBorders>
            <w:vAlign w:val="bottom"/>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31" w:type="dxa"/>
            <w:tcBorders>
              <w:top w:val="single" w:color="auto" w:sz="4" w:space="0"/>
              <w:left w:val="single" w:color="auto" w:sz="4" w:space="0"/>
              <w:bottom w:val="single" w:color="auto" w:sz="4" w:space="0"/>
              <w:right w:val="single" w:color="auto" w:sz="4" w:space="0"/>
            </w:tcBorders>
            <w:shd w:val="solid" w:color="FFFFFF"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产品架构</w:t>
            </w:r>
          </w:p>
        </w:tc>
        <w:tc>
          <w:tcPr>
            <w:tcW w:w="6917"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机架式,双电源，≥6个10/100/1000M BASE-T端口，≥6个SFP光纤接口插槽，整机吞吐率：≥ 10Gbps，最大并发连接数：≥ 320万,并发用户数：≥ 5000；含光模块，支持网关向终端下发访问控制策略，用于隔离电子政务网与互联网；可以实现终端设备的硬件信息采集和接入审批流程；支持支持Radius、LDAP、AD、CA证书等认证方式，支持与电子政务网账号统一管控；</w:t>
            </w:r>
          </w:p>
        </w:tc>
      </w:tr>
    </w:tbl>
    <w:p>
      <w:pPr>
        <w:pStyle w:val="14"/>
        <w:ind w:firstLine="0" w:firstLineChars="0"/>
        <w:rPr>
          <w:rFonts w:hint="eastAsia" w:ascii="仿宋" w:hAnsi="仿宋" w:eastAsia="仿宋" w:cs="仿宋"/>
          <w:b/>
          <w:sz w:val="24"/>
          <w:szCs w:val="24"/>
        </w:rPr>
      </w:pP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3、异常流量清洗（2台）</w:t>
      </w:r>
    </w:p>
    <w:tbl>
      <w:tblPr>
        <w:tblStyle w:val="36"/>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机架式，双电源，≥4个千兆电口，≥4个千兆光口，支持bypass，网络吞吐量≥5Gbps,抗攻击能力≥100万pps,含光模块，防御流量型、应用型、工具箱flood泛洪攻击行为，异常流量清洗，防止DDOS攻击。</w:t>
            </w:r>
          </w:p>
        </w:tc>
      </w:tr>
    </w:tbl>
    <w:p>
      <w:pPr>
        <w:pStyle w:val="14"/>
        <w:ind w:left="630" w:leftChars="300" w:firstLine="120" w:firstLineChars="50"/>
        <w:rPr>
          <w:rFonts w:hint="eastAsia" w:ascii="仿宋" w:hAnsi="仿宋" w:eastAsia="仿宋" w:cs="仿宋"/>
          <w:b/>
          <w:sz w:val="24"/>
          <w:szCs w:val="24"/>
        </w:rPr>
      </w:pPr>
      <w:r>
        <w:rPr>
          <w:rFonts w:hint="eastAsia" w:ascii="仿宋" w:hAnsi="仿宋" w:eastAsia="仿宋" w:cs="仿宋"/>
          <w:sz w:val="24"/>
          <w:szCs w:val="24"/>
        </w:rPr>
        <w:br w:type="textWrapping" w:clear="all"/>
      </w:r>
    </w:p>
    <w:p>
      <w:pPr>
        <w:pStyle w:val="14"/>
        <w:ind w:firstLine="0" w:firstLineChars="0"/>
        <w:rPr>
          <w:rFonts w:hint="eastAsia" w:ascii="仿宋" w:hAnsi="仿宋" w:eastAsia="仿宋" w:cs="仿宋"/>
          <w:b/>
          <w:sz w:val="24"/>
          <w:szCs w:val="24"/>
        </w:rPr>
      </w:pPr>
      <w:r>
        <w:rPr>
          <w:rFonts w:hint="eastAsia" w:ascii="仿宋" w:hAnsi="仿宋" w:eastAsia="仿宋" w:cs="仿宋"/>
          <w:b/>
          <w:sz w:val="24"/>
          <w:szCs w:val="24"/>
        </w:rPr>
        <w:t>4、统一运维管理系统（2台）</w:t>
      </w:r>
    </w:p>
    <w:p>
      <w:pPr>
        <w:pStyle w:val="14"/>
        <w:ind w:left="630" w:leftChars="300" w:firstLine="120" w:firstLineChars="50"/>
        <w:rPr>
          <w:rFonts w:hint="eastAsia" w:ascii="仿宋" w:hAnsi="仿宋" w:eastAsia="仿宋" w:cs="仿宋"/>
          <w:sz w:val="24"/>
          <w:szCs w:val="24"/>
        </w:rPr>
      </w:pPr>
    </w:p>
    <w:tbl>
      <w:tblPr>
        <w:tblStyle w:val="36"/>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rPr>
                <w:rFonts w:hint="eastAsia" w:ascii="仿宋" w:hAnsi="仿宋" w:eastAsia="仿宋" w:cs="仿宋"/>
                <w:b/>
                <w:sz w:val="24"/>
                <w:szCs w:val="24"/>
              </w:rPr>
            </w:pPr>
            <w:r>
              <w:rPr>
                <w:rFonts w:hint="eastAsia" w:ascii="仿宋" w:hAnsi="仿宋" w:eastAsia="仿宋" w:cs="仿宋"/>
                <w:b/>
                <w:sz w:val="24"/>
                <w:szCs w:val="24"/>
              </w:rPr>
              <w:t>技术指标</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12" w:lineRule="auto"/>
              <w:ind w:firstLine="48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668"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产品架构</w:t>
            </w:r>
          </w:p>
        </w:tc>
        <w:tc>
          <w:tcPr>
            <w:tcW w:w="6980"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仿宋" w:hAnsi="仿宋" w:eastAsia="仿宋" w:cs="仿宋"/>
                <w:sz w:val="24"/>
                <w:szCs w:val="24"/>
              </w:rPr>
            </w:pPr>
            <w:r>
              <w:rPr>
                <w:rFonts w:hint="eastAsia" w:ascii="仿宋" w:hAnsi="仿宋" w:eastAsia="仿宋" w:cs="仿宋"/>
                <w:sz w:val="24"/>
                <w:szCs w:val="24"/>
              </w:rPr>
              <w:t>1U标准机架式，单电源，专用千兆硬件平台和安全操作系统，≥6个千兆电口，1个管理口，2个USB接口，存储容量1TB。</w:t>
            </w:r>
          </w:p>
        </w:tc>
      </w:tr>
    </w:tbl>
    <w:p>
      <w:pPr>
        <w:jc w:val="center"/>
        <w:rPr>
          <w:rFonts w:hint="eastAsia" w:ascii="仿宋" w:hAnsi="仿宋" w:eastAsia="仿宋" w:cs="仿宋"/>
          <w:sz w:val="24"/>
          <w:szCs w:val="24"/>
        </w:rPr>
      </w:pPr>
    </w:p>
    <w:p>
      <w:pPr>
        <w:rPr>
          <w:rFonts w:hint="eastAsia" w:ascii="仿宋" w:hAnsi="仿宋" w:eastAsia="仿宋" w:cs="仿宋"/>
          <w:b/>
          <w:sz w:val="24"/>
          <w:szCs w:val="24"/>
        </w:rPr>
      </w:pPr>
      <w:r>
        <w:rPr>
          <w:rFonts w:hint="eastAsia" w:ascii="仿宋" w:hAnsi="仿宋" w:eastAsia="仿宋" w:cs="仿宋"/>
          <w:b/>
          <w:sz w:val="24"/>
          <w:szCs w:val="24"/>
        </w:rPr>
        <w:t>5、笔记本（12台）</w:t>
      </w:r>
    </w:p>
    <w:tbl>
      <w:tblPr>
        <w:tblStyle w:val="36"/>
        <w:tblW w:w="8790"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屏幕尺寸</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分辨率</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运行内存</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存储容量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可视角度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jc w:val="center"/>
              <w:rPr>
                <w:rFonts w:hint="eastAsia" w:ascii="仿宋" w:hAnsi="仿宋" w:eastAsia="仿宋" w:cs="仿宋"/>
                <w:sz w:val="24"/>
                <w:szCs w:val="24"/>
              </w:rPr>
            </w:pPr>
            <w:r>
              <w:rPr>
                <w:rFonts w:hint="eastAsia" w:ascii="仿宋" w:hAnsi="仿宋" w:eastAsia="仿宋" w:cs="仿宋"/>
                <w:sz w:val="24"/>
                <w:szCs w:val="24"/>
              </w:rPr>
              <w:t>WLAN</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其他接口</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snapToGrid/>
              <w:spacing w:after="0"/>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750" w:type="dxa"/>
            <w:shd w:val="clear" w:color="auto" w:fill="auto"/>
            <w:vAlign w:val="bottom"/>
          </w:tcPr>
          <w:p>
            <w:pPr>
              <w:adjustRightInd/>
              <w:snapToGrid/>
              <w:spacing w:after="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rPr>
          <w:rFonts w:hint="eastAsia" w:ascii="仿宋" w:hAnsi="仿宋" w:eastAsia="仿宋" w:cs="仿宋"/>
          <w:b/>
          <w:sz w:val="24"/>
          <w:szCs w:val="24"/>
        </w:rPr>
      </w:pPr>
    </w:p>
    <w:p>
      <w:pPr>
        <w:ind w:left="424" w:leftChars="202" w:right="567" w:firstLine="2"/>
        <w:rPr>
          <w:rFonts w:hint="eastAsia" w:ascii="仿宋" w:hAnsi="仿宋" w:eastAsia="仿宋" w:cs="仿宋"/>
          <w:b/>
          <w:bCs/>
          <w:sz w:val="24"/>
          <w:szCs w:val="24"/>
          <w:lang w:val="zh-CN"/>
        </w:rPr>
      </w:pPr>
      <w:r>
        <w:rPr>
          <w:rFonts w:hint="eastAsia" w:ascii="仿宋" w:hAnsi="仿宋" w:eastAsia="仿宋" w:cs="仿宋"/>
          <w:b/>
          <w:bCs/>
          <w:sz w:val="24"/>
          <w:szCs w:val="24"/>
          <w:lang w:val="zh-CN"/>
        </w:rPr>
        <w:t>第一标段其它要求：</w:t>
      </w:r>
    </w:p>
    <w:p>
      <w:pPr>
        <w:ind w:right="-58" w:firstLine="709"/>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w:t>
      </w:r>
      <w:r>
        <w:rPr>
          <w:rFonts w:hint="eastAsia" w:ascii="仿宋" w:hAnsi="仿宋" w:eastAsia="仿宋" w:cs="仿宋"/>
          <w:sz w:val="24"/>
          <w:szCs w:val="24"/>
        </w:rPr>
        <w:t>可信安全网关边界、异常流量清洗、统一运维管理系统为本项目的核心产品。</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、投标人应就该项目完整投标，否则为无效投标。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after="0" w:line="600" w:lineRule="exact"/>
        <w:ind w:left="239" w:leftChars="114" w:firstLine="240" w:firstLineChars="10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、产品必须符合国家质量检测标准和本招标文件规定标准的全新正品现货，供货时提供随货物《产品合格证》及其它相关质量证明文件。</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、投标人须明确维修点地址、负责人、联系人和联系电话等详细资料。</w:t>
      </w:r>
    </w:p>
    <w:p>
      <w:pPr>
        <w:spacing w:after="0"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、中标后，合同签订之前，中标方</w:t>
      </w:r>
      <w:r>
        <w:rPr>
          <w:rFonts w:hint="eastAsia" w:ascii="仿宋" w:hAnsi="仿宋" w:eastAsia="仿宋" w:cs="仿宋"/>
          <w:sz w:val="24"/>
          <w:szCs w:val="24"/>
        </w:rPr>
        <w:t>根据业主需求提供2条千兆带宽固定IP的互联网线路，如提供的线路不符合要求，则取消其中标资格。</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、本项目为交钥匙工程（包括设备、材料、元件、</w:t>
      </w:r>
      <w:r>
        <w:rPr>
          <w:rFonts w:hint="eastAsia" w:ascii="仿宋" w:hAnsi="仿宋" w:eastAsia="仿宋" w:cs="仿宋"/>
          <w:sz w:val="24"/>
          <w:szCs w:val="24"/>
        </w:rPr>
        <w:t>设备机柜、三级等保、线路</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、付款方式（不响应者为无效投标）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经验收合格付合同总价款的90%，5%满一年无质量问题一次付清，剩余5%为免费服务质保金，免费服务期结束无问题后付清余额。</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、预算金额上限：安全出口设备预算180万元，三级等保预算15万元，互联网千兆线路出口预算120万元，超出者为无效投标。</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6</w:t>
      </w:r>
      <w:r>
        <w:rPr>
          <w:rFonts w:hint="eastAsia" w:ascii="仿宋" w:hAnsi="仿宋" w:eastAsia="仿宋" w:cs="仿宋"/>
          <w:sz w:val="24"/>
          <w:szCs w:val="24"/>
          <w:lang w:val="zh-CN"/>
        </w:rPr>
        <w:t>、投标商必须由法定代表人或委托代理人参加开标会议，随时接受评标委员会询问，并予作出书面解答。</w:t>
      </w:r>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7</w:t>
      </w:r>
      <w:r>
        <w:rPr>
          <w:rFonts w:hint="eastAsia" w:ascii="仿宋" w:hAnsi="仿宋" w:eastAsia="仿宋" w:cs="仿宋"/>
          <w:sz w:val="24"/>
          <w:szCs w:val="24"/>
          <w:lang w:val="zh-CN"/>
        </w:rPr>
        <w:t>、验收标准</w:t>
      </w:r>
      <w:bookmarkStart w:id="1" w:name="_GoBack"/>
      <w:bookmarkEnd w:id="1"/>
    </w:p>
    <w:p>
      <w:pPr>
        <w:spacing w:after="0" w:line="60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spacing w:after="0" w:line="6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zh-CN"/>
        </w:rPr>
        <w:t>（2）按照招标文件要求、投标文件响应和承诺验收。</w:t>
      </w:r>
      <w:r>
        <w:rPr>
          <w:rFonts w:hint="eastAsia" w:ascii="仿宋" w:hAnsi="仿宋" w:eastAsia="仿宋" w:cs="仿宋"/>
          <w:sz w:val="24"/>
          <w:szCs w:val="24"/>
          <w:lang w:val="zh-CN"/>
        </w:rPr>
        <w:br w:type="page"/>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第二标段：各局委安全设备</w:t>
      </w:r>
    </w:p>
    <w:tbl>
      <w:tblPr>
        <w:tblStyle w:val="36"/>
        <w:tblW w:w="8832" w:type="dxa"/>
        <w:jc w:val="center"/>
        <w:tblInd w:w="0" w:type="dxa"/>
        <w:tblLayout w:type="fixed"/>
        <w:tblCellMar>
          <w:top w:w="0" w:type="dxa"/>
          <w:left w:w="108" w:type="dxa"/>
          <w:bottom w:w="0" w:type="dxa"/>
          <w:right w:w="108" w:type="dxa"/>
        </w:tblCellMar>
      </w:tblPr>
      <w:tblGrid>
        <w:gridCol w:w="827"/>
        <w:gridCol w:w="1705"/>
        <w:gridCol w:w="2439"/>
        <w:gridCol w:w="860"/>
        <w:gridCol w:w="904"/>
        <w:gridCol w:w="2097"/>
      </w:tblGrid>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144" w:type="dxa"/>
            <w:gridSpan w:val="2"/>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562"/>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860"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04"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2097" w:type="dxa"/>
            <w:tcBorders>
              <w:top w:val="single" w:color="auto" w:sz="4" w:space="0"/>
              <w:left w:val="nil"/>
              <w:bottom w:val="single" w:color="auto" w:sz="4" w:space="0"/>
              <w:right w:val="single" w:color="auto" w:sz="4" w:space="0"/>
            </w:tcBorders>
            <w:shd w:val="clear" w:color="000000" w:fill="DCE6F1"/>
            <w:vAlign w:val="center"/>
          </w:tcPr>
          <w:p>
            <w:pPr>
              <w:spacing w:line="280" w:lineRule="exact"/>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是否核心设备</w:t>
            </w:r>
          </w:p>
        </w:tc>
      </w:tr>
      <w:tr>
        <w:tblPrEx>
          <w:tblLayout w:type="fixed"/>
          <w:tblCellMar>
            <w:top w:w="0" w:type="dxa"/>
            <w:left w:w="108" w:type="dxa"/>
            <w:bottom w:w="0" w:type="dxa"/>
            <w:right w:w="108" w:type="dxa"/>
          </w:tblCellMar>
        </w:tblPrEx>
        <w:trPr>
          <w:trHeight w:val="520" w:hRule="atLeast"/>
          <w:jc w:val="center"/>
        </w:trPr>
        <w:tc>
          <w:tcPr>
            <w:tcW w:w="827" w:type="dxa"/>
            <w:vMerge w:val="restart"/>
            <w:tcBorders>
              <w:top w:val="nil"/>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705" w:type="dxa"/>
            <w:vMerge w:val="restart"/>
            <w:tcBorders>
              <w:top w:val="nil"/>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500单位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300单位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接入交换机</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20</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restart"/>
            <w:tcBorders>
              <w:top w:val="nil"/>
              <w:left w:val="nil"/>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100单位</w:t>
            </w: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路由器</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vMerge w:val="continue"/>
            <w:tcBorders>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p>
        </w:tc>
        <w:tc>
          <w:tcPr>
            <w:tcW w:w="1705" w:type="dxa"/>
            <w:vMerge w:val="continue"/>
            <w:tcBorders>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p>
        </w:tc>
        <w:tc>
          <w:tcPr>
            <w:tcW w:w="2439" w:type="dxa"/>
            <w:tcBorders>
              <w:top w:val="nil"/>
              <w:left w:val="nil"/>
              <w:bottom w:val="single" w:color="auto" w:sz="4" w:space="0"/>
              <w:right w:val="single" w:color="auto" w:sz="4" w:space="0"/>
            </w:tcBorders>
            <w:shd w:val="clear" w:color="auto" w:fill="auto"/>
            <w:vAlign w:val="center"/>
          </w:tcPr>
          <w:p>
            <w:pPr>
              <w:spacing w:line="280" w:lineRule="exact"/>
              <w:ind w:left="-166" w:leftChars="-79" w:firstLine="122" w:firstLineChars="51"/>
              <w:jc w:val="center"/>
              <w:rPr>
                <w:rFonts w:hint="eastAsia" w:ascii="仿宋" w:hAnsi="仿宋" w:eastAsia="仿宋" w:cs="仿宋"/>
                <w:sz w:val="24"/>
                <w:szCs w:val="24"/>
              </w:rPr>
            </w:pPr>
            <w:r>
              <w:rPr>
                <w:rFonts w:hint="eastAsia" w:ascii="仿宋" w:hAnsi="仿宋" w:eastAsia="仿宋" w:cs="仿宋"/>
                <w:sz w:val="24"/>
                <w:szCs w:val="24"/>
              </w:rPr>
              <w:t>安全设备</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leftChars="-18" w:hanging="28" w:hangingChars="12"/>
              <w:jc w:val="center"/>
              <w:rPr>
                <w:rFonts w:hint="eastAsia" w:ascii="仿宋" w:hAnsi="仿宋" w:eastAsia="仿宋" w:cs="仿宋"/>
                <w:sz w:val="24"/>
                <w:szCs w:val="24"/>
              </w:rPr>
            </w:pPr>
            <w:r>
              <w:rPr>
                <w:rFonts w:hint="eastAsia" w:ascii="仿宋" w:hAnsi="仿宋" w:eastAsia="仿宋" w:cs="仿宋"/>
                <w:sz w:val="24"/>
                <w:szCs w:val="24"/>
              </w:rPr>
              <w:t>77</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40公里红光笔</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光纤识别器</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PON光功率计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个</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光纤熔接机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OTDR</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178" w:leftChars="-85"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7</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4T移动硬盘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8</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1T服务器硬盘</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10</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9</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复印打印扫描一体机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相机电池</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5</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leftChars="-79" w:hanging="124" w:hangingChars="52"/>
              <w:jc w:val="center"/>
              <w:rPr>
                <w:rFonts w:hint="eastAsia" w:ascii="仿宋" w:hAnsi="仿宋" w:eastAsia="仿宋" w:cs="仿宋"/>
                <w:sz w:val="24"/>
                <w:szCs w:val="24"/>
              </w:rPr>
            </w:pPr>
            <w:r>
              <w:rPr>
                <w:rFonts w:hint="eastAsia" w:ascii="仿宋" w:hAnsi="仿宋" w:eastAsia="仿宋" w:cs="仿宋"/>
                <w:sz w:val="24"/>
                <w:szCs w:val="24"/>
              </w:rPr>
              <w:t>16G高速CF卡</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笔记本电脑</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28" w:leftChars="-51" w:hanging="79" w:hangingChars="33"/>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left="-32" w:leftChars="-57" w:hanging="88" w:hangingChars="37"/>
              <w:jc w:val="center"/>
              <w:rPr>
                <w:rFonts w:hint="eastAsia" w:ascii="仿宋" w:hAnsi="仿宋" w:eastAsia="仿宋" w:cs="仿宋"/>
                <w:sz w:val="24"/>
                <w:szCs w:val="24"/>
              </w:rPr>
            </w:pPr>
            <w:r>
              <w:rPr>
                <w:rFonts w:hint="eastAsia" w:ascii="仿宋" w:hAnsi="仿宋" w:eastAsia="仿宋" w:cs="仿宋"/>
                <w:sz w:val="24"/>
                <w:szCs w:val="24"/>
              </w:rPr>
              <w:t>12</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相机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left="-80" w:leftChars="-38"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核心交换机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28</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nil"/>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16</w:t>
            </w:r>
          </w:p>
        </w:tc>
        <w:tc>
          <w:tcPr>
            <w:tcW w:w="4144" w:type="dxa"/>
            <w:gridSpan w:val="2"/>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网络硬盘录像机</w:t>
            </w:r>
          </w:p>
        </w:tc>
        <w:tc>
          <w:tcPr>
            <w:tcW w:w="860"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nil"/>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nil"/>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17</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6T硬盘</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块</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r>
        <w:tblPrEx>
          <w:tblLayout w:type="fixed"/>
          <w:tblCellMar>
            <w:top w:w="0" w:type="dxa"/>
            <w:left w:w="108" w:type="dxa"/>
            <w:bottom w:w="0" w:type="dxa"/>
            <w:right w:w="108" w:type="dxa"/>
          </w:tblCellMar>
        </w:tblPrEx>
        <w:trPr>
          <w:trHeight w:val="520" w:hRule="atLeast"/>
          <w:jc w:val="center"/>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18</w:t>
            </w:r>
          </w:p>
        </w:tc>
        <w:tc>
          <w:tcPr>
            <w:tcW w:w="4144"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平板电脑</w:t>
            </w:r>
          </w:p>
        </w:tc>
        <w:tc>
          <w:tcPr>
            <w:tcW w:w="86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台</w:t>
            </w:r>
          </w:p>
        </w:tc>
        <w:tc>
          <w:tcPr>
            <w:tcW w:w="904"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2097" w:type="dxa"/>
            <w:tcBorders>
              <w:top w:val="single" w:color="auto" w:sz="4" w:space="0"/>
              <w:left w:val="nil"/>
              <w:bottom w:val="single" w:color="auto" w:sz="4" w:space="0"/>
              <w:right w:val="single" w:color="auto" w:sz="4" w:space="0"/>
            </w:tcBorders>
            <w:vAlign w:val="center"/>
          </w:tcPr>
          <w:p>
            <w:pPr>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否</w:t>
            </w:r>
          </w:p>
        </w:tc>
      </w:tr>
    </w:tbl>
    <w:p>
      <w:pPr>
        <w:adjustRightInd/>
        <w:snapToGrid/>
        <w:spacing w:line="220" w:lineRule="atLeast"/>
        <w:rPr>
          <w:rFonts w:hint="eastAsia" w:ascii="仿宋" w:hAnsi="仿宋" w:eastAsia="仿宋" w:cs="仿宋"/>
          <w:sz w:val="24"/>
          <w:szCs w:val="24"/>
          <w:lang w:eastAsia="zh-CN"/>
        </w:rPr>
      </w:pPr>
      <w:r>
        <w:rPr>
          <w:rFonts w:hint="eastAsia" w:ascii="仿宋" w:hAnsi="仿宋" w:eastAsia="仿宋" w:cs="仿宋"/>
          <w:b/>
          <w:sz w:val="24"/>
          <w:szCs w:val="24"/>
        </w:rPr>
        <w:br w:type="page"/>
      </w:r>
    </w:p>
    <w:p>
      <w:pPr>
        <w:pStyle w:val="2"/>
        <w:rPr>
          <w:rFonts w:hint="eastAsia" w:ascii="仿宋" w:hAnsi="仿宋" w:eastAsia="仿宋" w:cs="仿宋"/>
          <w:sz w:val="24"/>
          <w:szCs w:val="24"/>
        </w:rPr>
      </w:pPr>
      <w:r>
        <w:rPr>
          <w:rFonts w:hint="eastAsia" w:ascii="仿宋" w:hAnsi="仿宋" w:eastAsia="仿宋" w:cs="仿宋"/>
          <w:sz w:val="24"/>
          <w:szCs w:val="24"/>
        </w:rPr>
        <w:t>500单位</w:t>
      </w:r>
    </w:p>
    <w:p>
      <w:pPr>
        <w:pStyle w:val="3"/>
        <w:rPr>
          <w:rFonts w:hint="eastAsia" w:ascii="仿宋" w:hAnsi="仿宋" w:eastAsia="仿宋" w:cs="仿宋"/>
          <w:sz w:val="24"/>
          <w:szCs w:val="24"/>
        </w:rPr>
      </w:pPr>
      <w:r>
        <w:rPr>
          <w:rFonts w:hint="eastAsia" w:ascii="仿宋" w:hAnsi="仿宋" w:eastAsia="仿宋" w:cs="仿宋"/>
          <w:sz w:val="24"/>
          <w:szCs w:val="24"/>
        </w:rPr>
        <w:t>500人路由器（1台）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包转发率≥14Mpps，提供工信部下属第三方权威测试报告证明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主机支持最少3GE（2combo）广域网接口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内存</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缺省内存≥2G</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槽位数★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端口密度</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整机最大支持千兆以太端口密度≥107</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restart"/>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vMerge w:val="continue"/>
            <w:tcBorders>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64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固化接口≥16个千兆电口+2个千兆光口，为方便管理，要求端口本机自带，不接受加扩展插卡形式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扩展要求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≥2个扩展槽位，可扩展4PFC接口卡、4SFP插卡、4SFP+插卡</w:t>
            </w:r>
          </w:p>
          <w:p>
            <w:pPr>
              <w:ind w:firstLine="640"/>
              <w:rPr>
                <w:rFonts w:hint="eastAsia" w:ascii="仿宋" w:hAnsi="仿宋" w:eastAsia="仿宋" w:cs="仿宋"/>
                <w:sz w:val="24"/>
                <w:szCs w:val="24"/>
              </w:rPr>
            </w:pPr>
            <w:r>
              <w:rPr>
                <w:rFonts w:hint="eastAsia" w:ascii="仿宋" w:hAnsi="仿宋" w:eastAsia="仿宋" w:cs="仿宋"/>
                <w:sz w:val="24"/>
                <w:szCs w:val="24"/>
              </w:rPr>
              <w:t>≥1个硬盘扩展插槽，可支持扩展500G和1T 的HDD硬盘，480G SDD硬盘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并发连接数≥120万；吞吐量≥5G；每秒新建连接数≥70,000，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支持防火墙\NAT日志;支持域间策略匹配日志;支持攻击防范\支持NAT444用户端口块溯源日志，为方便日志审计，要求设备自带≥500G硬盘，可升级为1TB硬盘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420" w:firstLineChars="175"/>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配置要求：配置≥16个千兆电口+2个千兆光口，配置单电源，支持双电源扩展，配置AV特征库1年，配置15个SSL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、300单位</w:t>
      </w:r>
    </w:p>
    <w:p>
      <w:pPr>
        <w:pStyle w:val="3"/>
        <w:rPr>
          <w:rFonts w:hint="eastAsia" w:ascii="仿宋" w:hAnsi="仿宋" w:eastAsia="仿宋" w:cs="仿宋"/>
          <w:sz w:val="24"/>
          <w:szCs w:val="24"/>
        </w:rPr>
      </w:pPr>
      <w:r>
        <w:rPr>
          <w:rFonts w:hint="eastAsia" w:ascii="仿宋" w:hAnsi="仿宋" w:eastAsia="仿宋" w:cs="仿宋"/>
          <w:sz w:val="24"/>
          <w:szCs w:val="24"/>
        </w:rPr>
        <w:t>300人路由器（1台）</w:t>
      </w:r>
    </w:p>
    <w:tbl>
      <w:tblPr>
        <w:tblStyle w:val="36"/>
        <w:tblW w:w="8648" w:type="dxa"/>
        <w:tblInd w:w="-176"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包转发率≥12Mpps，提供工信部下属第三方权威测试报告证明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主机支持最少4GE（combo）+2SFP广域网接口</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支持内置ssd硬盘</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6663"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5"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6663"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接入交换机（1台）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转发性能★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交换容量≥330Gbps，包转发率≥130Mpps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堆叠</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最大堆叠台数≥9台，支持跨设备链路聚合，单一IP管理， 支持通过标准以太端口进行堆叠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支持与第三方云平台免费对接，支持设备的蓝牙连接管理功能，提供工信部下属第三方权威测试报告证明。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VLAN特性</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129"/>
              <w:widowControl w:val="0"/>
              <w:spacing w:before="0" w:beforeAutospacing="0" w:after="0" w:afterAutospacing="0"/>
              <w:jc w:val="both"/>
              <w:rPr>
                <w:rFonts w:hint="eastAsia" w:ascii="仿宋" w:hAnsi="仿宋" w:eastAsia="仿宋" w:cs="仿宋"/>
                <w:kern w:val="2"/>
                <w:sz w:val="24"/>
                <w:szCs w:val="24"/>
              </w:rPr>
            </w:pPr>
            <w:r>
              <w:rPr>
                <w:rFonts w:hint="eastAsia" w:ascii="仿宋" w:hAnsi="仿宋" w:eastAsia="仿宋" w:cs="仿宋"/>
                <w:kern w:val="2"/>
                <w:sz w:val="24"/>
                <w:szCs w:val="24"/>
              </w:rPr>
              <w:t>支持基于端口的VLAN，支持基于协议的VLAN；支持基于MAC的VLAN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高可用功能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支持防火墙插卡，支持零配置启动，端口节能、USB等高可用功能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组播协议</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支持IGMP v1/v2/v3，MLD v1/v2，支持PIM Snooping支持MSDP，MSDP for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节能环保</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支持端口节能功能，提供工信部下属第三方权威测试报告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Macsec功能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持802.1ae Macsec安全加密，实现MAC层安全加密，包括用户数据加密、数据帧完整性检查及数据源真实性校验。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配置≥48个千兆电接口，4个千兆光接口。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资质证书★</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投标产品提供近三年在中国企业网市场占有率排名前三的IDC权威报告。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其他要求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rPr>
                <w:rFonts w:hint="eastAsia" w:ascii="仿宋" w:hAnsi="仿宋" w:eastAsia="仿宋" w:cs="仿宋"/>
                <w:bCs/>
                <w:sz w:val="24"/>
                <w:szCs w:val="24"/>
              </w:rPr>
            </w:pPr>
            <w:r>
              <w:rPr>
                <w:rFonts w:hint="eastAsia" w:ascii="仿宋" w:hAnsi="仿宋" w:eastAsia="仿宋" w:cs="仿宋"/>
                <w:bCs/>
                <w:sz w:val="24"/>
                <w:szCs w:val="24"/>
              </w:rPr>
              <w:t>要求所有网络、安全设备保持统一品牌；</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6663" w:type="dxa"/>
            <w:tcBorders>
              <w:top w:val="single" w:color="auto" w:sz="4" w:space="0"/>
              <w:left w:val="single" w:color="auto" w:sz="4" w:space="0"/>
              <w:bottom w:val="single" w:color="auto" w:sz="4" w:space="0"/>
              <w:right w:val="single" w:color="auto" w:sz="4" w:space="0"/>
            </w:tcBorders>
            <w:vAlign w:val="center"/>
          </w:tcPr>
          <w:p>
            <w:pPr>
              <w:spacing w:line="312" w:lineRule="auto"/>
              <w:ind w:firstLine="24" w:firstLineChars="1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固化接口≥2个千兆光电复用口+8个千兆电口+2个千兆Bypass口，为方便管理，要求端口本机自带，不接受加扩展插卡形式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并发连接数≥100万；吞吐量≥3G；每秒新建连接数≥30,000，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支持防火墙\NAT日志;支持域间策略匹配日志;支持攻击防范\支持NAT444用户端口块溯源日志，为方便日志审计，要求设备自带≥500G硬盘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985" w:type="dxa"/>
            <w:tcBorders>
              <w:top w:val="single" w:color="auto" w:sz="4" w:space="0"/>
              <w:left w:val="single" w:color="auto" w:sz="4" w:space="0"/>
              <w:right w:val="single" w:color="auto" w:sz="4" w:space="0"/>
            </w:tcBorders>
            <w:shd w:val="solid" w:color="FFFFFF" w:fill="auto"/>
            <w:vAlign w:val="center"/>
          </w:tcPr>
          <w:p>
            <w:pPr>
              <w:ind w:firstLine="640"/>
              <w:jc w:val="center"/>
              <w:rPr>
                <w:rFonts w:hint="eastAsia" w:ascii="仿宋" w:hAnsi="仿宋" w:eastAsia="仿宋" w:cs="仿宋"/>
                <w:sz w:val="24"/>
                <w:szCs w:val="24"/>
              </w:rPr>
            </w:pPr>
            <w:r>
              <w:rPr>
                <w:rFonts w:hint="eastAsia" w:ascii="仿宋" w:hAnsi="仿宋" w:eastAsia="仿宋" w:cs="仿宋"/>
                <w:sz w:val="24"/>
                <w:szCs w:val="24"/>
              </w:rPr>
              <w:t>IPV6</w:t>
            </w:r>
          </w:p>
        </w:tc>
        <w:tc>
          <w:tcPr>
            <w:tcW w:w="6663"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24" w:firstLineChars="10"/>
              <w:jc w:val="center"/>
              <w:rPr>
                <w:rFonts w:hint="eastAsia" w:ascii="仿宋" w:hAnsi="仿宋" w:eastAsia="仿宋" w:cs="仿宋"/>
                <w:sz w:val="24"/>
                <w:szCs w:val="24"/>
              </w:rPr>
            </w:pPr>
            <w:r>
              <w:rPr>
                <w:rFonts w:hint="eastAsia" w:ascii="仿宋" w:hAnsi="仿宋" w:eastAsia="仿宋" w:cs="仿宋"/>
                <w:sz w:val="24"/>
                <w:szCs w:val="24"/>
              </w:rPr>
              <w:t>VPN</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 攻击</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985"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663"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配置要求：配置≥2个千兆光电复用口+8个千兆电口+2个千兆Bypass口，配置AV特征库1年，配置15个SSL VPN授权</w:t>
            </w:r>
          </w:p>
        </w:tc>
      </w:tr>
    </w:tbl>
    <w:p>
      <w:pPr>
        <w:pStyle w:val="2"/>
        <w:rPr>
          <w:rFonts w:hint="eastAsia" w:ascii="仿宋" w:hAnsi="仿宋" w:eastAsia="仿宋" w:cs="仿宋"/>
          <w:sz w:val="24"/>
          <w:szCs w:val="24"/>
        </w:rPr>
      </w:pPr>
      <w:r>
        <w:rPr>
          <w:rFonts w:hint="eastAsia" w:ascii="仿宋" w:hAnsi="仿宋" w:eastAsia="仿宋" w:cs="仿宋"/>
          <w:sz w:val="24"/>
          <w:szCs w:val="24"/>
        </w:rPr>
        <w:t>100人单位</w:t>
      </w:r>
    </w:p>
    <w:p>
      <w:pPr>
        <w:pStyle w:val="3"/>
        <w:rPr>
          <w:rFonts w:hint="eastAsia" w:ascii="仿宋" w:hAnsi="仿宋" w:eastAsia="仿宋" w:cs="仿宋"/>
          <w:sz w:val="24"/>
          <w:szCs w:val="24"/>
        </w:rPr>
      </w:pPr>
      <w:r>
        <w:rPr>
          <w:rFonts w:hint="eastAsia" w:ascii="仿宋" w:hAnsi="仿宋" w:eastAsia="仿宋" w:cs="仿宋"/>
          <w:sz w:val="24"/>
          <w:szCs w:val="24"/>
        </w:rPr>
        <w:t>100人路由器(1台)</w:t>
      </w:r>
    </w:p>
    <w:tbl>
      <w:tblPr>
        <w:tblStyle w:val="36"/>
        <w:tblW w:w="8897" w:type="dxa"/>
        <w:tblInd w:w="108"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9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技术指标</w:t>
            </w:r>
          </w:p>
        </w:tc>
        <w:tc>
          <w:tcPr>
            <w:tcW w:w="7196" w:type="dxa"/>
            <w:vAlign w:val="center"/>
          </w:tcPr>
          <w:p>
            <w:pPr>
              <w:spacing w:line="312"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包转发率★</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包转发率≥2Mpps，提供工信部下属第三方权威测试报告证明</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left="-82" w:leftChars="-39" w:firstLine="0" w:firstLineChars="0"/>
              <w:jc w:val="center"/>
              <w:rPr>
                <w:rFonts w:hint="eastAsia" w:ascii="仿宋" w:hAnsi="仿宋" w:eastAsia="仿宋" w:cs="仿宋"/>
                <w:sz w:val="24"/>
                <w:szCs w:val="24"/>
              </w:rPr>
            </w:pPr>
            <w:r>
              <w:rPr>
                <w:rFonts w:hint="eastAsia" w:ascii="仿宋" w:hAnsi="仿宋" w:eastAsia="仿宋" w:cs="仿宋"/>
                <w:sz w:val="24"/>
                <w:szCs w:val="24"/>
              </w:rPr>
              <w:t>主机接口数</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主机接口数≥28（其中3个WAN口，24个LAN口，1个千兆光口），模块插槽≥4个</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路由协议</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支持静态路由；动态路由协议：RIP/RIPng，OSPFv2，OSPFv3，BGP，IS-IS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MPLS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支持MPLS TE， MPLS/BGP VPN，L2VPN，MPLS支持组播</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网络安全性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支持端口安全；PPPoE Client&amp;Server，PORTAL，802.1x；Local认证，Radius；防火墙ASPF，ACL，FILTER；硬件加密引擎，IKE，IPSec， Portal；L2TP，NAT/NAPT，PKI，RSA，SSH v1.5/2.0，SSL，URPF，GRE</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支持将两台中物理路由器虚拟化为一台，提高设备可靠性和利用率；支持VRRP，VRRPV3,支持基于多链路的负载分担与备份，支持NQA同路由、接口备份的联动功能，实现端到端链路的检测与备份功能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接口类型</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支持POS、CPOS、FXS/FXO/E&amp;M、E1/T1等接口类型</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QOS</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支持CAR（Committed Access Rate）；支持LR（Line Rate）；FIFO、PQ、CQ、WFQ、CBQ、RTPQ；WRED/RED</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智能化网管</w:t>
            </w:r>
          </w:p>
        </w:tc>
        <w:tc>
          <w:tcPr>
            <w:tcW w:w="7196" w:type="dxa"/>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支持对系统软硬件部件的内部事件、状态进行监控，出现问题时收集现场信息并尝试自动修复,并能将现场信息发送到指定的Email邮箱</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电源</w:t>
            </w:r>
          </w:p>
        </w:tc>
        <w:tc>
          <w:tcPr>
            <w:tcW w:w="7196" w:type="dxa"/>
            <w:vAlign w:val="center"/>
          </w:tcPr>
          <w:p>
            <w:pPr>
              <w:ind w:left="-82" w:leftChars="-39" w:firstLine="640"/>
              <w:rPr>
                <w:rFonts w:hint="eastAsia" w:ascii="仿宋" w:hAnsi="仿宋" w:eastAsia="仿宋" w:cs="仿宋"/>
                <w:sz w:val="24"/>
                <w:szCs w:val="24"/>
              </w:rPr>
            </w:pPr>
            <w:r>
              <w:rPr>
                <w:rFonts w:hint="eastAsia" w:ascii="仿宋" w:hAnsi="仿宋" w:eastAsia="仿宋" w:cs="仿宋"/>
                <w:sz w:val="24"/>
                <w:szCs w:val="24"/>
              </w:rPr>
              <w:t>支持（1+1）冗余内置模块化电源</w:t>
            </w:r>
          </w:p>
        </w:tc>
      </w:tr>
    </w:tbl>
    <w:p>
      <w:pPr>
        <w:pStyle w:val="3"/>
        <w:rPr>
          <w:rFonts w:hint="eastAsia" w:ascii="仿宋" w:hAnsi="仿宋" w:eastAsia="仿宋" w:cs="仿宋"/>
          <w:sz w:val="24"/>
          <w:szCs w:val="24"/>
        </w:rPr>
      </w:pPr>
      <w:r>
        <w:rPr>
          <w:rFonts w:hint="eastAsia" w:ascii="仿宋" w:hAnsi="仿宋" w:eastAsia="仿宋" w:cs="仿宋"/>
          <w:sz w:val="24"/>
          <w:szCs w:val="24"/>
        </w:rPr>
        <w:t>安全设备(1台)</w:t>
      </w:r>
    </w:p>
    <w:tbl>
      <w:tblPr>
        <w:tblStyle w:val="36"/>
        <w:tblW w:w="8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技术指标</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12"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招标参数要求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硬件架构</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2U以下盒式设备，采用非X86架构，64位多核高性能处理器和高速存储器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端口要求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固化接口≥2个千兆光口+8个千兆电口，为方便管理，要求端口本机自带，不接受加扩展插卡形式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产品性能</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wordWrap w:val="0"/>
              <w:spacing w:before="100" w:beforeAutospacing="1" w:after="100" w:afterAutospacing="1" w:line="300" w:lineRule="atLeast"/>
              <w:ind w:firstLine="640"/>
              <w:rPr>
                <w:rFonts w:hint="eastAsia" w:ascii="仿宋" w:hAnsi="仿宋" w:eastAsia="仿宋" w:cs="仿宋"/>
                <w:sz w:val="24"/>
                <w:szCs w:val="24"/>
              </w:rPr>
            </w:pPr>
            <w:r>
              <w:rPr>
                <w:rFonts w:hint="eastAsia" w:ascii="仿宋" w:hAnsi="仿宋" w:eastAsia="仿宋" w:cs="仿宋"/>
                <w:sz w:val="24"/>
                <w:szCs w:val="24"/>
              </w:rPr>
              <w:t>并发连接数≥30万；吞吐量≥1G；每秒新建连接数≥18,000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 xml:space="preserve">支持防火墙\NAT日志;支持域间策略匹配日志;支持攻击防范\支持NAT444用户端口块溯源日志，为方便日志审计，要求设备自带≥500G硬盘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可靠性要求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支持虚拟化技术，可以实现1:N、N:1虚拟化技术，实现灵活管理和弹性扩展，实现基于容器技术的虚拟防火墙，虚墙可单独重启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路由</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支持静态路由、RIP v1/2、OSPF、ISIS、BGP、策略路由等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安全域</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支持安全区域管理，可基于接口、VLAN划分安全区域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01" w:type="dxa"/>
            <w:tcBorders>
              <w:top w:val="single" w:color="auto" w:sz="4" w:space="0"/>
              <w:left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w:t>
            </w:r>
          </w:p>
        </w:tc>
        <w:tc>
          <w:tcPr>
            <w:tcW w:w="7076" w:type="dxa"/>
            <w:tcBorders>
              <w:top w:val="single" w:color="auto" w:sz="4" w:space="0"/>
              <w:left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支持IPV6动态路由协议、IPV6对象及策略、IPV6状态防火墙、IPV6攻击防范、IPV6 GRE\IPSEC VPN、IPV6日志审计、IPV6会话热备，支持AFT技术，可用于IPv4和IPv6网络边缘设备，使得用户不必改变目前网络中主机的配置即可实现IPv6网络与IPv4网络的通信。（要求提供配置截图）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安全一体化策略</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支持一体化安全策略：可基于地址、端口、服务、应用、用户、时间、VRF等属性，配置入侵防御、数据过滤、文件过滤、防病毒、URL过滤、日志记录、会话老化时间等高级访问控制功能；（要求提供配置截图）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内容分析</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提供基于用户名（或用户IP地址）实现对用户行为统一分析界面，采用饼状图对访问应用流量、网站访问集中分析展示，包含基于时间轴的访问行为轨迹(应用账号、行为内容等)，关联账号（微信、QQ）等相关用户行为审计内容（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攻击防范</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防范DOS/DDOS攻击</w:t>
            </w:r>
            <w:r>
              <w:rPr>
                <w:rFonts w:hint="eastAsia" w:ascii="仿宋" w:hAnsi="仿宋" w:eastAsia="仿宋" w:cs="仿宋"/>
                <w:sz w:val="24"/>
                <w:szCs w:val="24"/>
              </w:rPr>
              <w:tab/>
            </w:r>
            <w:r>
              <w:rPr>
                <w:rFonts w:hint="eastAsia" w:ascii="仿宋" w:hAnsi="仿宋" w:eastAsia="仿宋" w:cs="仿宋"/>
                <w:sz w:val="24"/>
                <w:szCs w:val="24"/>
              </w:rPr>
              <w:t>支持DDoS流量阈值学习。启用学习功能后，系统将自动分析当前流量并计算出各种攻击类型的防范阈值，管理员可参考学习结果设置阈值。学习功能支持学习时长、学习模式、周期学习及自动应用等功能。（要求提供配置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VPN</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免费支持高性能IPSec、L2TP、GRE VPN功能，能实现与安卓、IOS系统自带VPN组件的L2TP、IPSec 、L2TP Over IPSec对接，支持多种用户认证方式：本地认证、支持AAA认证、支持AAA计费、支持LDAP/AD、支持证书双因子认证、支持动态令牌、支持透传账户绑定的硬件信息信息到AAA、支持RADIUS Challenge方式短信认证、支持短信认证/邮件认证，提供15用户SSL VPN授权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深度防御攻击</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支持对黑客攻击、蠕虫/病毒、木马恶意代码、间谍软件/广告软件、DoS/DDoS等常见的攻击防御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1"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7076" w:type="dxa"/>
            <w:tcBorders>
              <w:top w:val="single" w:color="auto" w:sz="4" w:space="0"/>
              <w:left w:val="single" w:color="auto" w:sz="4" w:space="0"/>
              <w:bottom w:val="single" w:color="auto" w:sz="4" w:space="0"/>
              <w:right w:val="single" w:color="auto" w:sz="4" w:space="0"/>
            </w:tcBorders>
            <w:shd w:val="solid" w:color="FFFFFF" w:fill="auto"/>
            <w:vAlign w:val="center"/>
          </w:tcPr>
          <w:p>
            <w:pPr>
              <w:ind w:firstLine="640"/>
              <w:rPr>
                <w:rFonts w:hint="eastAsia" w:ascii="仿宋" w:hAnsi="仿宋" w:eastAsia="仿宋" w:cs="仿宋"/>
                <w:sz w:val="24"/>
                <w:szCs w:val="24"/>
              </w:rPr>
            </w:pPr>
            <w:r>
              <w:rPr>
                <w:rFonts w:hint="eastAsia" w:ascii="仿宋" w:hAnsi="仿宋" w:eastAsia="仿宋" w:cs="仿宋"/>
                <w:sz w:val="24"/>
                <w:szCs w:val="24"/>
              </w:rPr>
              <w:t>配置要求：配置≥2个千兆光口+8个千兆电口，配置AV特征库1年，配置15个SSL VPN授权</w:t>
            </w:r>
          </w:p>
        </w:tc>
      </w:tr>
    </w:tbl>
    <w:p>
      <w:pPr>
        <w:rPr>
          <w:rFonts w:hint="eastAsia" w:ascii="仿宋" w:hAnsi="仿宋" w:eastAsia="仿宋" w:cs="仿宋"/>
          <w:sz w:val="24"/>
          <w:szCs w:val="24"/>
        </w:rPr>
      </w:pPr>
    </w:p>
    <w:p>
      <w:pPr>
        <w:pStyle w:val="3"/>
        <w:numPr>
          <w:ilvl w:val="0"/>
          <w:numId w:val="0"/>
        </w:numPr>
        <w:rPr>
          <w:rFonts w:hint="eastAsia" w:ascii="仿宋" w:hAnsi="仿宋" w:eastAsia="仿宋" w:cs="仿宋"/>
          <w:sz w:val="24"/>
          <w:szCs w:val="24"/>
        </w:rPr>
      </w:pPr>
      <w:r>
        <w:rPr>
          <w:rFonts w:hint="eastAsia" w:ascii="仿宋" w:hAnsi="仿宋" w:eastAsia="仿宋" w:cs="仿宋"/>
          <w:sz w:val="24"/>
          <w:szCs w:val="24"/>
        </w:rPr>
        <w:t>4、核心交换机(1台)</w:t>
      </w:r>
    </w:p>
    <w:tbl>
      <w:tblPr>
        <w:tblStyle w:val="36"/>
        <w:tblW w:w="8379"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技术指标</w:t>
            </w: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jc w:val="center"/>
              <w:rPr>
                <w:rFonts w:hint="eastAsia" w:ascii="仿宋" w:hAnsi="仿宋" w:eastAsia="仿宋" w:cs="仿宋"/>
                <w:sz w:val="24"/>
                <w:szCs w:val="24"/>
              </w:rPr>
            </w:pPr>
            <w:r>
              <w:rPr>
                <w:rFonts w:hint="eastAsia" w:ascii="仿宋" w:hAnsi="仿宋" w:eastAsia="仿宋" w:cs="仿宋"/>
                <w:sz w:val="24"/>
                <w:szCs w:val="24"/>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★槽位数</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主控板槽位数≥2；业务板槽位数≥6；主控与业务槽位不能混用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★性能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交换容量≥19Tbps；包转发率≥2800Mpps，以官网标示最小值为准。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★虚拟化功能</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支持N:1虚拟化功能，可将N（N≥4）台物理设备虚拟成一台逻辑设备，支持跨设备链路聚合，单一IP管理，统一的路由管理。提供工信部下属第三方权威测试报告证明。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支持1:N虚拟化功能，可将一台物理设备虚拟成多台逻辑设备，逻辑设备之间硬件独立且物理隔离，支持在N:1虚拟化环境下同时实现1:N虚拟化功能。提供工信部下属第三方权威测试报告证明。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40"/>
              <w:rPr>
                <w:rFonts w:hint="eastAsia" w:ascii="仿宋" w:hAnsi="仿宋" w:eastAsia="仿宋" w:cs="仿宋"/>
                <w:sz w:val="24"/>
                <w:szCs w:val="24"/>
              </w:rPr>
            </w:pP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支持纵向虚拟化功能，支持将汇聚和接入设备通过纵向虚拟化技术形成一台纵向逻辑虚拟设备，相当于把接入设备作为一块远程接口单板加入核心设备，在支持在持在N:1虚拟化环境下同时实现纵向虚拟化功能。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★数据中心互联技术</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支持Overlay虚拟化网络技术，可以实现VXLAN，NVGRE，STT等任何一种技术标准，实现应用在网络上的承载，并能够与其他网络业务分离。提供工信部下属第三方权威测试报告证明。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路由协议</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支持IPv4静态路由、RIP V1/V2、OSPF、BGP等，支持IPv6静态路由、RIPng、OSPFv3、BGP4+等。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安全特性</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 xml:space="preserve">支持基于标准、扩展、VLAN的ACL；支持MAC认证、802.1X认证、Portal认证；支持IP地址、VLAN ID、MAC地址和端口等多种组合绑定。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4" w:firstLineChars="131"/>
              <w:rPr>
                <w:rFonts w:hint="eastAsia" w:ascii="仿宋" w:hAnsi="仿宋" w:eastAsia="仿宋" w:cs="仿宋"/>
                <w:sz w:val="24"/>
                <w:szCs w:val="24"/>
              </w:rPr>
            </w:pPr>
            <w:r>
              <w:rPr>
                <w:rFonts w:hint="eastAsia" w:ascii="仿宋" w:hAnsi="仿宋" w:eastAsia="仿宋" w:cs="仿宋"/>
                <w:sz w:val="24"/>
                <w:szCs w:val="24"/>
              </w:rPr>
              <w:t>设备管理</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支持SNMPv1、SNMPv2、SNMPv3、RMON等网络管理协议，并且支持通过网管软件远程进行设备软件升级、配置等。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hint="eastAsia" w:ascii="仿宋" w:hAnsi="仿宋" w:eastAsia="仿宋" w:cs="仿宋"/>
                <w:sz w:val="24"/>
                <w:szCs w:val="24"/>
              </w:rPr>
            </w:pPr>
            <w:r>
              <w:rPr>
                <w:rFonts w:hint="eastAsia" w:ascii="仿宋" w:hAnsi="仿宋" w:eastAsia="仿宋" w:cs="仿宋"/>
                <w:sz w:val="24"/>
                <w:szCs w:val="24"/>
              </w:rPr>
              <w:t>★资质证书</w:t>
            </w:r>
          </w:p>
        </w:tc>
        <w:tc>
          <w:tcPr>
            <w:tcW w:w="6096" w:type="dxa"/>
            <w:tcBorders>
              <w:top w:val="single" w:color="auto" w:sz="4" w:space="0"/>
              <w:left w:val="single" w:color="auto" w:sz="4" w:space="0"/>
              <w:right w:val="single" w:color="auto" w:sz="4" w:space="0"/>
            </w:tcBorders>
            <w:shd w:val="clear" w:color="auto" w:fill="FFFFFF"/>
            <w:vAlign w:val="center"/>
          </w:tcPr>
          <w:p>
            <w:pPr>
              <w:widowControl/>
              <w:ind w:firstLine="480" w:firstLineChars="0"/>
              <w:rPr>
                <w:rFonts w:hint="eastAsia" w:ascii="仿宋" w:hAnsi="仿宋" w:eastAsia="仿宋" w:cs="仿宋"/>
                <w:sz w:val="24"/>
                <w:szCs w:val="24"/>
              </w:rPr>
            </w:pPr>
            <w:r>
              <w:rPr>
                <w:rFonts w:hint="eastAsia" w:ascii="仿宋" w:hAnsi="仿宋" w:eastAsia="仿宋" w:cs="仿宋"/>
                <w:sz w:val="24"/>
                <w:szCs w:val="24"/>
              </w:rPr>
              <w:t>提供中华人民共和国工业和信息化部电信管理局入网证复印件（入网证申请单位和生产企业必须一致）。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8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★配置要求</w:t>
            </w:r>
          </w:p>
        </w:tc>
        <w:tc>
          <w:tcPr>
            <w:tcW w:w="60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640"/>
              <w:rPr>
                <w:rFonts w:hint="eastAsia" w:ascii="仿宋" w:hAnsi="仿宋" w:eastAsia="仿宋" w:cs="仿宋"/>
                <w:sz w:val="24"/>
                <w:szCs w:val="24"/>
              </w:rPr>
            </w:pPr>
            <w:r>
              <w:rPr>
                <w:rFonts w:hint="eastAsia" w:ascii="仿宋" w:hAnsi="仿宋" w:eastAsia="仿宋" w:cs="仿宋"/>
                <w:sz w:val="24"/>
                <w:szCs w:val="24"/>
              </w:rPr>
              <w:t>单台配置要求：双主控、内置冗余交流电源、千兆电口≥48个，千兆光口≥24个，万兆以太网光接口≥4个。千兆以太网单模光模块≥10个，万兆以太网多模光模块≥4个，3m万兆堆叠线缆1根。</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5、OTDR（1台）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restart"/>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主要功能</w:t>
            </w: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彩色TFT LCD显示屏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光纤放大镜接口，支持外部光纤探头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智能故障定位器定位光缆故障点★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具有多种测量模式，操作简单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配置数据分析与仿真软件，可批量处理、生成、打印测试报告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具有有光告警功能，防止在用光信号损毁OTDR★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配置2个USB接口、可进行电脑仿真控制及外接存储、打印机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可按项目管理光缆自动进行多芯测量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609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内存容量超过1000条曲线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波长★</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1310/1550nm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量程★</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动态范围★</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32/30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事件盲区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0.8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衰减盲区★</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 m /5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脉宽设置</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3ns ~ 10us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26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09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&gt;1000条曲线</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6、相机（1台，含镜头）</w:t>
      </w:r>
    </w:p>
    <w:tbl>
      <w:tblPr>
        <w:tblStyle w:val="36"/>
        <w:tblW w:w="86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具有自动对焦/自动曝光的单镜头反光式数码相机</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记录媒体：CF卡</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镜头卡口：EF卡口（含镜头24-105mm）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类型：CMOS图像感应器★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尺寸：全画幅（36*24mm）</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有效像素：大于2000万像素★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除尘功能：自动、手动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图像类型：JPEG、RAW ，可以同时记录RAW+JPEG</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自动对焦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类型：TTL辅助影像重合，相位检测，自动对焦点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对焦亮度范围：EV -2 - 18（使用中央F2.8自动对焦点、23 ℃/73 ℉、ISO100）</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对焦模式：单次自动对焦、人工智能伺服自动对焦、人工智能自动对焦、手动对焦</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TFT彩色液晶监视器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具备电子水准仪</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简体中文界面语言</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音频/视频输出/数码端子：模拟视频（兼容NTSC/PAL）/立体声音频输出，计算机通讯、直接打印（Hi-Speed USB或等同规格）、无线文件传输器WFT-E7C</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HDMI mini 输出端子：C型（自动切换分辨率）、CEC兼容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rPr>
          <w:trHeight w:val="285" w:hRule="atLeast"/>
        </w:trPr>
        <w:tc>
          <w:tcPr>
            <w:tcW w:w="864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3.5毫米外接麦克风输入端子</w:t>
            </w:r>
          </w:p>
        </w:tc>
      </w:tr>
    </w:tbl>
    <w:p>
      <w:pPr>
        <w:ind w:firstLine="0" w:firstLineChars="0"/>
        <w:rPr>
          <w:rFonts w:hint="eastAsia" w:ascii="仿宋" w:hAnsi="仿宋" w:eastAsia="仿宋" w:cs="仿宋"/>
          <w:b/>
          <w:sz w:val="24"/>
          <w:szCs w:val="24"/>
        </w:rPr>
      </w:pPr>
    </w:p>
    <w:p>
      <w:pPr>
        <w:ind w:firstLine="0" w:firstLineChars="0"/>
        <w:rPr>
          <w:rFonts w:hint="eastAsia" w:ascii="仿宋" w:hAnsi="仿宋" w:eastAsia="仿宋" w:cs="仿宋"/>
          <w:b/>
          <w:sz w:val="24"/>
          <w:szCs w:val="24"/>
        </w:rPr>
      </w:pPr>
      <w:r>
        <w:rPr>
          <w:rFonts w:hint="eastAsia" w:ascii="仿宋" w:hAnsi="仿宋" w:eastAsia="仿宋" w:cs="仿宋"/>
          <w:b/>
          <w:sz w:val="24"/>
          <w:szCs w:val="24"/>
        </w:rPr>
        <w:t>7、PON光功率计（2台）</w:t>
      </w:r>
    </w:p>
    <w:tbl>
      <w:tblPr>
        <w:tblStyle w:val="36"/>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6"/>
        <w:gridCol w:w="5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彩屏LCD</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同时测量上下行功率数据，同时测量三个通道功率★</w:t>
            </w:r>
          </w:p>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多电源自动切换，并且具备自动充电功能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1310nm上行测试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1260nm~1360nm★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隔离度（1490/1550nm）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1490nm下行测试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1480nm~1500nm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-50dBm~+10dBm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隔离度（对1550nm）</w:t>
            </w:r>
          </w:p>
        </w:tc>
        <w:tc>
          <w:tcPr>
            <w:tcW w:w="5608"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1550nm下行测试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光谱通带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1530nm~1570nm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测量范围</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-45dBm~+25dBm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最大输入功率</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隔离度（对1310nm）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隔离度（对1490nm）</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&gt;30dB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364" w:type="dxa"/>
            <w:gridSpan w:val="2"/>
            <w:shd w:val="clear" w:color="auto" w:fill="auto"/>
            <w:vAlign w:val="top"/>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公共部分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光纤类型</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 9/125um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top"/>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光纤连接器</w:t>
            </w:r>
          </w:p>
        </w:tc>
        <w:tc>
          <w:tcPr>
            <w:tcW w:w="5608" w:type="dxa"/>
            <w:shd w:val="clear" w:color="auto" w:fill="auto"/>
            <w:vAlign w:val="top"/>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&lt;1.5dB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适用电池</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5#碱性或充电电池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电池寿命</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&gt;20H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756"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相对温度</w:t>
            </w:r>
          </w:p>
        </w:tc>
        <w:tc>
          <w:tcPr>
            <w:tcW w:w="5608"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&lt;90%不结霜</w:t>
            </w:r>
          </w:p>
        </w:tc>
      </w:tr>
    </w:tbl>
    <w:p>
      <w:pPr>
        <w:ind w:firstLine="0" w:firstLineChars="0"/>
        <w:rPr>
          <w:rFonts w:hint="eastAsia" w:ascii="仿宋" w:hAnsi="仿宋" w:eastAsia="仿宋" w:cs="仿宋"/>
          <w:b/>
          <w:sz w:val="24"/>
          <w:szCs w:val="24"/>
        </w:rPr>
      </w:pPr>
      <w:r>
        <w:rPr>
          <w:rFonts w:hint="eastAsia" w:ascii="仿宋" w:hAnsi="仿宋" w:eastAsia="仿宋" w:cs="仿宋"/>
          <w:sz w:val="24"/>
          <w:szCs w:val="24"/>
        </w:rPr>
        <w:t>8、</w:t>
      </w:r>
      <w:r>
        <w:rPr>
          <w:rFonts w:hint="eastAsia" w:ascii="仿宋" w:hAnsi="仿宋" w:eastAsia="仿宋" w:cs="仿宋"/>
          <w:b/>
          <w:sz w:val="24"/>
          <w:szCs w:val="24"/>
        </w:rPr>
        <w:t>光纤识别器（2台）</w:t>
      </w:r>
    </w:p>
    <w:tbl>
      <w:tblPr>
        <w:tblStyle w:val="36"/>
        <w:tblW w:w="8374"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29"/>
        <w:gridCol w:w="2811"/>
        <w:gridCol w:w="24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识别波长范围(nm)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800～1700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适配器类型（mm）★</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Φ0.25（用于裸纤）；Φ0.9，Φ2.0, Φ3.0（用于尾纤）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调制频率（Hz）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CW，270，1K，2K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信号方向指示★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方向指示灯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提示</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低电量提示音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6"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信号方向检测范围(dBm,CW/0.9mm裸纤）</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-46～10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22"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 (1550nm)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信号功率检测范围(dBm ,CW/0.9mm裸纤 ) ★</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信号频率指示（Hz）</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270，1K，2K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频率检测范围(dBm,平均值)</w:t>
            </w: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Φ0.9，Φ2.0, Φ3.0</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Φ0.25</w:t>
            </w: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-25～0 (270Hz,1KHz)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811"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2434"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-20～0 (2KHz)</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restart"/>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插入损耗（dB，典型值）</w:t>
            </w: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0.8 (1310nm)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3129"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245" w:type="dxa"/>
            <w:gridSpan w:val="2"/>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 (1550nm)</w:t>
            </w:r>
          </w:p>
        </w:tc>
      </w:tr>
    </w:tbl>
    <w:p>
      <w:pPr>
        <w:ind w:firstLine="0" w:firstLineChars="0"/>
        <w:rPr>
          <w:rFonts w:hint="eastAsia" w:ascii="仿宋" w:hAnsi="仿宋" w:eastAsia="仿宋" w:cs="仿宋"/>
          <w:b/>
          <w:sz w:val="24"/>
          <w:szCs w:val="24"/>
        </w:rPr>
      </w:pPr>
      <w:r>
        <w:rPr>
          <w:rFonts w:hint="eastAsia" w:ascii="仿宋" w:hAnsi="仿宋" w:eastAsia="仿宋" w:cs="仿宋"/>
          <w:b/>
          <w:sz w:val="24"/>
          <w:szCs w:val="24"/>
        </w:rPr>
        <w:t>9、网络摄像机（26台）</w:t>
      </w:r>
    </w:p>
    <w:tbl>
      <w:tblPr>
        <w:tblStyle w:val="36"/>
        <w:tblW w:w="8320" w:type="dxa"/>
        <w:tblInd w:w="9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71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主要</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网络摄像机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日夜转换，宽动态，红外灯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有效像素大于等于200万</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镜头参数</w:t>
            </w:r>
            <w:r>
              <w:rPr>
                <w:rFonts w:hint="eastAsia" w:ascii="仿宋" w:hAnsi="仿宋" w:eastAsia="仿宋" w:cs="仿宋"/>
                <w:sz w:val="24"/>
                <w:szCs w:val="24"/>
              </w:rPr>
              <w:t>2.8mm★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数字降噪：3D数字降噪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宽动态范围：120dB★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背光补偿：支持，可选择区域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音/视频参数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分辨率1920×1080</w:t>
            </w:r>
            <w:r>
              <w:rPr>
                <w:rFonts w:hint="eastAsia" w:ascii="仿宋" w:hAnsi="仿宋" w:eastAsia="仿宋" w:cs="仿宋"/>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压缩格式</w:t>
            </w:r>
            <w:r>
              <w:rPr>
                <w:rFonts w:hint="eastAsia" w:ascii="仿宋" w:hAnsi="仿宋" w:eastAsia="仿宋" w:cs="仿宋"/>
                <w:sz w:val="24"/>
                <w:szCs w:val="24"/>
              </w:rPr>
              <w:t>视频压缩：Smart 265/H.265／H.264／MJPEG（H.265编码类型：Main Profile）★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音频压缩：G.711/G.722.1/G.726/MP2L2/AAC/PCM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视频帧率50Hz：25fps（1920×1080，1280×960，1280×720）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压缩码率</w:t>
            </w:r>
            <w:r>
              <w:rPr>
                <w:rFonts w:hint="eastAsia" w:ascii="仿宋" w:hAnsi="仿宋" w:eastAsia="仿宋" w:cs="仿宋"/>
                <w:sz w:val="24"/>
                <w:szCs w:val="24"/>
              </w:rPr>
              <w:t>压缩输出码率：32Kbps-8Mbps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7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音频压缩码率：64Kbps（G.711）/16Kbps（G.722.1）/16Kbps（G.726）/32-160Kbps（MP2L2）/16-64Kbps（AAC）</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5" w:hRule="atLeast"/>
        </w:trPr>
        <w:tc>
          <w:tcPr>
            <w:tcW w:w="1144" w:type="dxa"/>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接口</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网络接口1×10Base-T/100Base-TX(RJ-45)自适应以太网接口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00" w:hRule="atLeast"/>
        </w:trPr>
        <w:tc>
          <w:tcPr>
            <w:tcW w:w="1144" w:type="dxa"/>
            <w:vMerge w:val="restart"/>
            <w:shd w:val="clear" w:color="000000" w:fill="FAFAFA"/>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其它</w:t>
            </w:r>
          </w:p>
          <w:p>
            <w:pPr>
              <w:widowControl/>
              <w:autoSpaceDE/>
              <w:autoSpaceDN/>
              <w:adjustRightInd/>
              <w:spacing w:line="240" w:lineRule="auto"/>
              <w:ind w:firstLine="0" w:firstLineChars="0"/>
              <w:jc w:val="center"/>
              <w:rPr>
                <w:rFonts w:hint="eastAsia" w:ascii="仿宋" w:hAnsi="仿宋" w:eastAsia="仿宋" w:cs="仿宋"/>
                <w:bCs/>
                <w:sz w:val="24"/>
                <w:szCs w:val="24"/>
              </w:rPr>
            </w:pPr>
            <w:r>
              <w:rPr>
                <w:rFonts w:hint="eastAsia" w:ascii="仿宋" w:hAnsi="仿宋" w:eastAsia="仿宋" w:cs="仿宋"/>
                <w:bCs/>
                <w:sz w:val="24"/>
                <w:szCs w:val="24"/>
              </w:rPr>
              <w:t>参数</w:t>
            </w: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网络协议TCP/IP，ICMP，HTTP，HTTPS，FTP，DHCP，DNS，DDNS，RTP，RTSP，RTCP，PPPoE，NTP，UPnP，SMTP，IGMP，802.1X，QoS，IPv6，Bonjour</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bCs/>
                <w:sz w:val="24"/>
                <w:szCs w:val="24"/>
              </w:rPr>
            </w:pPr>
            <w:r>
              <w:rPr>
                <w:rFonts w:hint="eastAsia" w:ascii="仿宋" w:hAnsi="仿宋" w:eastAsia="仿宋" w:cs="仿宋"/>
                <w:bCs/>
                <w:sz w:val="24"/>
                <w:szCs w:val="24"/>
              </w:rPr>
              <w:t>电源电压DC 12V±25%/PoE（802.3af）</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存储功能：支持Micro SD/SDHC/SDXC卡，断网本地存储★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智能报警：越界侦测，区域入侵侦测，移动侦测，动态分析，遮挡报警，网线断，IP地址冲突，存储器满，存储器错误等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rPr>
        <w:tc>
          <w:tcPr>
            <w:tcW w:w="114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bCs/>
                <w:sz w:val="24"/>
                <w:szCs w:val="24"/>
              </w:rPr>
            </w:pPr>
          </w:p>
        </w:tc>
        <w:tc>
          <w:tcPr>
            <w:tcW w:w="7176" w:type="dxa"/>
            <w:shd w:val="clear" w:color="auto" w:fill="auto"/>
            <w:vAlign w:val="top"/>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红外照射距离：20-30m★</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b/>
          <w:sz w:val="24"/>
          <w:szCs w:val="24"/>
        </w:rPr>
      </w:pPr>
      <w:r>
        <w:rPr>
          <w:rFonts w:hint="eastAsia" w:ascii="仿宋" w:hAnsi="仿宋" w:eastAsia="仿宋" w:cs="仿宋"/>
          <w:sz w:val="24"/>
          <w:szCs w:val="24"/>
        </w:rPr>
        <w:t>10、</w:t>
      </w:r>
      <w:r>
        <w:rPr>
          <w:rFonts w:hint="eastAsia" w:ascii="仿宋" w:hAnsi="仿宋" w:eastAsia="仿宋" w:cs="仿宋"/>
          <w:b/>
          <w:sz w:val="24"/>
          <w:szCs w:val="24"/>
        </w:rPr>
        <w:t>硬盘录像机（1台）</w:t>
      </w:r>
    </w:p>
    <w:tbl>
      <w:tblPr>
        <w:tblStyle w:val="36"/>
        <w:tblW w:w="8374" w:type="dxa"/>
        <w:tblInd w:w="9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86"/>
        <w:gridCol w:w="1985"/>
        <w:gridCol w:w="5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视音频输入</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32路★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69"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网络视频接入带宽</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256Mbps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视音频输出</w:t>
            </w: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HDMI输出★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分辨率：4K（3840×2160）/30Hz，1920×1080/60Hz，1600×1200/60Hz，1280×1024/60Hz，1280×720/60Hz，1024×768/60Hz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VGA输出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1路，与HDMI同源，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分辨率：1920×1080/60Hz，1600×1200/60Hz，1280×1024/60Hz，1280×720/60Hz，1024×768/60Hz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6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1个，RCA接口（线性电平，阻抗：1kΩ）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视音频编解码参数</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录像分辨率</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6MP/5MP/4MP/3MP/1080p/UXGA/720p/VGA/4CIF/DCIF/2CIF/CIF/QCIF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同步回放★</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大于8路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录像管理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录像/抓图模式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手动录像、定时录像、事件录像、移动侦测录像、报警录像、动测或报警录像、动测且报警录像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7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回放模式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即时回放、常规回放、事件回放、标签回放、智能回放、日志回放、外部文件回放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备份模式</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常规备份、事件备份、录像剪辑备份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硬盘驱动器</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类型★</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4个SATA接口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0" w:hRule="atLeast"/>
        </w:trPr>
        <w:tc>
          <w:tcPr>
            <w:tcW w:w="1286"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　</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2个，RJ45 10M/100M/1000M自适应以太网口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串行接口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sz w:val="24"/>
                <w:szCs w:val="24"/>
              </w:rPr>
            </w:pP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USB接口★</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报警输入</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16路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00" w:hRule="atLeast"/>
        </w:trPr>
        <w:tc>
          <w:tcPr>
            <w:tcW w:w="1286" w:type="dxa"/>
            <w:vMerge w:val="continue"/>
            <w:shd w:val="clear" w:color="auto" w:fill="auto"/>
            <w:vAlign w:val="center"/>
          </w:tcPr>
          <w:p>
            <w:pPr>
              <w:widowControl/>
              <w:autoSpaceDE/>
              <w:autoSpaceDN/>
              <w:adjustRightInd/>
              <w:spacing w:line="240" w:lineRule="auto"/>
              <w:ind w:firstLine="0" w:firstLineChars="0"/>
              <w:rPr>
                <w:rFonts w:hint="eastAsia" w:ascii="仿宋" w:hAnsi="仿宋" w:eastAsia="仿宋" w:cs="仿宋"/>
                <w:b/>
                <w:bCs/>
                <w:sz w:val="24"/>
                <w:szCs w:val="24"/>
              </w:rPr>
            </w:pP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报警输出</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0" w:hRule="atLeast"/>
        </w:trPr>
        <w:tc>
          <w:tcPr>
            <w:tcW w:w="12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网络管理</w:t>
            </w:r>
          </w:p>
        </w:tc>
        <w:tc>
          <w:tcPr>
            <w:tcW w:w="198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网络协议</w:t>
            </w:r>
          </w:p>
        </w:tc>
        <w:tc>
          <w:tcPr>
            <w:tcW w:w="5103"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IPv6、UPnP(即插即用)、NTP（网络校时）、SADP（自动搜索IP地址）、PPPoE(拨号上网）、DHCP（自动获取IP地址）等</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11、打印、复印、扫描一体机（1台）</w:t>
      </w:r>
    </w:p>
    <w:tbl>
      <w:tblPr>
        <w:tblStyle w:val="36"/>
        <w:tblW w:w="822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
      <w:tblGrid>
        <w:gridCol w:w="8220"/>
      </w:tblGrid>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功能：</w:t>
            </w:r>
            <w:r>
              <w:rPr>
                <w:rFonts w:hint="eastAsia" w:ascii="仿宋" w:hAnsi="仿宋" w:eastAsia="仿宋" w:cs="仿宋"/>
                <w:sz w:val="24"/>
                <w:szCs w:val="24"/>
              </w:rPr>
              <w:t>打印、复印、扫描、传真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打印速度</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正常模式，A4：大于等于25页/分钟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　　　　　双面打印，A4：大于等于15面/分钟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打印分辨率</w:t>
            </w:r>
            <w:r>
              <w:rPr>
                <w:rFonts w:hint="eastAsia" w:ascii="仿宋" w:hAnsi="仿宋" w:eastAsia="仿宋" w:cs="仿宋"/>
                <w:sz w:val="24"/>
                <w:szCs w:val="24"/>
              </w:rPr>
              <w:t>★</w:t>
            </w:r>
            <w:r>
              <w:rPr>
                <w:rFonts w:hint="eastAsia" w:ascii="仿宋" w:hAnsi="仿宋" w:eastAsia="仿宋" w:cs="仿宋"/>
                <w:b/>
                <w:bCs/>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黑白（正常）：600×600dpi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黑白（最佳）：1200×1200dpi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扫描速度</w:t>
            </w:r>
            <w:r>
              <w:rPr>
                <w:rFonts w:hint="eastAsia" w:ascii="仿宋" w:hAnsi="仿宋" w:eastAsia="仿宋" w:cs="仿宋"/>
                <w:sz w:val="24"/>
                <w:szCs w:val="24"/>
              </w:rPr>
              <w:t>★：正常模式，A4：大于等于15页/分钟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扫描分辨率</w:t>
            </w:r>
            <w:r>
              <w:rPr>
                <w:rFonts w:hint="eastAsia" w:ascii="仿宋" w:hAnsi="仿宋" w:eastAsia="仿宋" w:cs="仿宋"/>
                <w:sz w:val="24"/>
                <w:szCs w:val="24"/>
              </w:rPr>
              <w:t>★：大于等于1200x1200dpi(黑白、平板)</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扫描文件格式</w:t>
            </w:r>
            <w:r>
              <w:rPr>
                <w:rFonts w:hint="eastAsia" w:ascii="仿宋" w:hAnsi="仿宋" w:eastAsia="仿宋" w:cs="仿宋"/>
                <w:sz w:val="24"/>
                <w:szCs w:val="24"/>
              </w:rPr>
              <w:t>：JPG、RAW(BMP)、PNG、TIFF、PDF</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复印机智能软件功能：</w:t>
            </w:r>
            <w:r>
              <w:rPr>
                <w:rFonts w:hint="eastAsia" w:ascii="仿宋" w:hAnsi="仿宋" w:eastAsia="仿宋" w:cs="仿宋"/>
                <w:sz w:val="24"/>
                <w:szCs w:val="24"/>
              </w:rPr>
              <w:t>自动文档送纸器</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复印速度</w:t>
            </w:r>
            <w:r>
              <w:rPr>
                <w:rFonts w:hint="eastAsia" w:ascii="仿宋" w:hAnsi="仿宋" w:eastAsia="仿宋" w:cs="仿宋"/>
                <w:sz w:val="24"/>
                <w:szCs w:val="24"/>
              </w:rPr>
              <w:t>★：黑白(A4，正常模式)：大于等于25页/分钟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复印分辨率</w:t>
            </w:r>
            <w:r>
              <w:rPr>
                <w:rFonts w:hint="eastAsia" w:ascii="仿宋" w:hAnsi="仿宋" w:eastAsia="仿宋" w:cs="仿宋"/>
                <w:sz w:val="24"/>
                <w:szCs w:val="24"/>
              </w:rPr>
              <w:t>★：黑白(文本和图形)：600x600dpi</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最大分数</w:t>
            </w:r>
            <w:r>
              <w:rPr>
                <w:rFonts w:hint="eastAsia" w:ascii="仿宋" w:hAnsi="仿宋" w:eastAsia="仿宋" w:cs="仿宋"/>
                <w:sz w:val="24"/>
                <w:szCs w:val="24"/>
              </w:rPr>
              <w:t>：最多99份</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传真分辨率</w:t>
            </w:r>
            <w:r>
              <w:rPr>
                <w:rFonts w:hint="eastAsia" w:ascii="仿宋" w:hAnsi="仿宋" w:eastAsia="仿宋" w:cs="仿宋"/>
                <w:sz w:val="24"/>
                <w:szCs w:val="24"/>
              </w:rPr>
              <w:t>：大于等于300x300dpi(启用半色调)</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标配连接</w:t>
            </w:r>
            <w:r>
              <w:rPr>
                <w:rFonts w:hint="eastAsia" w:ascii="仿宋" w:hAnsi="仿宋" w:eastAsia="仿宋" w:cs="仿宋"/>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57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高速USB 2.0端口、高速USB 2.0主机端口、以太网10/100Base-TX端口；输入电话口、输出电话口、无线网卡、NFC近场通讯打印技术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1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无线功能</w:t>
            </w:r>
            <w:r>
              <w:rPr>
                <w:rFonts w:hint="eastAsia" w:ascii="仿宋" w:hAnsi="仿宋" w:eastAsia="仿宋" w:cs="仿宋"/>
                <w:sz w:val="24"/>
                <w:szCs w:val="24"/>
              </w:rPr>
              <w:t>★</w:t>
            </w:r>
            <w:r>
              <w:rPr>
                <w:rFonts w:hint="eastAsia" w:ascii="仿宋" w:hAnsi="仿宋" w:eastAsia="仿宋" w:cs="仿宋"/>
                <w:b/>
                <w:bCs/>
                <w:sz w:val="24"/>
                <w:szCs w:val="24"/>
              </w:rPr>
              <w:t>：</w:t>
            </w:r>
            <w:r>
              <w:rPr>
                <w:rFonts w:hint="eastAsia" w:ascii="仿宋" w:hAnsi="仿宋" w:eastAsia="仿宋" w:cs="仿宋"/>
                <w:sz w:val="24"/>
                <w:szCs w:val="24"/>
              </w:rPr>
              <w:t>内置WiFi 802.11b/g/n</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内存</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大于等于256MB</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打印负荷</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月打印量250～2,500</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进纸盒</w:t>
            </w:r>
            <w:r>
              <w:rPr>
                <w:rFonts w:hint="eastAsia" w:ascii="仿宋" w:hAnsi="仿宋" w:eastAsia="仿宋" w:cs="仿宋"/>
                <w:sz w:val="24"/>
                <w:szCs w:val="24"/>
              </w:rPr>
              <w:t>：大于等于250页进纸盒</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285"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兼容的操作系统</w:t>
            </w:r>
            <w:r>
              <w:rPr>
                <w:rFonts w:hint="eastAsia" w:ascii="仿宋" w:hAnsi="仿宋" w:eastAsia="仿宋" w:cs="仿宋"/>
                <w:sz w:val="24"/>
                <w:szCs w:val="24"/>
              </w:rPr>
              <w:t>★：Windows：10、8、7，32位或64位</w:t>
            </w:r>
          </w:p>
        </w:tc>
      </w:tr>
      <w:tr>
        <w:tblPrEx>
          <w:tblBorders>
            <w:top w:val="single" w:color="000000" w:sz="8" w:space="0"/>
            <w:left w:val="single" w:color="000000" w:sz="8" w:space="0"/>
            <w:bottom w:val="single" w:color="000000" w:sz="8" w:space="0"/>
            <w:right w:val="single" w:color="000000" w:sz="8" w:space="0"/>
            <w:insideH w:val="single" w:color="000000" w:sz="8" w:space="0"/>
            <w:insideV w:val="none" w:color="auto" w:sz="0" w:space="0"/>
          </w:tblBorders>
          <w:tblLayout w:type="fixed"/>
          <w:tblCellMar>
            <w:top w:w="0" w:type="dxa"/>
            <w:left w:w="108" w:type="dxa"/>
            <w:bottom w:w="0" w:type="dxa"/>
            <w:right w:w="108" w:type="dxa"/>
          </w:tblCellMar>
        </w:tblPrEx>
        <w:trPr>
          <w:trHeight w:val="300" w:hRule="atLeast"/>
          <w:jc w:val="center"/>
        </w:trPr>
        <w:tc>
          <w:tcPr>
            <w:tcW w:w="8220" w:type="dxa"/>
            <w:shd w:val="clear" w:color="auto" w:fill="auto"/>
            <w:vAlign w:val="bottom"/>
          </w:tcPr>
          <w:p>
            <w:pPr>
              <w:widowControl/>
              <w:autoSpaceDE/>
              <w:autoSpaceDN/>
              <w:adjustRightInd/>
              <w:spacing w:line="240" w:lineRule="auto"/>
              <w:ind w:firstLine="0" w:firstLineChars="0"/>
              <w:rPr>
                <w:rFonts w:hint="eastAsia" w:ascii="仿宋" w:hAnsi="仿宋" w:eastAsia="仿宋" w:cs="仿宋"/>
                <w:sz w:val="24"/>
                <w:szCs w:val="24"/>
              </w:rPr>
            </w:pPr>
            <w:r>
              <w:rPr>
                <w:rFonts w:hint="eastAsia" w:ascii="仿宋" w:hAnsi="仿宋" w:eastAsia="仿宋" w:cs="仿宋"/>
                <w:b/>
                <w:sz w:val="24"/>
                <w:szCs w:val="24"/>
              </w:rPr>
              <w:t>操作：</w:t>
            </w:r>
            <w:r>
              <w:rPr>
                <w:rFonts w:hint="eastAsia" w:ascii="仿宋" w:hAnsi="仿宋" w:eastAsia="仿宋" w:cs="仿宋"/>
                <w:sz w:val="24"/>
                <w:szCs w:val="24"/>
              </w:rPr>
              <w:t>液晶触摸屏</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12、笔记本（12台）</w:t>
      </w:r>
    </w:p>
    <w:tbl>
      <w:tblPr>
        <w:tblStyle w:val="36"/>
        <w:tblW w:w="8985"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屏幕尺寸★</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13.3英寸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分辨率★</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运行内存★</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256GB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电池容量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大于40Wh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第八代智能英特尔® 酷睿 i5-8250U 处理器及以上处理器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显卡★</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NVIDIA GeForce MX150 2GB显存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可视角度★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大于175度的宽广视角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对比度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800比1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亮度</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大于等于200尼特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护眼模式</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0" w:firstLineChars="0"/>
              <w:jc w:val="center"/>
              <w:rPr>
                <w:rFonts w:hint="eastAsia" w:ascii="仿宋" w:hAnsi="仿宋" w:eastAsia="仿宋" w:cs="仿宋"/>
                <w:sz w:val="24"/>
                <w:szCs w:val="24"/>
              </w:rPr>
            </w:pPr>
            <w:r>
              <w:rPr>
                <w:rFonts w:hint="eastAsia" w:ascii="仿宋" w:hAnsi="仿宋" w:eastAsia="仿宋" w:cs="仿宋"/>
                <w:sz w:val="24"/>
                <w:szCs w:val="24"/>
              </w:rPr>
              <w:t>WLAN★</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支持IEEE 802.11a/b/g/n/ac，2.4和5GHz 2x2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蓝牙传输</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USB接口★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支持USB3.0接口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其他接口★</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支持HDMI标准接口输出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2040" w:type="dxa"/>
            <w:shd w:val="clear" w:color="auto" w:fill="auto"/>
            <w:vAlign w:val="bottom"/>
          </w:tcPr>
          <w:p>
            <w:pPr>
              <w:adjustRightInd/>
              <w:ind w:firstLine="240" w:firstLineChars="100"/>
              <w:rPr>
                <w:rFonts w:hint="eastAsia" w:ascii="仿宋" w:hAnsi="仿宋" w:eastAsia="仿宋" w:cs="仿宋"/>
                <w:sz w:val="24"/>
                <w:szCs w:val="24"/>
              </w:rPr>
            </w:pPr>
            <w:r>
              <w:rPr>
                <w:rFonts w:hint="eastAsia" w:ascii="仿宋" w:hAnsi="仿宋" w:eastAsia="仿宋" w:cs="仿宋"/>
                <w:sz w:val="24"/>
                <w:szCs w:val="24"/>
              </w:rPr>
              <w:t>其他要求</w:t>
            </w:r>
          </w:p>
        </w:tc>
        <w:tc>
          <w:tcPr>
            <w:tcW w:w="6945" w:type="dxa"/>
            <w:shd w:val="clear" w:color="auto" w:fill="auto"/>
            <w:vAlign w:val="bottom"/>
          </w:tcPr>
          <w:p>
            <w:pPr>
              <w:adjustRightInd/>
              <w:ind w:firstLine="0" w:firstLineChars="0"/>
              <w:rPr>
                <w:rFonts w:hint="eastAsia" w:ascii="仿宋" w:hAnsi="仿宋" w:eastAsia="仿宋" w:cs="仿宋"/>
                <w:sz w:val="24"/>
                <w:szCs w:val="24"/>
              </w:rPr>
            </w:pPr>
            <w:r>
              <w:rPr>
                <w:rFonts w:hint="eastAsia" w:ascii="仿宋" w:hAnsi="仿宋" w:eastAsia="仿宋" w:cs="仿宋"/>
                <w:sz w:val="24"/>
                <w:szCs w:val="24"/>
              </w:rPr>
              <w:t>厚度不能大于18毫米</w:t>
            </w:r>
          </w:p>
        </w:tc>
      </w:tr>
    </w:tbl>
    <w:p>
      <w:pPr>
        <w:ind w:firstLine="0" w:firstLineChars="0"/>
        <w:rPr>
          <w:rFonts w:hint="eastAsia" w:ascii="仿宋" w:hAnsi="仿宋" w:eastAsia="仿宋" w:cs="仿宋"/>
          <w:sz w:val="24"/>
          <w:szCs w:val="24"/>
        </w:rPr>
      </w:pPr>
    </w:p>
    <w:p>
      <w:pPr>
        <w:ind w:firstLine="0" w:firstLineChars="0"/>
        <w:rPr>
          <w:rFonts w:hint="eastAsia" w:ascii="仿宋" w:hAnsi="仿宋" w:eastAsia="仿宋" w:cs="仿宋"/>
          <w:sz w:val="24"/>
          <w:szCs w:val="24"/>
        </w:rPr>
      </w:pPr>
      <w:r>
        <w:rPr>
          <w:rFonts w:hint="eastAsia" w:ascii="仿宋" w:hAnsi="仿宋" w:eastAsia="仿宋" w:cs="仿宋"/>
          <w:sz w:val="24"/>
          <w:szCs w:val="24"/>
        </w:rPr>
        <w:t>13、平板电脑（2台）</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71"/>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操作系统</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Android5.1以上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b/>
                <w:sz w:val="24"/>
                <w:szCs w:val="24"/>
              </w:rPr>
              <w:t>配置参数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Intel X86架构Atom处理器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处理器主频★</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处理器核心★</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四核心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系统内存★</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存储容量★</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127"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存储扩展</w:t>
            </w:r>
          </w:p>
        </w:tc>
        <w:tc>
          <w:tcPr>
            <w:tcW w:w="6945"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支持Micro SD（TF）卡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显示屏</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屏幕尺寸</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屏幕分辨率</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≥2560x1600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屏幕描述</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电容式触摸屏，多点式触摸屏，十点式触摸屏，IPS屏幕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功能应用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移动网络★</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4G LTE（全网通），支持3G、2G网络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WiFi功能★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802.11 a/b/g/n/ac , MiMo , 2.4GHz &amp; 5GHz双频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蓝牙4.0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GPS功能★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内置GPS导航，支持GLONASS导航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感应器★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智能重力感应，环境光线感应，电子罗盘，振动器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扬声器★</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麦克风</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内置麦克风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摄像头★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双摄像头（前置：≥500万像素，后置：≥1300万像素）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拍照功能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自动对焦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视频功能★</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支持播放2160P视频，支持录制1080P视频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接口/按键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数据接口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1×Micro-USB2.0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音频接口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3.5mm耳机接口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其他接口</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存储卡接口，Micro-SIM卡插槽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72" w:type="dxa"/>
            <w:gridSpan w:val="3"/>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电源参数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电池类型</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锂电池，≥10000毫安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56" w:type="dxa"/>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续航时间★</w:t>
            </w:r>
          </w:p>
        </w:tc>
        <w:tc>
          <w:tcPr>
            <w:tcW w:w="7216" w:type="dxa"/>
            <w:gridSpan w:val="2"/>
            <w:shd w:val="clear" w:color="auto" w:fill="auto"/>
            <w:vAlign w:val="bottom"/>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10小时左右</w:t>
            </w:r>
          </w:p>
        </w:tc>
      </w:tr>
    </w:tbl>
    <w:p>
      <w:pPr>
        <w:ind w:firstLine="0" w:firstLineChars="0"/>
        <w:rPr>
          <w:rFonts w:hint="eastAsia" w:ascii="仿宋" w:hAnsi="仿宋" w:eastAsia="仿宋" w:cs="仿宋"/>
          <w:sz w:val="24"/>
          <w:szCs w:val="24"/>
        </w:rPr>
      </w:pPr>
      <w:r>
        <w:rPr>
          <w:rFonts w:hint="eastAsia" w:ascii="仿宋" w:hAnsi="仿宋" w:eastAsia="仿宋" w:cs="仿宋"/>
          <w:sz w:val="24"/>
          <w:szCs w:val="24"/>
        </w:rPr>
        <w:t>14、光纤熔接机（1台）</w:t>
      </w:r>
    </w:p>
    <w:tbl>
      <w:tblPr>
        <w:tblStyle w:val="36"/>
        <w:tblW w:w="9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2655"/>
        <w:gridCol w:w="2076"/>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种类型号★</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SMF(ITU-T G.652)、MMF(ITU-T G.651)、DSF(ITU-T G.653)、NZDSF(ITU-T G.655)、BIF(ITU-T G.657)、EDF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光纤直径★</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包层直径：80mm~150mm、涂层直径：100mm~1,000mm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适用光纤或光缆尺寸★</w:t>
            </w:r>
          </w:p>
        </w:tc>
        <w:tc>
          <w:tcPr>
            <w:tcW w:w="207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F1,000mm以下</w:t>
            </w:r>
          </w:p>
        </w:tc>
        <w:tc>
          <w:tcPr>
            <w:tcW w:w="3686"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皮线光缆(2.0×3.1mm)、室内光缆(2.0×2.0mm)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标准性能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熔接损耗(标准)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小于等于SMF: 0.02dB、MMF: 0.01dB、DSF: 0.04dB、NZDSF: 0.04dB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6秒(快速模式)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加热循环时间(标准) ★</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小于等于14秒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光纤视图和放大倍数★</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两个CMOS摄像机观测、X或Y单轴视图320X(缩放700倍)、X和Y双轴视图88倍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程序</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加热程序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最大100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功能</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损耗推定</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熔接图像捕获/熔接数据存储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200图像/10,000熔接数据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张力测试★</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1.96-2.09N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熔接衰减★</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0.1dB至15dB、增量为0.1dB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250mm、900mm松紧套光纤用通用夹钳★</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双面式涂层夹</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双自动独立加热器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自动放电校正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针对环境条件变化能自动进行补偿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显示剩余熔接和加热循环</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提供(电池模式)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远程互动维护</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显示器★</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大于等于4.1英寸触摸屏彩色LCD显示器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restart"/>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端子</w:t>
            </w: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DC输出</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DC12V(用于JR-6)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USB端口</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USB2.0(mini-B型)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vMerge w:val="continue"/>
            <w:shd w:val="clear" w:color="auto" w:fill="auto"/>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p>
        </w:tc>
        <w:tc>
          <w:tcPr>
            <w:tcW w:w="2655" w:type="dxa"/>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存储媒体</w:t>
            </w:r>
          </w:p>
        </w:tc>
        <w:tc>
          <w:tcPr>
            <w:tcW w:w="5762" w:type="dxa"/>
            <w:gridSpan w:val="2"/>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SD/SDHC内存卡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工作条件</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海拔0~6000m、温度-10~+50℃、湿度0~95% (无结露)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14" w:type="dxa"/>
            <w:shd w:val="clear" w:color="000000" w:fill="FFFFFF"/>
            <w:vAlign w:val="center"/>
          </w:tcPr>
          <w:p>
            <w:pPr>
              <w:widowControl/>
              <w:autoSpaceDE/>
              <w:autoSpaceDN/>
              <w:adjustRightInd/>
              <w:spacing w:line="28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电极寿命★</w:t>
            </w:r>
          </w:p>
        </w:tc>
        <w:tc>
          <w:tcPr>
            <w:tcW w:w="8417" w:type="dxa"/>
            <w:gridSpan w:val="3"/>
            <w:shd w:val="clear" w:color="000000" w:fill="FFFFFF"/>
            <w:vAlign w:val="center"/>
          </w:tcPr>
          <w:p>
            <w:pPr>
              <w:widowControl/>
              <w:autoSpaceDE/>
              <w:autoSpaceDN/>
              <w:adjustRightInd/>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大于等于3000次弧光放电</w:t>
            </w:r>
          </w:p>
        </w:tc>
      </w:tr>
    </w:tbl>
    <w:p>
      <w:pPr>
        <w:tabs>
          <w:tab w:val="left" w:pos="5963"/>
        </w:tabs>
        <w:spacing w:line="420" w:lineRule="exact"/>
        <w:rPr>
          <w:rFonts w:hint="eastAsia" w:ascii="仿宋" w:hAnsi="仿宋" w:eastAsia="仿宋" w:cs="仿宋"/>
          <w:b/>
          <w:bCs/>
          <w:sz w:val="24"/>
          <w:szCs w:val="24"/>
          <w:lang w:val="zh-CN"/>
        </w:rPr>
      </w:pPr>
      <w:r>
        <w:rPr>
          <w:rFonts w:hint="eastAsia" w:ascii="仿宋" w:hAnsi="仿宋" w:eastAsia="仿宋" w:cs="仿宋"/>
          <w:b/>
          <w:bCs/>
          <w:sz w:val="24"/>
          <w:szCs w:val="24"/>
          <w:lang w:val="zh-CN"/>
        </w:rPr>
        <w:t>第二标段其它要求：</w:t>
      </w:r>
    </w:p>
    <w:p>
      <w:pPr>
        <w:ind w:right="-58" w:firstLine="640"/>
        <w:rPr>
          <w:rFonts w:hint="eastAsia" w:ascii="仿宋" w:hAnsi="仿宋" w:eastAsia="仿宋" w:cs="仿宋"/>
          <w:sz w:val="24"/>
          <w:szCs w:val="24"/>
          <w:lang w:val="zh-CN"/>
        </w:rPr>
      </w:pPr>
      <w:r>
        <w:rPr>
          <w:rFonts w:hint="eastAsia" w:ascii="仿宋" w:hAnsi="仿宋" w:eastAsia="仿宋" w:cs="仿宋"/>
          <w:sz w:val="24"/>
          <w:szCs w:val="24"/>
          <w:lang w:val="zh-CN"/>
        </w:rPr>
        <w:t>1、投标人须明确投标产品的厂家、产地、品牌、型号、详细参数，否则为无效投标。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、各单位安全设备为本项目的核心设备。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、投标人应就该项目完整投标，否则为无效投标。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zh-CN"/>
        </w:rPr>
        <w:t>、招标文件列明不允许或未列明允许进口产品参加投标的，均视为拒绝进口产品参加投标。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、产品必须符合国家质量检测标准和本招标文件规定标准的全新正品现货，提供随货物《产品合格证》及其它相关质量证明文件。</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9</w:t>
      </w:r>
      <w:r>
        <w:rPr>
          <w:rFonts w:hint="eastAsia" w:ascii="仿宋" w:hAnsi="仿宋" w:eastAsia="仿宋" w:cs="仿宋"/>
          <w:sz w:val="24"/>
          <w:szCs w:val="24"/>
          <w:lang w:val="zh-CN"/>
        </w:rPr>
        <w:t>、专利权：投标人应</w:t>
      </w:r>
      <w:r>
        <w:rPr>
          <w:rFonts w:hint="eastAsia" w:ascii="仿宋" w:hAnsi="仿宋" w:eastAsia="仿宋" w:cs="仿宋"/>
          <w:sz w:val="24"/>
          <w:szCs w:val="24"/>
        </w:rPr>
        <w:t>承诺</w:t>
      </w:r>
      <w:r>
        <w:rPr>
          <w:rFonts w:hint="eastAsia" w:ascii="仿宋" w:hAnsi="仿宋" w:eastAsia="仿宋" w:cs="仿宋"/>
          <w:sz w:val="24"/>
          <w:szCs w:val="24"/>
          <w:lang w:val="zh-CN"/>
        </w:rPr>
        <w:t>用户在使用该货物或其任何一部分时不受第三方提出侵犯其专利权、商标权和工业设计权等的起诉。</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10</w:t>
      </w:r>
      <w:r>
        <w:rPr>
          <w:rFonts w:hint="eastAsia" w:ascii="仿宋" w:hAnsi="仿宋" w:eastAsia="仿宋" w:cs="仿宋"/>
          <w:sz w:val="24"/>
          <w:szCs w:val="24"/>
          <w:lang w:val="zh-CN"/>
        </w:rPr>
        <w:t>、投标人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lang w:val="en-US" w:eastAsia="zh-CN"/>
        </w:rPr>
        <w:t>11</w:t>
      </w:r>
      <w:r>
        <w:rPr>
          <w:rFonts w:hint="eastAsia" w:ascii="仿宋" w:hAnsi="仿宋" w:eastAsia="仿宋" w:cs="仿宋"/>
          <w:sz w:val="24"/>
          <w:szCs w:val="24"/>
          <w:lang w:val="zh-CN"/>
        </w:rPr>
        <w:t>、投标人须明确维修点地址、负责人、联系人和联系电话等详细资料。</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、本项目为交钥匙工程（包括设备、材料、元件、</w:t>
      </w:r>
      <w:r>
        <w:rPr>
          <w:rFonts w:hint="eastAsia" w:ascii="仿宋" w:hAnsi="仿宋" w:eastAsia="仿宋" w:cs="仿宋"/>
          <w:sz w:val="24"/>
          <w:szCs w:val="24"/>
        </w:rPr>
        <w:t>设备机柜、三级等保</w:t>
      </w:r>
      <w:r>
        <w:rPr>
          <w:rFonts w:hint="eastAsia" w:ascii="仿宋" w:hAnsi="仿宋" w:eastAsia="仿宋" w:cs="仿宋"/>
          <w:sz w:val="24"/>
          <w:szCs w:val="24"/>
          <w:lang w:val="zh-CN"/>
        </w:rPr>
        <w:t>等购置、安装调试、验收、</w:t>
      </w:r>
      <w:r>
        <w:rPr>
          <w:rFonts w:hint="eastAsia" w:ascii="仿宋" w:hAnsi="仿宋" w:eastAsia="仿宋" w:cs="仿宋"/>
          <w:sz w:val="24"/>
          <w:szCs w:val="24"/>
        </w:rPr>
        <w:t>部分线路改造及</w:t>
      </w:r>
      <w:r>
        <w:rPr>
          <w:rFonts w:hint="eastAsia" w:ascii="仿宋" w:hAnsi="仿宋" w:eastAsia="仿宋" w:cs="仿宋"/>
          <w:sz w:val="24"/>
          <w:szCs w:val="24"/>
          <w:lang w:val="zh-CN"/>
        </w:rPr>
        <w:t xml:space="preserve">与其它施工单位协作所产生的费用等），项目完工后，中标方应组织业主方相关工作人员进行系统培训，培训方式及时间由中标方和业主方共同商定。 </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w:t>
      </w:r>
      <w:r>
        <w:rPr>
          <w:rFonts w:hint="eastAsia" w:ascii="仿宋" w:hAnsi="仿宋" w:eastAsia="仿宋" w:cs="仿宋"/>
          <w:sz w:val="24"/>
          <w:szCs w:val="24"/>
        </w:rPr>
        <w:t>付款方式（不响应者为无效投标）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货物到货完毕付合同金额的50%，安装完毕，经验收合格后付剩余45%，一年以后无问题付清剩余5%。</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、预算金额： 320万元，超出者为无效投标。</w:t>
      </w:r>
    </w:p>
    <w:p>
      <w:pPr>
        <w:spacing w:line="600" w:lineRule="exact"/>
        <w:ind w:firstLine="64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、投标商必须由法定代表人或委托代理人参加开标会议，随时接受评标委员会询问，并予作出书面解答。</w:t>
      </w:r>
    </w:p>
    <w:p>
      <w:pPr>
        <w:spacing w:line="600" w:lineRule="exact"/>
        <w:ind w:firstLine="64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6</w:t>
      </w:r>
      <w:r>
        <w:rPr>
          <w:rFonts w:hint="eastAsia" w:ascii="仿宋" w:hAnsi="仿宋" w:eastAsia="仿宋" w:cs="仿宋"/>
          <w:bCs/>
          <w:sz w:val="24"/>
          <w:szCs w:val="24"/>
        </w:rPr>
        <w:t>、验收标准</w:t>
      </w:r>
    </w:p>
    <w:p>
      <w:pPr>
        <w:spacing w:line="600" w:lineRule="exact"/>
        <w:ind w:firstLine="640"/>
        <w:rPr>
          <w:rFonts w:hint="eastAsia"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报告,列明各项标准的验收情况及项目总体评价,由验收双方共同签署。</w:t>
      </w:r>
    </w:p>
    <w:p>
      <w:pPr>
        <w:ind w:firstLine="640"/>
        <w:rPr>
          <w:rFonts w:hint="eastAsia" w:ascii="仿宋" w:hAnsi="仿宋" w:eastAsia="仿宋" w:cs="仿宋"/>
          <w:sz w:val="24"/>
          <w:szCs w:val="24"/>
        </w:rPr>
      </w:pPr>
      <w:r>
        <w:rPr>
          <w:rFonts w:hint="eastAsia" w:ascii="仿宋" w:hAnsi="仿宋" w:eastAsia="仿宋" w:cs="仿宋"/>
          <w:sz w:val="24"/>
          <w:szCs w:val="24"/>
          <w:lang w:val="zh-CN"/>
        </w:rPr>
        <w:t>（2）按照招标文件要求、投标文件响应和承诺验收。</w:t>
      </w: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rPr>
          <w:rFonts w:hint="eastAsia" w:ascii="仿宋" w:hAnsi="仿宋" w:eastAsia="仿宋" w:cs="仿宋"/>
          <w:b/>
          <w:sz w:val="24"/>
          <w:szCs w:val="24"/>
        </w:rPr>
      </w:pPr>
    </w:p>
    <w:p>
      <w:pPr>
        <w:spacing w:line="520" w:lineRule="exact"/>
        <w:ind w:firstLine="1205" w:firstLineChars="500"/>
        <w:jc w:val="center"/>
        <w:rPr>
          <w:rFonts w:hint="eastAsia"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108" w:firstLineChars="700"/>
        <w:rPr>
          <w:rFonts w:hint="eastAsia" w:ascii="仿宋" w:hAnsi="仿宋" w:eastAsia="仿宋" w:cs="仿宋"/>
          <w:b/>
          <w:sz w:val="30"/>
          <w:szCs w:val="30"/>
        </w:rPr>
      </w:pPr>
      <w:r>
        <w:rPr>
          <w:rFonts w:hint="eastAsia" w:ascii="仿宋" w:hAnsi="仿宋" w:eastAsia="仿宋" w:cs="仿宋"/>
          <w:b/>
          <w:sz w:val="30"/>
          <w:szCs w:val="30"/>
        </w:rPr>
        <w:t>第五部分  开标和评标</w:t>
      </w:r>
    </w:p>
    <w:p>
      <w:pPr>
        <w:spacing w:line="520" w:lineRule="exact"/>
        <w:rPr>
          <w:rFonts w:hint="eastAsia" w:ascii="仿宋" w:hAnsi="仿宋" w:eastAsia="仿宋" w:cs="仿宋"/>
          <w:b/>
          <w:sz w:val="24"/>
          <w:szCs w:val="24"/>
        </w:rPr>
      </w:pP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hint="eastAsia"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hint="eastAsia"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p>
      <w:pPr>
        <w:spacing w:line="360" w:lineRule="auto"/>
        <w:ind w:firstLine="3902" w:firstLineChars="1626"/>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第一标段</w:t>
      </w:r>
      <w:r>
        <w:rPr>
          <w:rFonts w:hint="eastAsia" w:ascii="仿宋" w:hAnsi="仿宋" w:eastAsia="仿宋" w:cs="仿宋"/>
          <w:sz w:val="24"/>
          <w:szCs w:val="24"/>
        </w:rPr>
        <w:t>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8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3"/>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价格分值：30分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商务部分：36分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技术部分：34分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gridSpan w:val="2"/>
            <w:tcBorders>
              <w:top w:val="single" w:color="auto" w:sz="4" w:space="0"/>
            </w:tcBorders>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36</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6142"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851"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6142" w:type="dxa"/>
            <w:gridSpan w:val="2"/>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1、投标单位具有ISO9001质量管理体系认证证书、职业健康安全管理体系认证证书、环境管理体系认证证书，每项得1分，满分3分。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注册地省级及以上信用建设部门认可的信用评级机构出具的信用等级证书，投标单位具有AAA级信用等级证书的得3分。（开标时需提供证书原件、信用报告概述截图及信用评级主管机构网站查询结果页附投标文件中，否则不得分）</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3、投标人提供2016年以来合同金额为500万元以上的类似项目合同，每提供一份得1分，共2分（现场出示中标通告原件、合同原件、验收报告原件）。</w:t>
            </w:r>
          </w:p>
          <w:p>
            <w:pPr>
              <w:spacing w:after="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4、提供国家信息技术服务标准工作组颁发的成员单位证书，提供证书复印件加盖投标人公章得1分，否则不得分。</w:t>
            </w:r>
          </w:p>
          <w:p>
            <w:pPr>
              <w:spacing w:after="0" w:line="400" w:lineRule="exact"/>
              <w:rPr>
                <w:rFonts w:hint="eastAsia" w:ascii="仿宋" w:hAnsi="仿宋" w:eastAsia="仿宋" w:cs="仿宋"/>
                <w:color w:val="FF0000"/>
                <w:sz w:val="24"/>
                <w:szCs w:val="24"/>
              </w:rPr>
            </w:pPr>
            <w:r>
              <w:rPr>
                <w:rFonts w:hint="eastAsia" w:ascii="仿宋" w:hAnsi="仿宋" w:eastAsia="仿宋" w:cs="仿宋"/>
                <w:color w:val="000000"/>
                <w:sz w:val="24"/>
                <w:szCs w:val="24"/>
              </w:rPr>
              <w:t>5、具备1名国家信息安全测评中心颁发的注册信息安全专业人员证书（CISP），提供证书复印件加盖投标人公章得1分,否则不得分。</w:t>
            </w:r>
            <w:r>
              <w:rPr>
                <w:rFonts w:hint="eastAsia" w:ascii="仿宋" w:hAnsi="仿宋" w:eastAsia="仿宋" w:cs="仿宋"/>
                <w:sz w:val="24"/>
                <w:szCs w:val="24"/>
              </w:rPr>
              <w:t xml:space="preserve">    </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6142" w:type="dxa"/>
            <w:gridSpan w:val="2"/>
            <w:vAlign w:val="center"/>
          </w:tcPr>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核心产品厂商具备中国信息安全测评中心颁发的《 信息安全服务（安全工程类三级）资质》提供证书复印件加制造厂商项目授权章得3分,否则不得分。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采购清单中制造厂商为国家信息安全漏洞共享平台CNVD技术组成员单位并提供证书及官网截图证明的得2分，否则不得分。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采购清单中综合安全网关制造厂商通过CMMI5认证，证书注册地必须为中国，提供CMMI认证复印件及CMMI证书官网查询结果截图，加盖投标产品制造厂商项目授权专用章的得3分，否则不得分。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采购清单中制造厂商为国家信息安全漏洞库（CNNVD）一级技术支撑单位并提供证书及官网截图证明的得2分，否则不得分。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需具备科学、系统的知识产权管理体系。能够全面保护、并系统管理知识产权，支撑企业的技术创新能力。通过知识产权管理体系认证，提供知识产权管理体系认证证书复印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核心产品厂商为《网络安全应急服务支撑单位》（国家级）提供证书复印件加制造厂商项目授权专用章得2分,否则不得分。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综合安全网关入围2017中央政府采购网（www.zycg.gov.cn）协议供货目录之“防火墙产品（万兆）企业级”分类（且与本次所投型号一致），须提供包含中央政府采购网官方网站完整链接的截图证明并加盖产品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为响应国家节能环保要求，采购清单中综合安全网关制造厂商通过能源管理体系认证ISO50001并提供证书及官网截图证明的得2分，否则不得分。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本次项目综合安全网关制造厂商具有有害物质过程管理体系认证，以确保生产过程对环境低损耗，提供QC080000有害物质过程管理体系认证证书，提供证书复印件并加盖制造厂商项目授权专用章，得2分，否则不得分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所投产品制造厂商，应具备良好的企业信用，在全国企业信用信息公示系统网站（www.gsxt.gov.cn）中无处罚记录，须提供包含网站完整链接的截图并加盖制造厂商项目授权专用章得3分，否则不得分。</w:t>
            </w:r>
          </w:p>
          <w:p>
            <w:pPr>
              <w:widowControl w:val="0"/>
              <w:numPr>
                <w:ilvl w:val="0"/>
                <w:numId w:val="8"/>
              </w:numPr>
              <w:adjustRightInd/>
              <w:snapToGrid/>
              <w:spacing w:after="0" w:line="400" w:lineRule="exact"/>
              <w:jc w:val="both"/>
              <w:rPr>
                <w:rFonts w:hint="eastAsia" w:ascii="仿宋" w:hAnsi="仿宋" w:eastAsia="仿宋" w:cs="仿宋"/>
                <w:sz w:val="24"/>
                <w:szCs w:val="24"/>
              </w:rPr>
            </w:pPr>
            <w:r>
              <w:rPr>
                <w:rFonts w:hint="eastAsia" w:ascii="仿宋" w:hAnsi="仿宋" w:eastAsia="仿宋" w:cs="仿宋"/>
                <w:sz w:val="24"/>
                <w:szCs w:val="24"/>
              </w:rPr>
              <w:t>核心产品厂商具备中国国家信息安全漏洞库支撑单位（一级），提供证书复印件加盖制造厂商项目授权专用章得2分，否则不得分。</w:t>
            </w:r>
          </w:p>
        </w:tc>
        <w:tc>
          <w:tcPr>
            <w:tcW w:w="851"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4"/>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34</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gridSpan w:val="2"/>
            <w:vAlign w:val="center"/>
          </w:tcPr>
          <w:p>
            <w:pPr>
              <w:spacing w:after="0" w:line="400" w:lineRule="exact"/>
              <w:jc w:val="center"/>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2、投标人提供综合安全网关工信部下属第三方泰尔实验室检测报告的，得4分（同项货物检测报告不累计）。</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技术实施及售后服务承诺</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1、由评委根据各投标供应商技术方案的详细性、可行性、完善性等进行横向对比酌情打分（0-2分）</w:t>
            </w:r>
          </w:p>
          <w:p>
            <w:pPr>
              <w:spacing w:after="0" w:line="400" w:lineRule="exact"/>
              <w:rPr>
                <w:rFonts w:hint="eastAsia" w:ascii="仿宋" w:hAnsi="仿宋" w:eastAsia="仿宋" w:cs="仿宋"/>
                <w:sz w:val="24"/>
                <w:szCs w:val="24"/>
              </w:rPr>
            </w:pPr>
            <w:r>
              <w:rPr>
                <w:rFonts w:hint="eastAsia" w:ascii="仿宋" w:hAnsi="仿宋" w:eastAsia="仿宋" w:cs="仿宋"/>
                <w:sz w:val="24"/>
                <w:szCs w:val="24"/>
              </w:rPr>
              <w:t>2、免费质保三年得3分。</w:t>
            </w:r>
          </w:p>
          <w:p>
            <w:pPr>
              <w:spacing w:after="0" w:line="400" w:lineRule="exact"/>
              <w:rPr>
                <w:rFonts w:hint="eastAsia" w:ascii="仿宋" w:hAnsi="仿宋" w:eastAsia="仿宋" w:cs="仿宋"/>
                <w:sz w:val="24"/>
                <w:szCs w:val="24"/>
              </w:rPr>
            </w:pP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after="0" w:line="400" w:lineRule="exact"/>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由评委根据各投标供应商培训方案的详细性、可行性、完善性等进行横向对比酌情打分（0-2分）</w:t>
            </w:r>
          </w:p>
        </w:tc>
        <w:tc>
          <w:tcPr>
            <w:tcW w:w="1040" w:type="dxa"/>
            <w:gridSpan w:val="2"/>
            <w:vAlign w:val="center"/>
          </w:tcPr>
          <w:p>
            <w:pPr>
              <w:spacing w:after="0" w:line="400" w:lineRule="exact"/>
              <w:jc w:val="center"/>
              <w:rPr>
                <w:rFonts w:hint="eastAsia" w:ascii="仿宋" w:hAnsi="仿宋" w:eastAsia="仿宋" w:cs="仿宋"/>
                <w:sz w:val="24"/>
                <w:szCs w:val="24"/>
              </w:rPr>
            </w:pPr>
            <w:r>
              <w:rPr>
                <w:rFonts w:hint="eastAsia" w:ascii="仿宋" w:hAnsi="仿宋" w:eastAsia="仿宋" w:cs="仿宋"/>
                <w:sz w:val="24"/>
                <w:szCs w:val="24"/>
              </w:rPr>
              <w:t>2分</w:t>
            </w:r>
          </w:p>
        </w:tc>
      </w:tr>
    </w:tbl>
    <w:p>
      <w:pPr>
        <w:spacing w:line="360" w:lineRule="auto"/>
        <w:ind w:left="2333" w:leftChars="342" w:hanging="1615" w:hangingChars="673"/>
        <w:textAlignment w:val="baseline"/>
        <w:rPr>
          <w:rFonts w:hint="eastAsia" w:ascii="仿宋" w:hAnsi="仿宋" w:eastAsia="仿宋" w:cs="仿宋"/>
          <w:sz w:val="24"/>
          <w:szCs w:val="24"/>
          <w:lang w:val="en-US" w:eastAsia="zh-CN"/>
        </w:rPr>
      </w:pPr>
      <w:r>
        <w:rPr>
          <w:rFonts w:hint="eastAsia" w:ascii="仿宋" w:hAnsi="仿宋" w:eastAsia="仿宋" w:cs="仿宋"/>
          <w:sz w:val="24"/>
          <w:szCs w:val="24"/>
        </w:rPr>
        <w:br w:type="textWrapping" w:clear="all"/>
      </w:r>
      <w:r>
        <w:rPr>
          <w:rFonts w:hint="eastAsia" w:ascii="仿宋" w:hAnsi="仿宋" w:eastAsia="仿宋" w:cs="仿宋"/>
          <w:sz w:val="24"/>
          <w:szCs w:val="24"/>
          <w:lang w:val="en-US" w:eastAsia="zh-CN"/>
        </w:rPr>
        <w:t>第二标段评分标准</w:t>
      </w:r>
    </w:p>
    <w:tbl>
      <w:tblPr>
        <w:tblStyle w:val="36"/>
        <w:tblpPr w:leftFromText="180" w:rightFromText="180" w:vertAnchor="text" w:tblpXSpec="center"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595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分值构成</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(总分100分)</w:t>
            </w:r>
          </w:p>
        </w:tc>
        <w:tc>
          <w:tcPr>
            <w:tcW w:w="6993" w:type="dxa"/>
            <w:gridSpan w:val="2"/>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价格分值：30分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商务部分：30分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（一）价格部分（满分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tcBorders>
              <w:top w:val="single" w:color="auto" w:sz="4" w:space="0"/>
            </w:tcBorders>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tcBorders>
              <w:top w:val="single" w:color="auto" w:sz="4" w:space="0"/>
            </w:tcBorders>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046" w:type="dxa"/>
            <w:tcBorders>
              <w:top w:val="single" w:color="auto" w:sz="4" w:space="0"/>
            </w:tcBorders>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投标报价</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5953" w:type="dxa"/>
            <w:tcBorders>
              <w:top w:val="single" w:color="auto" w:sz="4" w:space="0"/>
            </w:tcBorders>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评标基准价：满足招标文件要求的有效投标报价中，最低的投标报价为评标基准价。</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投标报价得分=（评标基准价/投标报价）×30</w:t>
            </w:r>
          </w:p>
        </w:tc>
        <w:tc>
          <w:tcPr>
            <w:tcW w:w="1040" w:type="dxa"/>
            <w:tcBorders>
              <w:top w:val="single" w:color="auto" w:sz="4" w:space="0"/>
            </w:tcBorders>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（二）商务部分（满分</w:t>
            </w:r>
            <w:r>
              <w:rPr>
                <w:rFonts w:hint="eastAsia" w:ascii="仿宋" w:hAnsi="仿宋" w:eastAsia="仿宋" w:cs="仿宋"/>
                <w:sz w:val="24"/>
                <w:szCs w:val="24"/>
              </w:rPr>
              <w:t>30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tcBorders>
              <w:bottom w:val="single" w:color="auto" w:sz="4" w:space="0"/>
            </w:tcBorders>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jc w:val="both"/>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投标人实力</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1、投标单位具有ISO9001质量管理体系认证证书、职业健康安全管理体系认证证书、环境管理体系认证证书，每一项得1分，满分3分。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2、投标单位具有AAA级信用等级证书的得3分。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产品保障</w:t>
            </w:r>
          </w:p>
        </w:tc>
        <w:tc>
          <w:tcPr>
            <w:tcW w:w="5953" w:type="dxa"/>
            <w:vAlign w:val="center"/>
          </w:tcPr>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采购清单中安全产品制造厂商为国家信息安全漏洞库（CNNVD）一级技术支撑单位并提供证书及官网截图证明，加盖制造厂商项目授权专用章，得3分，否则不得分。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采购清单中安全产品制造厂商为国家信息安全漏洞共享平台CNVD技术组成员单位并提供证书及官网截图证明，加盖制造厂商项目授权专用章，得3分，否则不得分。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采购清单中网络产品制造厂商通过CMMI5认证，证书注册地必须在中国，提供证书复印件，加盖制造厂商项目授权专用章，得3分，否则不得分。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为响应国家节能环保要求，采购清单中安全设备、路由器制造厂商通过能源管理体系认证ISO50001并提供证书及官网截图证明，加盖制造厂商项目授权专用章，得4分，否则不得分。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投标人所投“路由器”产品近三年在中国企业网路由器市场占有率排名前三（以IDC权威报告为准），提供证书复印件，加盖制造厂商项目授权专用章，得2分，否则不得分。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本次项目路由器制造厂商具有有害物质过程管理体系认证，以确保生产过程对环境低损耗，提供QC080000有害物质过程管理体系认证证书，提供证书复印件，加盖制造厂商项目授权专用章，得4分，否则不得分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所投网络安全产品制造厂商，应具备良好的企业信用，在全国企业信用信息公示系统网站（www.gsxt.gov.cn）中无处罚记录，须提供包含网站完整链接的截图，加盖制造厂商项目授权专用章，得3分，否则不得分</w:t>
            </w:r>
          </w:p>
          <w:p>
            <w:pPr>
              <w:numPr>
                <w:ilvl w:val="0"/>
                <w:numId w:val="9"/>
              </w:numPr>
              <w:autoSpaceDE/>
              <w:autoSpaceDN/>
              <w:adjustRightInd/>
              <w:spacing w:line="240" w:lineRule="auto"/>
              <w:ind w:firstLine="480" w:firstLineChars="0"/>
              <w:jc w:val="both"/>
              <w:rPr>
                <w:rFonts w:hint="eastAsia" w:ascii="仿宋" w:hAnsi="仿宋" w:eastAsia="仿宋" w:cs="仿宋"/>
                <w:sz w:val="24"/>
                <w:szCs w:val="24"/>
              </w:rPr>
            </w:pPr>
            <w:r>
              <w:rPr>
                <w:rFonts w:hint="eastAsia" w:ascii="仿宋" w:hAnsi="仿宋" w:eastAsia="仿宋" w:cs="仿宋"/>
                <w:sz w:val="24"/>
                <w:szCs w:val="24"/>
              </w:rPr>
              <w:t>所投安全产品制造厂商具备OHSAS18001职业健康安全管理体系认证，提供证书复印件加盖制造厂商项目授权专用章，得2分，否则不得分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39" w:type="dxa"/>
            <w:gridSpan w:val="3"/>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（三）技术部分（满分</w:t>
            </w:r>
            <w:r>
              <w:rPr>
                <w:rFonts w:hint="eastAsia" w:ascii="仿宋" w:hAnsi="仿宋" w:eastAsia="仿宋" w:cs="仿宋"/>
                <w:sz w:val="24"/>
                <w:szCs w:val="24"/>
              </w:rPr>
              <w:t>40</w:t>
            </w:r>
            <w:r>
              <w:rPr>
                <w:rFonts w:hint="eastAsia" w:ascii="仿宋" w:hAnsi="仿宋" w:eastAsia="仿宋" w:cs="仿宋"/>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评分因素</w:t>
            </w:r>
          </w:p>
        </w:tc>
        <w:tc>
          <w:tcPr>
            <w:tcW w:w="5953" w:type="dxa"/>
            <w:vAlign w:val="center"/>
          </w:tcPr>
          <w:p>
            <w:pPr>
              <w:spacing w:line="240" w:lineRule="auto"/>
              <w:ind w:firstLine="643"/>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040" w:type="dxa"/>
            <w:vAlign w:val="center"/>
          </w:tcPr>
          <w:p>
            <w:pPr>
              <w:spacing w:line="240" w:lineRule="auto"/>
              <w:ind w:firstLine="0" w:firstLineChars="0"/>
              <w:rPr>
                <w:rFonts w:hint="eastAsia" w:ascii="仿宋" w:hAnsi="仿宋" w:eastAsia="仿宋" w:cs="仿宋"/>
                <w:b/>
                <w:sz w:val="24"/>
                <w:szCs w:val="24"/>
              </w:rPr>
            </w:pPr>
            <w:r>
              <w:rPr>
                <w:rFonts w:hint="eastAsia" w:ascii="仿宋" w:hAnsi="仿宋" w:eastAsia="仿宋"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对招标文件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响应程度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1、投标产品满足招标文件技术要求，完全满足得基础分16分，加星项每优于一项，加一分，共21分。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2、投标人提供核心产品安全设备工信部下属第三方泰尔实验室检测报告的，得4分（同项货物检测报告不累计）。</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投标文件</w:t>
            </w:r>
          </w:p>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规范程度</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1、装订规范、文字清晰、无差错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2、所提供资料准确完整 1 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投标文件编制无目录和页码，排序混乱和缺篇少页的不得分。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售后服务承诺</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1、免费质保一年得1分，每增加一年加1分，满分3分。</w:t>
            </w:r>
          </w:p>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2、解决问题时间：以小时为单位（四舍五入法，30分钟及以上按1小时计算），以4小时为起点，基本分1分，每减少1小时，加1分，满分2分。4小时以上的每超过1小时扣0.5分，扣完为止。</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技术实施方案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由评委根据各投标供应商技术方案的详细性、可行性、完善性等进行横向对比酌情打分（0-5分）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046"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培训方案</w:t>
            </w:r>
          </w:p>
        </w:tc>
        <w:tc>
          <w:tcPr>
            <w:tcW w:w="5953" w:type="dxa"/>
            <w:vAlign w:val="center"/>
          </w:tcPr>
          <w:p>
            <w:pPr>
              <w:spacing w:line="240" w:lineRule="auto"/>
              <w:ind w:firstLine="640"/>
              <w:rPr>
                <w:rFonts w:hint="eastAsia" w:ascii="仿宋" w:hAnsi="仿宋" w:eastAsia="仿宋" w:cs="仿宋"/>
                <w:sz w:val="24"/>
                <w:szCs w:val="24"/>
              </w:rPr>
            </w:pPr>
            <w:r>
              <w:rPr>
                <w:rFonts w:hint="eastAsia" w:ascii="仿宋" w:hAnsi="仿宋" w:eastAsia="仿宋" w:cs="仿宋"/>
                <w:sz w:val="24"/>
                <w:szCs w:val="24"/>
              </w:rPr>
              <w:t>由评委根据各投标供应商培训方案的详细性、可行性、完善性等进行横向对比酌情打分（0-3分）</w:t>
            </w:r>
          </w:p>
        </w:tc>
        <w:tc>
          <w:tcPr>
            <w:tcW w:w="1040" w:type="dxa"/>
            <w:vAlign w:val="center"/>
          </w:tcPr>
          <w:p>
            <w:pPr>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3分</w:t>
            </w:r>
          </w:p>
        </w:tc>
      </w:tr>
    </w:tbl>
    <w:p>
      <w:pPr>
        <w:pStyle w:val="125"/>
        <w:spacing w:before="120" w:after="12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（特别提示：以上</w:t>
      </w:r>
      <w:r>
        <w:rPr>
          <w:rFonts w:hint="eastAsia" w:ascii="仿宋" w:hAnsi="仿宋" w:eastAsia="仿宋" w:cs="仿宋"/>
          <w:sz w:val="24"/>
          <w:szCs w:val="24"/>
          <w:lang w:eastAsia="zh-CN"/>
        </w:rPr>
        <w:t>各标段</w:t>
      </w:r>
      <w:r>
        <w:rPr>
          <w:rFonts w:hint="eastAsia" w:ascii="仿宋" w:hAnsi="仿宋" w:eastAsia="仿宋" w:cs="仿宋"/>
          <w:sz w:val="24"/>
          <w:szCs w:val="24"/>
        </w:rPr>
        <w:t>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hint="eastAsia" w:ascii="仿宋" w:hAnsi="仿宋" w:eastAsia="仿宋" w:cs="仿宋"/>
                <w:color w:val="0000FF"/>
                <w:sz w:val="24"/>
                <w:szCs w:val="24"/>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lang w:eastAsia="zh-CN"/>
        </w:rPr>
        <w:t>各标段</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10"/>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1"/>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1"/>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2"/>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（第</w:t>
      </w:r>
      <w:r>
        <w:rPr>
          <w:rFonts w:hint="eastAsia" w:ascii="仿宋_GB2312" w:hAnsi="仿宋_GB2312" w:eastAsia="仿宋_GB2312" w:cs="仿宋_GB2312"/>
          <w:sz w:val="16"/>
          <w:szCs w:val="44"/>
          <w:lang w:val="en-US" w:eastAsia="zh-CN"/>
        </w:rPr>
        <w:t xml:space="preserve">   标段</w:t>
      </w:r>
      <w:r>
        <w:rPr>
          <w:rFonts w:hint="eastAsia" w:ascii="仿宋_GB2312" w:hAnsi="仿宋_GB2312" w:eastAsia="仿宋_GB2312" w:cs="仿宋_GB2312"/>
          <w:sz w:val="16"/>
          <w:szCs w:val="44"/>
          <w:lang w:eastAsia="zh-CN"/>
        </w:rPr>
        <w:t>）</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1205" w:firstLineChars="500"/>
        <w:jc w:val="left"/>
        <w:rPr>
          <w:rFonts w:ascii="仿宋" w:hAnsi="仿宋" w:eastAsia="仿宋" w:cs="仿宋_GB2312"/>
          <w:b/>
          <w:bCs/>
          <w:sz w:val="24"/>
          <w:szCs w:val="24"/>
        </w:rPr>
      </w:pPr>
      <w:r>
        <w:rPr>
          <w:rFonts w:hint="eastAsia" w:ascii="仿宋" w:hAnsi="仿宋" w:eastAsia="仿宋" w:cs="仿宋_GB2312"/>
          <w:b/>
          <w:bCs/>
          <w:sz w:val="24"/>
          <w:szCs w:val="24"/>
        </w:rPr>
        <w:t>（技术参数</w:t>
      </w:r>
      <w:r>
        <w:rPr>
          <w:rFonts w:hint="eastAsia" w:ascii="仿宋" w:hAnsi="仿宋" w:eastAsia="仿宋" w:cs="仿宋_GB2312"/>
          <w:b/>
          <w:bCs/>
          <w:sz w:val="24"/>
          <w:szCs w:val="24"/>
          <w:lang w:eastAsia="zh-CN"/>
        </w:rPr>
        <w:t>及评分标准</w:t>
      </w:r>
      <w:r>
        <w:rPr>
          <w:rFonts w:hint="eastAsia" w:ascii="仿宋" w:hAnsi="仿宋" w:eastAsia="仿宋" w:cs="仿宋_GB2312"/>
          <w:b/>
          <w:bCs/>
          <w:sz w:val="24"/>
          <w:szCs w:val="24"/>
        </w:rPr>
        <w:t>要求中</w:t>
      </w:r>
      <w:r>
        <w:rPr>
          <w:rFonts w:hint="eastAsia" w:ascii="仿宋" w:hAnsi="仿宋" w:eastAsia="仿宋" w:cs="仿宋_GB2312"/>
          <w:b/>
          <w:bCs/>
          <w:sz w:val="24"/>
          <w:szCs w:val="24"/>
          <w:lang w:eastAsia="zh-CN"/>
        </w:rPr>
        <w:t>所提供的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复印件</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p>
      <w:pPr>
        <w:spacing w:line="360" w:lineRule="exact"/>
        <w:ind w:firstLine="2640" w:firstLineChars="1100"/>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3">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8A4CB1C"/>
    <w:multiLevelType w:val="singleLevel"/>
    <w:tmpl w:val="28A4CB1C"/>
    <w:lvl w:ilvl="0" w:tentative="0">
      <w:start w:val="19"/>
      <w:numFmt w:val="decimal"/>
      <w:suff w:val="nothing"/>
      <w:lvlText w:val="%1、"/>
      <w:lvlJc w:val="left"/>
    </w:lvl>
  </w:abstractNum>
  <w:abstractNum w:abstractNumId="5">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B38C3AC"/>
    <w:multiLevelType w:val="singleLevel"/>
    <w:tmpl w:val="3B38C3AC"/>
    <w:lvl w:ilvl="0" w:tentative="0">
      <w:start w:val="4"/>
      <w:numFmt w:val="chineseCounting"/>
      <w:suff w:val="space"/>
      <w:lvlText w:val="第%1部分"/>
      <w:lvlJc w:val="left"/>
      <w:rPr>
        <w:rFonts w:hint="eastAsia"/>
      </w:r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singleLevel"/>
    <w:tmpl w:val="5A27AEF7"/>
    <w:lvl w:ilvl="0" w:tentative="0">
      <w:start w:val="2"/>
      <w:numFmt w:val="chineseCounting"/>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abstractNum w:abstractNumId="11">
    <w:nsid w:val="5A4700EF"/>
    <w:multiLevelType w:val="singleLevel"/>
    <w:tmpl w:val="5A4700EF"/>
    <w:lvl w:ilvl="0" w:tentative="0">
      <w:start w:val="1"/>
      <w:numFmt w:val="decimal"/>
      <w:suff w:val="nothing"/>
      <w:lvlText w:val="%1、"/>
      <w:lvlJc w:val="left"/>
      <w:rPr>
        <w:color w:val="auto"/>
      </w:rPr>
    </w:lvl>
  </w:abstractNum>
  <w:num w:numId="1">
    <w:abstractNumId w:val="7"/>
  </w:num>
  <w:num w:numId="2">
    <w:abstractNumId w:val="10"/>
  </w:num>
  <w:num w:numId="3">
    <w:abstractNumId w:val="9"/>
  </w:num>
  <w:num w:numId="4">
    <w:abstractNumId w:val="5"/>
  </w:num>
  <w:num w:numId="5">
    <w:abstractNumId w:val="4"/>
  </w:num>
  <w:num w:numId="6">
    <w:abstractNumId w:val="8"/>
  </w:num>
  <w:num w:numId="7">
    <w:abstractNumId w:val="6"/>
  </w:num>
  <w:num w:numId="8">
    <w:abstractNumId w:val="0"/>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24B20"/>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36E45"/>
    <w:rsid w:val="015F5D2B"/>
    <w:rsid w:val="01AE553D"/>
    <w:rsid w:val="01D912AA"/>
    <w:rsid w:val="031A41B0"/>
    <w:rsid w:val="03CB53C9"/>
    <w:rsid w:val="03D744EF"/>
    <w:rsid w:val="04252D6C"/>
    <w:rsid w:val="04524D74"/>
    <w:rsid w:val="048C72C6"/>
    <w:rsid w:val="04973478"/>
    <w:rsid w:val="04E5185D"/>
    <w:rsid w:val="04EF7AD9"/>
    <w:rsid w:val="04F1400C"/>
    <w:rsid w:val="054A14EB"/>
    <w:rsid w:val="055236E0"/>
    <w:rsid w:val="058277B4"/>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0B3BB8"/>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E3119C4"/>
    <w:rsid w:val="0F0D73B6"/>
    <w:rsid w:val="0F2C7289"/>
    <w:rsid w:val="0FBA420F"/>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5D1987"/>
    <w:rsid w:val="13705BCF"/>
    <w:rsid w:val="144D7177"/>
    <w:rsid w:val="146639B0"/>
    <w:rsid w:val="14810804"/>
    <w:rsid w:val="14C32394"/>
    <w:rsid w:val="14E7756C"/>
    <w:rsid w:val="15555471"/>
    <w:rsid w:val="15D15729"/>
    <w:rsid w:val="162949D9"/>
    <w:rsid w:val="166F3B31"/>
    <w:rsid w:val="16BB3F9C"/>
    <w:rsid w:val="17093EDF"/>
    <w:rsid w:val="171656DB"/>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7C3C3A"/>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5E3691E"/>
    <w:rsid w:val="2667745A"/>
    <w:rsid w:val="26E95B4E"/>
    <w:rsid w:val="276906C7"/>
    <w:rsid w:val="278238A3"/>
    <w:rsid w:val="28742078"/>
    <w:rsid w:val="288E3F7A"/>
    <w:rsid w:val="288F49C5"/>
    <w:rsid w:val="28BF1B33"/>
    <w:rsid w:val="28BF2210"/>
    <w:rsid w:val="28CE556E"/>
    <w:rsid w:val="299315DB"/>
    <w:rsid w:val="29C152D2"/>
    <w:rsid w:val="2A292F06"/>
    <w:rsid w:val="2A29332E"/>
    <w:rsid w:val="2A666F4C"/>
    <w:rsid w:val="2A6671E5"/>
    <w:rsid w:val="2A8574C7"/>
    <w:rsid w:val="2B0B3F2F"/>
    <w:rsid w:val="2B5A4161"/>
    <w:rsid w:val="2B9F495B"/>
    <w:rsid w:val="2BB70DAF"/>
    <w:rsid w:val="2BBD2870"/>
    <w:rsid w:val="2BF938D1"/>
    <w:rsid w:val="2C01063D"/>
    <w:rsid w:val="2C824188"/>
    <w:rsid w:val="2C8C63A5"/>
    <w:rsid w:val="2CF845CD"/>
    <w:rsid w:val="2D562101"/>
    <w:rsid w:val="2D7249A1"/>
    <w:rsid w:val="2D873A70"/>
    <w:rsid w:val="2DB610BD"/>
    <w:rsid w:val="2DFB43CE"/>
    <w:rsid w:val="2E3D7FDF"/>
    <w:rsid w:val="2E5606EB"/>
    <w:rsid w:val="2E5C72E5"/>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7B074D"/>
    <w:rsid w:val="3CD05D89"/>
    <w:rsid w:val="3D574C5D"/>
    <w:rsid w:val="3D8F46AB"/>
    <w:rsid w:val="3DB32B5C"/>
    <w:rsid w:val="3DE17511"/>
    <w:rsid w:val="3E0165CC"/>
    <w:rsid w:val="3E0A31F9"/>
    <w:rsid w:val="3E5F6553"/>
    <w:rsid w:val="3E85714B"/>
    <w:rsid w:val="3EB83441"/>
    <w:rsid w:val="3ED405D8"/>
    <w:rsid w:val="3EF23AFC"/>
    <w:rsid w:val="3F4E5E4B"/>
    <w:rsid w:val="3F544F16"/>
    <w:rsid w:val="3FD1121A"/>
    <w:rsid w:val="3FDF074D"/>
    <w:rsid w:val="409A7D1F"/>
    <w:rsid w:val="40DD14B7"/>
    <w:rsid w:val="41595C3E"/>
    <w:rsid w:val="42031639"/>
    <w:rsid w:val="420D6E21"/>
    <w:rsid w:val="42551AC7"/>
    <w:rsid w:val="426D69CE"/>
    <w:rsid w:val="43306F54"/>
    <w:rsid w:val="439D162E"/>
    <w:rsid w:val="43AF4EB6"/>
    <w:rsid w:val="43D47894"/>
    <w:rsid w:val="43DA0DF8"/>
    <w:rsid w:val="43F21A5E"/>
    <w:rsid w:val="449D0BDB"/>
    <w:rsid w:val="44A75B9D"/>
    <w:rsid w:val="44CC251D"/>
    <w:rsid w:val="44ED61E4"/>
    <w:rsid w:val="44F765DB"/>
    <w:rsid w:val="452D2CD2"/>
    <w:rsid w:val="454E1873"/>
    <w:rsid w:val="45570A50"/>
    <w:rsid w:val="46FF7143"/>
    <w:rsid w:val="476E4F77"/>
    <w:rsid w:val="479A1D63"/>
    <w:rsid w:val="479E2BBB"/>
    <w:rsid w:val="48164989"/>
    <w:rsid w:val="485B029F"/>
    <w:rsid w:val="48AF4A09"/>
    <w:rsid w:val="49055355"/>
    <w:rsid w:val="49B4550E"/>
    <w:rsid w:val="49F50EB5"/>
    <w:rsid w:val="4AB76254"/>
    <w:rsid w:val="4AF72F43"/>
    <w:rsid w:val="4AFC078A"/>
    <w:rsid w:val="4AFE130C"/>
    <w:rsid w:val="4B06415A"/>
    <w:rsid w:val="4B2C4572"/>
    <w:rsid w:val="4B307A80"/>
    <w:rsid w:val="4BBD5B2C"/>
    <w:rsid w:val="4BF36702"/>
    <w:rsid w:val="4C0E0B24"/>
    <w:rsid w:val="4F071606"/>
    <w:rsid w:val="4F403B1D"/>
    <w:rsid w:val="4F7F31B2"/>
    <w:rsid w:val="4F827ABA"/>
    <w:rsid w:val="4FA93F1C"/>
    <w:rsid w:val="4FCB730B"/>
    <w:rsid w:val="504A74E2"/>
    <w:rsid w:val="50D62ACD"/>
    <w:rsid w:val="510C3D06"/>
    <w:rsid w:val="51937900"/>
    <w:rsid w:val="51ED5B69"/>
    <w:rsid w:val="536A53D4"/>
    <w:rsid w:val="53857B5E"/>
    <w:rsid w:val="53DD1877"/>
    <w:rsid w:val="54207CFD"/>
    <w:rsid w:val="54C67D23"/>
    <w:rsid w:val="55005AF5"/>
    <w:rsid w:val="551F63D6"/>
    <w:rsid w:val="55CC6A46"/>
    <w:rsid w:val="55DE4946"/>
    <w:rsid w:val="55EA1952"/>
    <w:rsid w:val="55FD0CFB"/>
    <w:rsid w:val="561945F1"/>
    <w:rsid w:val="56BE79D8"/>
    <w:rsid w:val="573B2A77"/>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E1B94"/>
    <w:rsid w:val="5D2B1C2D"/>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47F4A97"/>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3241CE"/>
    <w:rsid w:val="758826A4"/>
    <w:rsid w:val="75B01AA9"/>
    <w:rsid w:val="76140509"/>
    <w:rsid w:val="763C41F4"/>
    <w:rsid w:val="768649B8"/>
    <w:rsid w:val="76EF0C8A"/>
    <w:rsid w:val="76F83624"/>
    <w:rsid w:val="773F1990"/>
    <w:rsid w:val="776A79F9"/>
    <w:rsid w:val="777A7DC6"/>
    <w:rsid w:val="78640367"/>
    <w:rsid w:val="78C403B7"/>
    <w:rsid w:val="78F73182"/>
    <w:rsid w:val="79640B02"/>
    <w:rsid w:val="796E4180"/>
    <w:rsid w:val="79874C47"/>
    <w:rsid w:val="79D2695D"/>
    <w:rsid w:val="7A731DE7"/>
    <w:rsid w:val="7ABE7E81"/>
    <w:rsid w:val="7AE73174"/>
    <w:rsid w:val="7B1234F7"/>
    <w:rsid w:val="7B5007DD"/>
    <w:rsid w:val="7BD60299"/>
    <w:rsid w:val="7BDD1DA1"/>
    <w:rsid w:val="7BE5680C"/>
    <w:rsid w:val="7C09693B"/>
    <w:rsid w:val="7C0A69CC"/>
    <w:rsid w:val="7C504BF4"/>
    <w:rsid w:val="7C6B7787"/>
    <w:rsid w:val="7C6F62EE"/>
    <w:rsid w:val="7C9F5AAF"/>
    <w:rsid w:val="7CAF0D4D"/>
    <w:rsid w:val="7CCC29A0"/>
    <w:rsid w:val="7CF42D7A"/>
    <w:rsid w:val="7D171AFF"/>
    <w:rsid w:val="7D4359D2"/>
    <w:rsid w:val="7D9A0C78"/>
    <w:rsid w:val="7DFE466B"/>
    <w:rsid w:val="7E164715"/>
    <w:rsid w:val="7E3459C9"/>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 w:type="paragraph" w:customStyle="1" w:styleId="129">
    <w:name w:val="a2"/>
    <w:basedOn w:val="1"/>
    <w:qFormat/>
    <w:uiPriority w:val="0"/>
    <w:pPr>
      <w:widowControl/>
      <w:autoSpaceDE/>
      <w:autoSpaceDN/>
      <w:adjustRightInd/>
      <w:spacing w:before="100" w:beforeAutospacing="1" w:after="100" w:afterAutospacing="1" w:line="240" w:lineRule="auto"/>
      <w:ind w:firstLine="0" w:firstLineChars="0"/>
    </w:pPr>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3</TotalTime>
  <ScaleCrop>false</ScaleCrop>
  <LinksUpToDate>false</LinksUpToDate>
  <CharactersWithSpaces>53671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2018-07-04T05:29:47Z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