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大周镇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污水处理厂总氮自动监控设施采购项目</w:t>
      </w:r>
      <w:r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竞争性谈判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流标公告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一、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长葛市大周镇污水处理厂总氮自动监控设施采购项目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046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拟采购总氮自动监控设施。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河南省政府采购网、全国公共资源交易平台（河南省﹒许昌市）。</w:t>
      </w:r>
    </w:p>
    <w:p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 w:bidi="ar"/>
        </w:rPr>
        <w:t>河南益宅安建筑工程有限公司，未提供缴纳税收和社保基金证明原件；东营祥益工贸有限公司未提供2016年度财务审计报告或公司上个月的财务报表复印件，未提供缴纳税收和社保基金证明原件。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大周镇人民政府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0AD7B51"/>
    <w:rsid w:val="3EEE603E"/>
    <w:rsid w:val="400646BB"/>
    <w:rsid w:val="441006A4"/>
    <w:rsid w:val="48B47B30"/>
    <w:rsid w:val="4BD84638"/>
    <w:rsid w:val="4EC7743E"/>
    <w:rsid w:val="54EE36D0"/>
    <w:rsid w:val="56434B3A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长葛市公共资源交易中心:王秋玲</cp:lastModifiedBy>
  <dcterms:modified xsi:type="dcterms:W3CDTF">2018-06-21T08:13:09Z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