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宋体" w:hAnsi="宋体" w:eastAsia="宋体" w:cs="宋体"/>
          <w:color w:val="000000"/>
          <w:sz w:val="48"/>
          <w:szCs w:val="48"/>
          <w:u w:val="none"/>
        </w:rPr>
      </w:pPr>
      <w:r>
        <w:rPr>
          <w:rFonts w:hint="eastAsia" w:ascii="宋体" w:hAnsi="宋体" w:eastAsia="宋体" w:cs="宋体"/>
          <w:color w:val="000000"/>
          <w:sz w:val="48"/>
          <w:szCs w:val="48"/>
          <w:u w:val="none"/>
        </w:rPr>
        <w:t>JZFCG-G201</w:t>
      </w:r>
      <w:r>
        <w:rPr>
          <w:rFonts w:hint="eastAsia" w:ascii="宋体" w:hAnsi="宋体" w:eastAsia="宋体" w:cs="宋体"/>
          <w:color w:val="000000"/>
          <w:sz w:val="48"/>
          <w:szCs w:val="48"/>
          <w:u w:val="none"/>
          <w:lang w:val="en-US" w:eastAsia="zh-CN"/>
        </w:rPr>
        <w:t>8</w:t>
      </w:r>
      <w:r>
        <w:rPr>
          <w:rFonts w:hint="eastAsia" w:ascii="宋体" w:hAnsi="宋体" w:eastAsia="宋体" w:cs="宋体"/>
          <w:color w:val="000000"/>
          <w:sz w:val="48"/>
          <w:szCs w:val="48"/>
          <w:u w:val="none"/>
        </w:rPr>
        <w:t>029-</w:t>
      </w:r>
      <w:r>
        <w:rPr>
          <w:rFonts w:hint="eastAsia" w:ascii="宋体" w:hAnsi="宋体" w:eastAsia="宋体" w:cs="宋体"/>
          <w:color w:val="000000"/>
          <w:sz w:val="48"/>
          <w:szCs w:val="48"/>
          <w:u w:val="none"/>
          <w:lang w:val="en-US" w:eastAsia="zh-CN"/>
        </w:rPr>
        <w:t>1</w:t>
      </w:r>
      <w:r>
        <w:rPr>
          <w:rFonts w:hint="eastAsia" w:ascii="宋体" w:hAnsi="宋体" w:eastAsia="宋体" w:cs="宋体"/>
          <w:color w:val="000000"/>
          <w:sz w:val="48"/>
          <w:szCs w:val="48"/>
          <w:u w:val="none"/>
        </w:rPr>
        <w:t>号许昌市东城区管理委员会机关事务管理处“保安服务”项目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项目编号：JZFCG-G201</w:t>
      </w:r>
      <w:r>
        <w:rPr>
          <w:rFonts w:hint="eastAsia" w:asciiTheme="majorEastAsia" w:hAnsiTheme="majorEastAsia" w:eastAsiaTheme="majorEastAsia" w:cstheme="majorEastAsia"/>
          <w:b/>
          <w:bCs/>
          <w:color w:val="000000"/>
          <w:sz w:val="36"/>
          <w:szCs w:val="36"/>
          <w:lang w:val="en-US" w:eastAsia="zh-CN"/>
        </w:rPr>
        <w:t>8</w:t>
      </w:r>
      <w:bookmarkStart w:id="12" w:name="_GoBack"/>
      <w:bookmarkEnd w:id="12"/>
      <w:r>
        <w:rPr>
          <w:rFonts w:hint="eastAsia" w:asciiTheme="majorEastAsia" w:hAnsiTheme="majorEastAsia" w:eastAsiaTheme="majorEastAsia" w:cstheme="majorEastAsia"/>
          <w:b/>
          <w:bCs/>
          <w:color w:val="000000"/>
          <w:sz w:val="36"/>
          <w:szCs w:val="36"/>
          <w:lang w:val="en-US" w:eastAsia="zh-CN"/>
        </w:rPr>
        <w:t>029-1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2"/>
          <w:szCs w:val="32"/>
        </w:rPr>
        <w:t>许昌市东城区管理委员会机关事务管理处</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代理机构：河南鼎华招标代理有限公司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六</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0"/>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20"/>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（一）项目名称：许昌市东城区管理委员会机关事务管理处“保安服务”项目</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（二）项目编号：JZFCG-G2018</w:t>
      </w:r>
      <w:r>
        <w:rPr>
          <w:rFonts w:hint="eastAsia" w:cs="仿宋_GB2312" w:asciiTheme="minorEastAsia" w:hAnsiTheme="minorEastAsia" w:eastAsiaTheme="minorEastAsia"/>
          <w:color w:val="000000"/>
          <w:shd w:val="clear" w:color="auto" w:fill="FFFFFF"/>
          <w:lang w:val="en-US" w:eastAsia="zh-CN"/>
        </w:rPr>
        <w:t>029-1</w:t>
      </w:r>
      <w:r>
        <w:rPr>
          <w:rFonts w:hint="eastAsia" w:cs="仿宋_GB2312" w:asciiTheme="minorEastAsia" w:hAnsiTheme="minorEastAsia" w:eastAsiaTheme="minorEastAsia"/>
          <w:color w:val="000000"/>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w:t>
      </w:r>
      <w:r>
        <w:rPr>
          <w:rFonts w:hint="eastAsia" w:cs="仿宋_GB2312" w:asciiTheme="minorEastAsia" w:hAnsiTheme="minorEastAsia" w:eastAsiaTheme="minorEastAsia"/>
          <w:color w:val="000000"/>
          <w:shd w:val="clear" w:color="auto" w:fill="FFFFFF"/>
          <w:lang w:eastAsia="zh-CN"/>
        </w:rPr>
        <w:t>公开招标</w:t>
      </w:r>
      <w:r>
        <w:rPr>
          <w:rFonts w:hint="eastAsia" w:cs="仿宋_GB2312" w:asciiTheme="minorEastAsia" w:hAnsiTheme="minorEastAsia" w:eastAsiaTheme="minorEastAsia"/>
          <w:color w:val="000000"/>
          <w:shd w:val="clear" w:color="auto" w:fill="FFFFFF"/>
        </w:rPr>
        <w:t xml:space="preserve">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（四）项目主要内容、数量及要求：负责东城区管委会办公区安全事宜，全天24小时值班巡视</w:t>
      </w:r>
      <w:r>
        <w:rPr>
          <w:rFonts w:hint="eastAsia" w:cs="仿宋_GB2312" w:asciiTheme="minorEastAsia" w:hAnsiTheme="minorEastAsia" w:eastAsiaTheme="minorEastAsia"/>
          <w:color w:val="000000"/>
          <w:shd w:val="clear" w:color="auto" w:fill="FFFFFF"/>
          <w:lang w:eastAsia="zh-CN"/>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（五）预算金额：750000元/年。最高限价：750000元/年。</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（六）服务时间 ：合同签订后3年</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（七）服务地点：许昌市东城区管理委员会机关办公区</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（二）须具有公安机关颁发的《保安服务许可证》；</w:t>
      </w:r>
    </w:p>
    <w:p>
      <w:pPr>
        <w:pStyle w:val="20"/>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lang w:val="en-US" w:eastAsia="zh-CN"/>
        </w:rPr>
        <w:t>300</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w:t>
      </w:r>
      <w:r>
        <w:rPr>
          <w:rFonts w:hint="eastAsia" w:cs="仿宋_GB2312" w:asciiTheme="minorEastAsia" w:hAnsiTheme="minorEastAsia" w:eastAsiaTheme="minorEastAsia"/>
          <w:color w:val="000000"/>
          <w:u w:val="single"/>
          <w:lang w:val="en-US" w:eastAsia="zh-CN"/>
        </w:rPr>
        <w:t>6</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29</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9</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30</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eastAsia="zh-CN"/>
        </w:rPr>
        <w:t>三</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采购人：许昌市东城区管理委员会机关事务管理处</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址：许昌市东城区管理委员会附属楼1楼</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联系人：王会君            联系电话：0374-2959795</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代理机构：河南鼎华招标代理有限公司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址：许昌市新许路中段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 系 人：冯建伟           联系电话：0374-5219779</w:t>
      </w:r>
    </w:p>
    <w:p>
      <w:pPr>
        <w:autoSpaceDE w:val="0"/>
        <w:autoSpaceDN w:val="0"/>
        <w:adjustRightInd w:val="0"/>
        <w:spacing w:line="700" w:lineRule="exact"/>
        <w:ind w:firstLine="560"/>
        <w:jc w:val="right"/>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lang w:val="en-US" w:eastAsia="zh-CN"/>
        </w:rPr>
        <w:t xml:space="preserve"> 许昌市东城区管理委员会机关事务管理处</w:t>
      </w:r>
    </w:p>
    <w:p>
      <w:pPr>
        <w:autoSpaceDE w:val="0"/>
        <w:autoSpaceDN w:val="0"/>
        <w:adjustRightInd w:val="0"/>
        <w:spacing w:line="700" w:lineRule="exact"/>
        <w:ind w:firstLine="560"/>
        <w:jc w:val="right"/>
        <w:rPr>
          <w:rFonts w:hAnsi="宋体"/>
          <w:b/>
          <w:sz w:val="28"/>
          <w:szCs w:val="28"/>
        </w:rPr>
      </w:pPr>
      <w:r>
        <w:rPr>
          <w:rFonts w:hint="eastAsia" w:cs="仿宋_GB2312" w:asciiTheme="minorEastAsia" w:hAnsiTheme="minorEastAsia"/>
          <w:color w:val="000000"/>
          <w:sz w:val="24"/>
          <w:szCs w:val="24"/>
        </w:rPr>
        <w:t xml:space="preserve">                              二〇一八年</w:t>
      </w:r>
      <w:r>
        <w:rPr>
          <w:rFonts w:hint="eastAsia" w:cs="仿宋_GB2312" w:asciiTheme="minorEastAsia" w:hAnsiTheme="minorEastAsia"/>
          <w:color w:val="000000"/>
          <w:sz w:val="24"/>
          <w:szCs w:val="24"/>
          <w:lang w:eastAsia="zh-CN"/>
        </w:rPr>
        <w:t>六</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eastAsia="zh-CN"/>
        </w:rPr>
        <w:t>五</w:t>
      </w:r>
      <w:r>
        <w:rPr>
          <w:rFonts w:hint="eastAsia" w:cs="仿宋_GB2312" w:asciiTheme="minorEastAsia" w:hAnsiTheme="minorEastAsia"/>
          <w:color w:val="000000"/>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hint="eastAsia" w:cs="黑体" w:asciiTheme="minorEastAsia" w:hAnsiTheme="minorEastAsia" w:eastAsiaTheme="minorEastAsia"/>
          <w:b/>
          <w:bCs/>
          <w:color w:val="000000"/>
          <w:sz w:val="24"/>
          <w:szCs w:val="24"/>
          <w:shd w:val="clear" w:color="auto" w:fill="FFFFFF"/>
          <w:lang w:val="en-US" w:eastAsia="zh-CN"/>
        </w:rPr>
      </w:pPr>
      <w:r>
        <w:rPr>
          <w:rFonts w:hint="eastAsia" w:cs="黑体" w:asciiTheme="minorEastAsia" w:hAnsiTheme="minorEastAsia"/>
          <w:b/>
          <w:bCs/>
          <w:color w:val="000000"/>
          <w:sz w:val="24"/>
          <w:szCs w:val="24"/>
          <w:shd w:val="clear" w:color="auto" w:fill="FFFFFF"/>
          <w:lang w:val="en-US" w:eastAsia="zh-CN"/>
        </w:rPr>
        <w:t xml:space="preserve">       保证东城区管理委员会机关办公区的安全。</w:t>
      </w:r>
    </w:p>
    <w:p>
      <w:pPr>
        <w:spacing w:line="360" w:lineRule="auto"/>
        <w:ind w:firstLine="241" w:firstLineChars="100"/>
        <w:contextualSpacing/>
        <w:rPr>
          <w:rFonts w:hint="eastAsia" w:ascii="宋体" w:hAnsi="宋体" w:cs="宋体"/>
          <w:b/>
          <w:bCs/>
          <w:kern w:val="0"/>
          <w:sz w:val="24"/>
          <w:highlight w:val="none"/>
          <w:shd w:val="clear" w:color="auto" w:fill="FFFFFF"/>
        </w:rPr>
      </w:pPr>
      <w:r>
        <w:rPr>
          <w:rFonts w:hint="eastAsia" w:ascii="宋体" w:hAnsi="宋体" w:cs="宋体"/>
          <w:b/>
          <w:bCs/>
          <w:kern w:val="0"/>
          <w:sz w:val="24"/>
          <w:highlight w:val="none"/>
          <w:shd w:val="clear" w:color="auto" w:fill="FFFFFF"/>
        </w:rPr>
        <w:t>★二、工作内容及岗位责任</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1、人数设置及岗位责任</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共需要25名保安人员（含一名保安队长）。设立一名保安队长，负责保安队伍的管理、教育以及与单位相关部门的沟通并协调处置相关事宜。</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保安公司与</w:t>
      </w:r>
      <w:r>
        <w:rPr>
          <w:rFonts w:hint="eastAsia" w:ascii="宋体" w:hAnsi="宋体" w:cs="宋体"/>
          <w:kern w:val="0"/>
          <w:sz w:val="24"/>
          <w:szCs w:val="24"/>
          <w:lang w:eastAsia="zh-CN"/>
        </w:rPr>
        <w:t>采购人</w:t>
      </w:r>
      <w:r>
        <w:rPr>
          <w:rFonts w:hint="eastAsia" w:ascii="宋体" w:hAnsi="宋体" w:cs="宋体"/>
          <w:kern w:val="0"/>
          <w:sz w:val="24"/>
          <w:szCs w:val="24"/>
        </w:rPr>
        <w:t>以合同形式明确双方的责任、权利和义务。保安队员的管理因与保安公司建立了劳动关系，所以以保安公司管理为主；而</w:t>
      </w:r>
      <w:r>
        <w:rPr>
          <w:rFonts w:hint="eastAsia" w:ascii="宋体" w:hAnsi="宋体" w:cs="宋体"/>
          <w:kern w:val="0"/>
          <w:sz w:val="24"/>
          <w:szCs w:val="24"/>
          <w:lang w:eastAsia="zh-CN"/>
        </w:rPr>
        <w:t>采购人</w:t>
      </w:r>
      <w:r>
        <w:rPr>
          <w:rFonts w:hint="eastAsia" w:ascii="宋体" w:hAnsi="宋体" w:cs="宋体"/>
          <w:kern w:val="0"/>
          <w:sz w:val="24"/>
          <w:szCs w:val="24"/>
        </w:rPr>
        <w:t>对保安服务质量</w:t>
      </w:r>
      <w:r>
        <w:rPr>
          <w:rFonts w:hint="eastAsia" w:ascii="宋体" w:hAnsi="宋体" w:cs="宋体"/>
          <w:kern w:val="0"/>
          <w:sz w:val="24"/>
          <w:szCs w:val="24"/>
          <w:lang w:eastAsia="zh-CN"/>
        </w:rPr>
        <w:t>进行</w:t>
      </w:r>
      <w:r>
        <w:rPr>
          <w:rFonts w:hint="eastAsia" w:ascii="宋体" w:hAnsi="宋体" w:cs="宋体"/>
          <w:kern w:val="0"/>
          <w:sz w:val="24"/>
          <w:szCs w:val="24"/>
        </w:rPr>
        <w:t>监督和指导。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管委会大院内保安巡视区域内任何时间发生的一切盗抢事件，均由保安公司承担全部责任和后果。</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2、基本要求和工作职责</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每一名保安人员，均应至少符合下列各项基本要求：</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 政治素质合格、热爱祖国、热爱社会主义,拥护中国共产党的领导。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 严格遵守单位的各项规章制度，特别是安全保卫制度。</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 爱岗敬业、责任心强、恪尽职守、遵纪守法、严于律己。</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 服从管理、听从指挥，服从单位的指令和工作安排，熟悉相关岗位的任务与要求，认真贯彻执行安全岗位责任制。具备保安人员的基本职业道德、保守工作秘密，认真履行职责。</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 品行良好，无违法犯罪记录，不存在犯罪前科。</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 年满24周岁，不超过50周岁。</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(7). 身高不低于1.70米。</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(8). 双眼视力0.8以上、无色盲、无纹身。</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 五官端正、身体健康，无生理缺陷、无精神病史、无传染病, 无不良嗜好，不存在酗酒、吸毒等恶劣习惯。</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(10). 具备与岗位职责相应的观察、发现、处置问题的能力,具备良好的沟通、理解和应变能力。对于工作中发现的安全隐患，要及时报告，不得拖延或隐瞒。</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(11). 具备使用基本消防设施、通讯器材、技术防范设施和相关防卫器械技能。</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(12). 掌握一定的防卫和擒敌技能。同时熟悉警卫区域情况，掌握各类突发事件的处置办法，并能够在接到突发事件的信息后，快速及时地赶到现场。</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(13). 上岗执勤时，必须着装整齐、干净整洁、仪表端庄、语言文明、手势规范、站姿端正、精神饱满、文明执勤、礼貌待人。上班期间不准披衣、敞怀、挽袖、卷裤腿、歪带帽子、穿拖鞋或赤脚。休息期间禁止穿执勤服装。</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(14). 上班期间保持手机开机，确保通讯畅通；同时还应熟悉保安队长、同事、火警、盗警及驻地派出所的电话。</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(15). 不准在值班期间睡觉、喝酒、赌博、吹口哨、嬉笑、打闹、闲聊、串岗、大声喧哗以及其他与岗位无关的活动，严禁酒后上岗。</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(16). 坚守工作岗位，换班时做好交接班，不得随意无故离岗、脱岗、空岗、串岗或漏岗。</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(17). 保障和维护单位公共财物安全，爱护院内车辆及公共财物。保安人员私用或盗取单位财物的，由保安公司按3倍价值赔偿。确保院内公共设施、花草等无人为损坏现象，院内外墙壁无乱贴、乱画现象。</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(18). 与保安工作相关的其它基本要求。</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3、保安队长的岗位要求和工作职责</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 服从本单位的管理要求，对于因工作提出的要求必须有回复、有整改。带头严格执行与岗位相关的各项规章制度，检查制度的落实情况，发现队员存在违章违纪行为，要敢于批评和纠正。</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 以身作则、恪守职责，如有事离岗或不在单位，须告知单位管理者，同时须事先安排好保安队员的工作，保证各保安岗位正常运转。</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 对各保安岗位实行保安队长负责制，由保安队长负责所属人员的安排、值勤、检查、工作考核及日常生活中各项制度的管与行，负责全体保安的管理考评及上报。</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 负责保安人员的岗位安排，带领全体保安完成院内的安防任务，在工作中起到模范带头作用。</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 每天安排好保安队员的交接班工作，遇到有特殊情况及时上报。</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 认真处理治安保卫方面存在的问题，并将处理结果及时上报，对经过努力仍无法处理的情况应及时请示，重要情况需写出情况报告。</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(7). 遇到紧急事件时能够带领保安队员赶到现场，根据具体情况做好组织指挥工作，并妥善处理。</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(8). 具有一定的协调和沟通能力，能够带领保安队员完成每日的工作任务。每日上岗前要检查保安队员的仪容仪表。</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 按照规定对保安队员定期进行了培训，训练并做好记录。</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(10). 完成单位领导交办的其他工作。</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4、门卫保安的岗位要求和工作职责</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 熟悉有关门卫规章制度、出入手续，以及各种必要的证件等。</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 熟悉门卫区域内的环境状况和安全措施。熟悉和掌握单位内部机构的分布、位置，基本熟悉单位主要内部人员的情况。</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 负责对进入院内的外部人员办理登记手续，做到记录详细、字迹工整。协助单位做好来访人员的接待工作；禁止无关人员进入，严禁各类推销人员、小商小贩及闲杂人员进入院内。</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 对大门出入车辆进行查验，对出入运送材料、搬家车辆应进行了认真检查，防止单位财物流失及违禁物品和危险物流入。对携带和运送可疑物品、管制刀具可进行盘查、监视，若有必要应报请相关领导及公安机关处理。</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 严密注意单位大门内外的突发事件，一经发现及时报告相关领导。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 维护好大门口交通秩序，负责大门口附近车辆的检查、指挥和疏导，保证车辆畅通无阻，大门口内外道路上不得停靠任何车辆。</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(7). 完成单位领导交办的其他工作。</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5、巡逻保安的岗位要求和工作职责</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 熟悉巡逻区域周围的地形、重点目标、地物及设施，熟悉应急设备的位置、性能和使用方法。</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 熟练掌握处置一般问题和紧急情况的方法，妥善处理突发事件，自身解决不了的能够及时准确报告。</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 通过巡逻，对可疑人员进行询问、盘查并视情况通知其他岗位人员，重点监视对象；对有违法犯罪嫌疑的，依法扭送有关部门处理。</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w:t>
      </w:r>
      <w:r>
        <w:rPr>
          <w:rFonts w:hint="eastAsia" w:ascii="宋体" w:hAnsi="宋体" w:cs="宋体"/>
          <w:kern w:val="0"/>
          <w:sz w:val="24"/>
          <w:szCs w:val="24"/>
          <w:lang w:eastAsia="zh-CN"/>
        </w:rPr>
        <w:t>）</w:t>
      </w:r>
      <w:r>
        <w:rPr>
          <w:rFonts w:hint="eastAsia" w:ascii="宋体" w:hAnsi="宋体" w:cs="宋体"/>
          <w:kern w:val="0"/>
          <w:sz w:val="24"/>
          <w:szCs w:val="24"/>
        </w:rPr>
        <w:t>. 检查、发现并报告单位内存在的安全隐患。防止火灾、爆炸等事故或抢劫、盗窃等不法侵害发生。遇火灾、爆炸等公共安全突发事件，应及时疏导人流，控制事态发展并做好现场保护。</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 在巡逻过程中，遇到正在发生的不法侵害行为，应采取相应的措施予以制止，将不法行为人及扭送公安机关或有关部门处理。遇到已经发生的不法侵害案件或治安灾害事故，应采取相应措施保护现场、保护证据、维持秩序、提供情况。对违法分子不服制止，甚至行凶、报复，可采取正当防卫，同时应及时报告有关部门或公安机关。</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 检查并适时开关公共区域的电源、水源、节约能源。定期检查消防设施，确保消防器材性能良好，可随时投入使用。节假日期间，需加强对水、电、暖及安全方面的巡视，发现问题及时汇报。</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(7). 维护院内车辆停放场所整齐有序，禁止在院内车辆停放场所进行试刹车、学车、修车，禁止装有易燃、易爆等危险车辆停放。</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(8). 禁止无关人员或可疑人员在院内逗留、玩耍。</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 对进入院内的车辆疏导，保证无逆行、无占道、无堵塞。指挥车辆慢行，按规定行驶方向前行，停放于适当位置，并对院内停放的车辆检查是否落锁、关窗或停放在适当的位置。</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(10). 巡逻保安应流动巡视检查、警戒，发现可疑情况应注意认真观察，严密监视。视情况采取守候、跟随等方法，将其控制在视线之内，必要时对可疑人员进行询问。</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(11). 在夜间巡逻时，要提高警惕,认真检查重要地带和死角，同时需要注意保护自身安全。</w:t>
      </w:r>
    </w:p>
    <w:p>
      <w:pPr>
        <w:spacing w:line="360" w:lineRule="auto"/>
        <w:ind w:firstLine="480" w:firstLineChars="200"/>
        <w:rPr>
          <w:rFonts w:hint="eastAsia" w:ascii="宋体" w:hAnsi="宋体"/>
          <w:color w:val="auto"/>
          <w:kern w:val="2"/>
          <w:sz w:val="28"/>
          <w:szCs w:val="28"/>
          <w:u w:val="none" w:color="auto"/>
        </w:rPr>
      </w:pPr>
      <w:r>
        <w:rPr>
          <w:rFonts w:hint="eastAsia" w:ascii="宋体" w:hAnsi="宋体" w:cs="宋体"/>
          <w:kern w:val="0"/>
          <w:sz w:val="24"/>
          <w:szCs w:val="24"/>
        </w:rPr>
        <w:t>(12). 完成单位领导交办的其他工作。</w:t>
      </w:r>
    </w:p>
    <w:p>
      <w:pPr>
        <w:spacing w:line="360" w:lineRule="auto"/>
        <w:ind w:firstLine="241" w:firstLineChars="100"/>
        <w:contextualSpacing/>
        <w:rPr>
          <w:rFonts w:hint="eastAsia" w:ascii="宋体" w:hAnsi="宋体" w:cs="宋体"/>
          <w:b/>
          <w:bCs/>
          <w:kern w:val="0"/>
          <w:sz w:val="24"/>
          <w:shd w:val="clear" w:color="auto" w:fill="FFFFFF"/>
          <w:lang w:val="zh-CN"/>
        </w:rPr>
      </w:pPr>
      <w:r>
        <w:rPr>
          <w:rFonts w:hint="eastAsia" w:ascii="宋体" w:hAnsi="宋体" w:cs="宋体"/>
          <w:b/>
          <w:bCs/>
          <w:kern w:val="0"/>
          <w:sz w:val="24"/>
          <w:shd w:val="clear" w:color="auto" w:fill="FFFFFF"/>
        </w:rPr>
        <w:t>★</w:t>
      </w:r>
      <w:r>
        <w:rPr>
          <w:rFonts w:hint="eastAsia" w:ascii="宋体" w:hAnsi="宋体" w:cs="宋体"/>
          <w:b/>
          <w:bCs/>
          <w:kern w:val="0"/>
          <w:sz w:val="24"/>
          <w:shd w:val="clear" w:color="auto" w:fill="FFFFFF"/>
          <w:lang w:val="zh-CN" w:eastAsia="zh-CN"/>
        </w:rPr>
        <w:t>三、验收标准</w:t>
      </w:r>
    </w:p>
    <w:p>
      <w:pPr>
        <w:spacing w:line="360" w:lineRule="auto"/>
        <w:ind w:firstLine="480" w:firstLineChars="200"/>
        <w:contextualSpacing/>
        <w:rPr>
          <w:rFonts w:hint="eastAsia" w:cs="宋体" w:asciiTheme="minorEastAsia" w:hAnsiTheme="minorEastAsia"/>
          <w:kern w:val="0"/>
          <w:sz w:val="24"/>
          <w:szCs w:val="24"/>
          <w:lang w:val="zh-CN"/>
        </w:rPr>
      </w:pPr>
      <w:r>
        <w:rPr>
          <w:rFonts w:hint="eastAsia" w:cs="宋体" w:asciiTheme="minorEastAsia" w:hAnsiTheme="minorEastAsia"/>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contextualSpacing/>
        <w:rPr>
          <w:rFonts w:hint="eastAsia" w:cs="宋体" w:asciiTheme="minorEastAsia" w:hAnsiTheme="minorEastAsia"/>
          <w:kern w:val="0"/>
          <w:sz w:val="24"/>
          <w:szCs w:val="24"/>
          <w:lang w:val="zh-CN"/>
        </w:rPr>
      </w:pPr>
      <w:r>
        <w:rPr>
          <w:rFonts w:hint="eastAsia" w:cs="宋体" w:asciiTheme="minorEastAsia" w:hAnsiTheme="minorEastAsia"/>
          <w:kern w:val="0"/>
          <w:sz w:val="24"/>
          <w:szCs w:val="24"/>
          <w:lang w:val="zh-CN"/>
        </w:rPr>
        <w:t>2、按照招标文件要求、投标文件响应和承诺验收。</w:t>
      </w:r>
    </w:p>
    <w:p>
      <w:pPr>
        <w:spacing w:line="360" w:lineRule="auto"/>
        <w:ind w:firstLine="241" w:firstLineChars="100"/>
        <w:contextualSpacing/>
        <w:rPr>
          <w:rFonts w:hint="eastAsia" w:ascii="宋体" w:hAnsi="宋体" w:cs="宋体"/>
          <w:b/>
          <w:bCs/>
          <w:kern w:val="0"/>
          <w:sz w:val="24"/>
          <w:shd w:val="clear" w:color="auto" w:fill="FFFFFF"/>
        </w:rPr>
      </w:pPr>
      <w:r>
        <w:rPr>
          <w:rFonts w:hint="eastAsia" w:ascii="宋体" w:hAnsi="宋体" w:cs="宋体"/>
          <w:b/>
          <w:bCs/>
          <w:kern w:val="0"/>
          <w:sz w:val="24"/>
          <w:shd w:val="clear" w:color="auto" w:fill="FFFFFF"/>
        </w:rPr>
        <w:t>★</w:t>
      </w:r>
      <w:r>
        <w:rPr>
          <w:rFonts w:hint="eastAsia" w:ascii="宋体" w:hAnsi="宋体" w:cs="宋体"/>
          <w:b/>
          <w:bCs/>
          <w:kern w:val="0"/>
          <w:sz w:val="24"/>
          <w:shd w:val="clear" w:color="auto" w:fill="FFFFFF"/>
          <w:lang w:eastAsia="zh-CN"/>
        </w:rPr>
        <w:t>四</w:t>
      </w:r>
      <w:r>
        <w:rPr>
          <w:rFonts w:hint="eastAsia" w:ascii="宋体" w:hAnsi="宋体" w:cs="宋体"/>
          <w:b/>
          <w:bCs/>
          <w:kern w:val="0"/>
          <w:sz w:val="24"/>
          <w:shd w:val="clear" w:color="auto" w:fill="FFFFFF"/>
        </w:rPr>
        <w:t>、本项目预算金额：750000元/年。最高限价750000元/年</w:t>
      </w:r>
      <w:r>
        <w:rPr>
          <w:rFonts w:hint="eastAsia" w:ascii="宋体" w:hAnsi="宋体" w:cs="宋体"/>
          <w:b/>
          <w:bCs/>
          <w:kern w:val="0"/>
          <w:sz w:val="24"/>
          <w:shd w:val="clear" w:color="auto" w:fill="FFFFFF"/>
          <w:lang w:val="zh-CN"/>
        </w:rPr>
        <w:t>。超出最高限价的投标无效。</w:t>
      </w:r>
    </w:p>
    <w:p>
      <w:pPr>
        <w:spacing w:line="360" w:lineRule="auto"/>
        <w:ind w:firstLine="241" w:firstLineChars="100"/>
        <w:contextualSpacing/>
        <w:rPr>
          <w:rFonts w:hint="eastAsia" w:ascii="宋体" w:hAnsi="宋体" w:cs="宋体"/>
          <w:b/>
          <w:bCs/>
          <w:kern w:val="0"/>
          <w:sz w:val="24"/>
          <w:shd w:val="clear" w:color="auto" w:fill="FFFFFF"/>
          <w:lang w:val="zh-CN"/>
        </w:rPr>
      </w:pPr>
      <w:r>
        <w:rPr>
          <w:rFonts w:hint="eastAsia" w:ascii="宋体" w:hAnsi="宋体" w:cs="宋体"/>
          <w:b/>
          <w:bCs/>
          <w:kern w:val="0"/>
          <w:sz w:val="24"/>
          <w:shd w:val="clear" w:color="auto" w:fill="FFFFFF"/>
        </w:rPr>
        <w:t>★</w:t>
      </w:r>
      <w:r>
        <w:rPr>
          <w:rFonts w:hint="eastAsia" w:ascii="宋体" w:hAnsi="宋体" w:cs="宋体"/>
          <w:b/>
          <w:bCs/>
          <w:kern w:val="0"/>
          <w:sz w:val="24"/>
          <w:shd w:val="clear" w:color="auto" w:fill="FFFFFF"/>
          <w:lang w:val="zh-CN"/>
        </w:rPr>
        <w:t>五、资金支付</w:t>
      </w:r>
    </w:p>
    <w:p>
      <w:pPr>
        <w:spacing w:line="360" w:lineRule="auto"/>
        <w:ind w:firstLine="480" w:firstLineChars="200"/>
        <w:contextualSpacing/>
        <w:rPr>
          <w:rFonts w:hint="eastAsia"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1、支付方式：银行转账。</w:t>
      </w:r>
    </w:p>
    <w:p>
      <w:pPr>
        <w:autoSpaceDE w:val="0"/>
        <w:autoSpaceDN w:val="0"/>
        <w:adjustRightInd w:val="0"/>
        <w:ind w:firstLine="480" w:firstLineChars="200"/>
        <w:jc w:val="both"/>
        <w:rPr>
          <w:rFonts w:cs="宋体" w:asciiTheme="majorEastAsia" w:hAnsiTheme="majorEastAsia" w:eastAsiaTheme="majorEastAsia"/>
          <w:b/>
          <w:kern w:val="0"/>
          <w:sz w:val="36"/>
          <w:szCs w:val="36"/>
        </w:rPr>
      </w:pPr>
      <w:r>
        <w:rPr>
          <w:rFonts w:hint="eastAsia" w:cs="宋体" w:asciiTheme="minorEastAsia" w:hAnsiTheme="minorEastAsia"/>
          <w:kern w:val="0"/>
          <w:sz w:val="24"/>
          <w:szCs w:val="24"/>
          <w:lang w:val="zh-CN"/>
        </w:rPr>
        <w:t>2、支付时间及条件：按月支付。</w:t>
      </w:r>
    </w:p>
    <w:p>
      <w:pPr>
        <w:autoSpaceDE w:val="0"/>
        <w:autoSpaceDN w:val="0"/>
        <w:adjustRightInd w:val="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vAlign w:val="top"/>
          </w:tcPr>
          <w:p>
            <w:pPr>
              <w:autoSpaceDE w:val="0"/>
              <w:autoSpaceDN w:val="0"/>
              <w:adjustRightInd w:val="0"/>
              <w:spacing w:line="360"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项目名称：保安服务</w:t>
            </w:r>
          </w:p>
          <w:p>
            <w:pPr>
              <w:autoSpaceDE w:val="0"/>
              <w:autoSpaceDN w:val="0"/>
              <w:adjustRightInd w:val="0"/>
              <w:spacing w:line="360"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项目编号：JZFCG-G201</w:t>
            </w:r>
            <w:r>
              <w:rPr>
                <w:rFonts w:hint="eastAsia" w:cs="仿宋_GB2312" w:asciiTheme="minorEastAsia" w:hAnsiTheme="minorEastAsia"/>
                <w:kern w:val="2"/>
                <w:sz w:val="24"/>
                <w:szCs w:val="24"/>
                <w:lang w:val="en-US" w:eastAsia="zh-CN" w:bidi="ar-SA"/>
              </w:rPr>
              <w:t>8029-1</w:t>
            </w:r>
            <w:r>
              <w:rPr>
                <w:rFonts w:hint="eastAsia" w:cs="仿宋_GB2312" w:asciiTheme="minorEastAsia" w:hAnsiTheme="minorEastAsia" w:eastAsiaTheme="minorEastAsia"/>
                <w:kern w:val="2"/>
                <w:sz w:val="24"/>
                <w:szCs w:val="24"/>
                <w:lang w:val="en-US" w:eastAsia="zh-CN" w:bidi="ar-SA"/>
              </w:rPr>
              <w:t>号</w:t>
            </w:r>
          </w:p>
          <w:p>
            <w:pPr>
              <w:autoSpaceDE w:val="0"/>
              <w:autoSpaceDN w:val="0"/>
              <w:adjustRightInd w:val="0"/>
              <w:spacing w:line="360"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项目内容：负责东城区管委会办公区安全防范事宜，全天24小时值班巡视。</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eastAsiaTheme="minorEastAsia"/>
                <w:kern w:val="2"/>
                <w:sz w:val="24"/>
                <w:szCs w:val="24"/>
                <w:lang w:val="en-US" w:eastAsia="zh-CN" w:bidi="ar-SA"/>
              </w:rPr>
              <w:t>项目地址：许昌市东城区管理委员会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名称：许昌市东城区管理委员会机关事务管理处</w:t>
            </w:r>
          </w:p>
          <w:p>
            <w:pPr>
              <w:autoSpaceDE w:val="0"/>
              <w:autoSpaceDN w:val="0"/>
              <w:adjustRightInd w:val="0"/>
              <w:spacing w:line="360"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地址：许昌市东城区管理委员会附属楼1楼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eastAsiaTheme="minorEastAsia"/>
                <w:kern w:val="2"/>
                <w:sz w:val="24"/>
                <w:szCs w:val="24"/>
                <w:lang w:val="en-US" w:eastAsia="zh-CN" w:bidi="ar-SA"/>
              </w:rPr>
              <w:t>联系人：王会君            联系电话：0374-2959795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名称：河南鼎华招标代理有限公司</w:t>
            </w:r>
          </w:p>
          <w:p>
            <w:pPr>
              <w:autoSpaceDE w:val="0"/>
              <w:autoSpaceDN w:val="0"/>
              <w:adjustRightInd w:val="0"/>
              <w:spacing w:line="360" w:lineRule="auto"/>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地址：许昌市新许路中段</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eastAsiaTheme="minorEastAsia"/>
                <w:kern w:val="2"/>
                <w:sz w:val="24"/>
                <w:szCs w:val="24"/>
                <w:lang w:val="en-US" w:eastAsia="zh-CN" w:bidi="ar-SA"/>
              </w:rPr>
              <w:t xml:space="preserve">联系人：冯建伟         </w:t>
            </w:r>
            <w:r>
              <w:rPr>
                <w:rFonts w:hint="eastAsia" w:cs="仿宋_GB2312" w:asciiTheme="minorEastAsia" w:hAnsiTheme="minorEastAsia"/>
                <w:kern w:val="2"/>
                <w:sz w:val="24"/>
                <w:szCs w:val="24"/>
                <w:lang w:val="en-US" w:eastAsia="zh-CN" w:bidi="ar-SA"/>
              </w:rPr>
              <w:t xml:space="preserve"> </w:t>
            </w:r>
            <w:r>
              <w:rPr>
                <w:rFonts w:hint="eastAsia" w:cs="仿宋_GB2312" w:asciiTheme="minorEastAsia" w:hAnsiTheme="minorEastAsia" w:eastAsiaTheme="minorEastAsia"/>
                <w:kern w:val="2"/>
                <w:sz w:val="24"/>
                <w:szCs w:val="24"/>
                <w:lang w:val="en-US" w:eastAsia="zh-CN" w:bidi="ar-SA"/>
              </w:rPr>
              <w:t xml:space="preserve">  联系电话：0374-5219779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七、须具有公安机关颁发的《保安服务许可证》；</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750000</w:t>
            </w:r>
            <w:r>
              <w:rPr>
                <w:rFonts w:hint="eastAsia" w:cs="宋体" w:asciiTheme="minorEastAsia" w:hAnsiTheme="minorEastAsia"/>
                <w:bCs/>
                <w:sz w:val="24"/>
                <w:szCs w:val="24"/>
                <w:lang w:val="zh-CN"/>
              </w:rPr>
              <w:t>元</w:t>
            </w:r>
            <w:r>
              <w:rPr>
                <w:rFonts w:hint="eastAsia" w:cs="宋体" w:asciiTheme="minorEastAsia" w:hAnsiTheme="minorEastAsia"/>
                <w:bCs/>
                <w:sz w:val="24"/>
                <w:szCs w:val="24"/>
                <w:lang w:val="en-US" w:eastAsia="zh-CN"/>
              </w:rPr>
              <w:t>/年</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6</w:t>
            </w:r>
            <w:r>
              <w:rPr>
                <w:rFonts w:hint="eastAsia" w:cs="宋体" w:asciiTheme="minorEastAsia" w:hAnsiTheme="minorEastAsia"/>
                <w:bCs/>
                <w:sz w:val="24"/>
                <w:szCs w:val="24"/>
                <w:lang w:val="zh-CN"/>
              </w:rPr>
              <w:t xml:space="preserve">月 </w:t>
            </w:r>
            <w:r>
              <w:rPr>
                <w:rFonts w:hint="eastAsia" w:cs="宋体" w:asciiTheme="minorEastAsia" w:hAnsiTheme="minorEastAsia"/>
                <w:bCs/>
                <w:sz w:val="24"/>
                <w:szCs w:val="24"/>
                <w:lang w:val="en-US" w:eastAsia="zh-CN"/>
              </w:rPr>
              <w:t>29</w:t>
            </w:r>
            <w:r>
              <w:rPr>
                <w:rFonts w:hint="eastAsia" w:cs="宋体" w:asciiTheme="minorEastAsia" w:hAnsiTheme="minorEastAsia"/>
                <w:bCs/>
                <w:sz w:val="24"/>
                <w:szCs w:val="24"/>
                <w:lang w:val="zh-CN"/>
              </w:rPr>
              <w:t xml:space="preserve">日 </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 xml:space="preserve"> 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三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金额：壹万伍仟元整（¥</w:t>
            </w:r>
            <w:r>
              <w:rPr>
                <w:rFonts w:hint="eastAsia" w:cs="仿宋_GB2312" w:asciiTheme="minorEastAsia" w:hAnsiTheme="minorEastAsia"/>
                <w:sz w:val="24"/>
                <w:szCs w:val="24"/>
                <w:lang w:val="en-US" w:eastAsia="zh-CN"/>
              </w:rPr>
              <w:t>15000</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lang w:eastAsia="zh-CN"/>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lang w:val="en-US" w:eastAsia="zh-CN"/>
              </w:rPr>
              <w:t>1.5</w:t>
            </w:r>
            <w:r>
              <w:rPr>
                <w:rFonts w:hint="eastAsia" w:cs="宋体" w:asciiTheme="minorEastAsia" w:hAnsiTheme="minorEastAsia"/>
                <w:color w:val="333333"/>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cs="仿宋_GB2312" w:asciiTheme="minorEastAsia" w:hAnsiTheme="minorEastAsia"/>
          <w:sz w:val="24"/>
          <w:szCs w:val="24"/>
          <w:lang w:eastAsia="zh-CN"/>
        </w:rPr>
        <w:t>一</w:t>
      </w:r>
      <w:r>
        <w:rPr>
          <w:rFonts w:hint="eastAsia" w:cs="仿宋_GB2312" w:asciiTheme="minorEastAsia" w:hAnsiTheme="minorEastAsia"/>
          <w:sz w:val="24"/>
          <w:szCs w:val="24"/>
        </w:rPr>
        <w:t>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 w:val="24"/>
                <w:szCs w:val="24"/>
                <w:lang w:val="en-US" w:eastAsia="zh-CN"/>
              </w:rPr>
            </w:pPr>
            <w:r>
              <w:rPr>
                <w:rFonts w:hint="eastAsia" w:asciiTheme="minorEastAsia" w:hAnsiTheme="minorEastAsia"/>
                <w:b/>
                <w:sz w:val="24"/>
                <w:szCs w:val="24"/>
                <w:lang w:val="en-US" w:eastAsia="zh-CN"/>
              </w:rPr>
              <w:t>13、须具有公安机关颁发的《保安服务许可证》；</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5"/>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386"/>
        <w:gridCol w:w="485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p>
            <w:pPr>
              <w:spacing w:line="360" w:lineRule="auto"/>
              <w:jc w:val="center"/>
              <w:rPr>
                <w:rFonts w:asciiTheme="minorEastAsia" w:hAnsiTheme="minorEastAsia"/>
                <w:sz w:val="24"/>
                <w:szCs w:val="24"/>
              </w:rPr>
            </w:pPr>
            <w:r>
              <w:rPr>
                <w:rFonts w:hint="eastAsia" w:asciiTheme="minorEastAsia" w:hAnsiTheme="minorEastAsia"/>
                <w:sz w:val="24"/>
                <w:szCs w:val="24"/>
              </w:rPr>
              <w:t>(总分100分)</w:t>
            </w:r>
          </w:p>
        </w:tc>
        <w:tc>
          <w:tcPr>
            <w:tcW w:w="7204" w:type="dxa"/>
            <w:gridSpan w:val="3"/>
            <w:vAlign w:val="center"/>
          </w:tcPr>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价格分值：</w:t>
            </w:r>
            <w:r>
              <w:rPr>
                <w:rFonts w:hint="eastAsia" w:asciiTheme="minorEastAsia" w:hAnsiTheme="minorEastAsia"/>
                <w:color w:val="000000" w:themeColor="text1"/>
                <w:sz w:val="24"/>
                <w:szCs w:val="24"/>
                <w:u w:val="single"/>
              </w:rPr>
              <w:t xml:space="preserve"> 1</w:t>
            </w:r>
            <w:r>
              <w:rPr>
                <w:rFonts w:asciiTheme="minorEastAsia" w:hAnsiTheme="minorEastAsia"/>
                <w:color w:val="000000" w:themeColor="text1"/>
                <w:sz w:val="24"/>
                <w:szCs w:val="24"/>
                <w:u w:val="single"/>
              </w:rPr>
              <w:t>5</w:t>
            </w:r>
            <w:r>
              <w:rPr>
                <w:rFonts w:hint="eastAsia" w:asciiTheme="minorEastAsia" w:hAnsiTheme="minorEastAsia"/>
                <w:color w:val="000000" w:themeColor="text1"/>
                <w:sz w:val="24"/>
                <w:szCs w:val="24"/>
              </w:rPr>
              <w:t>分</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商务部分：</w:t>
            </w:r>
            <w:r>
              <w:rPr>
                <w:rFonts w:hint="eastAsia" w:asciiTheme="minorEastAsia" w:hAnsiTheme="minorEastAsia"/>
                <w:color w:val="000000" w:themeColor="text1"/>
                <w:sz w:val="24"/>
                <w:szCs w:val="24"/>
                <w:u w:val="single"/>
                <w:lang w:val="en-US" w:eastAsia="zh-CN"/>
              </w:rPr>
              <w:t xml:space="preserve"> </w:t>
            </w:r>
            <w:r>
              <w:rPr>
                <w:rFonts w:asciiTheme="minorEastAsia" w:hAnsiTheme="minorEastAsia"/>
                <w:color w:val="000000" w:themeColor="text1"/>
                <w:sz w:val="24"/>
                <w:szCs w:val="24"/>
                <w:u w:val="single"/>
              </w:rPr>
              <w:t>40</w:t>
            </w:r>
            <w:r>
              <w:rPr>
                <w:rFonts w:hint="eastAsia" w:asciiTheme="minorEastAsia" w:hAnsiTheme="minorEastAsia"/>
                <w:color w:val="000000" w:themeColor="text1"/>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color w:val="000000" w:themeColor="text1"/>
                <w:sz w:val="24"/>
                <w:szCs w:val="24"/>
              </w:rPr>
              <w:t>技术部分：</w:t>
            </w:r>
            <w:r>
              <w:rPr>
                <w:rFonts w:hint="eastAsia" w:asciiTheme="minorEastAsia" w:hAnsiTheme="minorEastAsia"/>
                <w:color w:val="000000" w:themeColor="text1"/>
                <w:sz w:val="24"/>
                <w:szCs w:val="24"/>
                <w:u w:val="single"/>
              </w:rPr>
              <w:t xml:space="preserve"> </w:t>
            </w:r>
            <w:r>
              <w:rPr>
                <w:rFonts w:asciiTheme="minorEastAsia" w:hAnsiTheme="minorEastAsia"/>
                <w:color w:val="000000" w:themeColor="text1"/>
                <w:sz w:val="24"/>
                <w:szCs w:val="24"/>
                <w:u w:val="single"/>
              </w:rPr>
              <w:t>4</w:t>
            </w:r>
            <w:r>
              <w:rPr>
                <w:rFonts w:hint="eastAsia" w:asciiTheme="minorEastAsia" w:hAnsiTheme="minorEastAsia"/>
                <w:color w:val="000000" w:themeColor="text1"/>
                <w:sz w:val="24"/>
                <w:szCs w:val="24"/>
                <w:u w:val="single"/>
              </w:rPr>
              <w:t>5</w:t>
            </w:r>
            <w:r>
              <w:rPr>
                <w:rFonts w:hint="eastAsia" w:asciiTheme="minorEastAsia" w:hAnsiTheme="minorEastAsia"/>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4"/>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bCs/>
                <w:sz w:val="24"/>
                <w:szCs w:val="24"/>
              </w:rPr>
              <w:t>价格部分（满分1</w:t>
            </w:r>
            <w:r>
              <w:rPr>
                <w:rFonts w:hint="eastAsia" w:asciiTheme="minorEastAsia" w:hAnsiTheme="minorEastAsia"/>
                <w:b/>
                <w:bCs/>
                <w:sz w:val="24"/>
                <w:szCs w:val="24"/>
                <w:lang w:val="en-US" w:eastAsia="zh-CN"/>
              </w:rPr>
              <w:t>5</w:t>
            </w:r>
            <w:r>
              <w:rPr>
                <w:rFonts w:hint="eastAsia" w:asciiTheme="minorEastAsia" w:hAnsiTheme="minorEastAsia"/>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gridSpan w:val="2"/>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237" w:type="dxa"/>
            <w:gridSpan w:val="2"/>
            <w:tcBorders>
              <w:top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360" w:lineRule="auto"/>
              <w:rPr>
                <w:rFonts w:asciiTheme="minorEastAsia" w:hAnsiTheme="minorEastAsia"/>
                <w:sz w:val="24"/>
                <w:szCs w:val="24"/>
              </w:rPr>
            </w:pPr>
            <w:r>
              <w:rPr>
                <w:rFonts w:hint="eastAsia" w:asciiTheme="minorEastAsia" w:hAnsiTheme="minorEastAsia"/>
                <w:sz w:val="24"/>
                <w:szCs w:val="24"/>
              </w:rPr>
              <w:t>投标报价得分=（评标基准价/投标报价）×</w:t>
            </w:r>
            <w:r>
              <w:rPr>
                <w:rFonts w:hint="eastAsia" w:asciiTheme="minorEastAsia" w:hAnsiTheme="minorEastAsia"/>
                <w:sz w:val="24"/>
                <w:szCs w:val="24"/>
                <w:lang w:val="en-US" w:eastAsia="zh-CN"/>
              </w:rPr>
              <w:t>15</w:t>
            </w:r>
          </w:p>
        </w:tc>
        <w:tc>
          <w:tcPr>
            <w:tcW w:w="967" w:type="dxa"/>
            <w:tcBorders>
              <w:top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lang w:val="en-US" w:eastAsia="zh-CN"/>
              </w:rPr>
              <w:t>15</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4"/>
            <w:vAlign w:val="center"/>
          </w:tcPr>
          <w:p>
            <w:pPr>
              <w:jc w:val="center"/>
              <w:rPr>
                <w:rFonts w:asciiTheme="minorEastAsia" w:hAnsiTheme="minorEastAsia"/>
                <w:b/>
                <w:sz w:val="24"/>
                <w:szCs w:val="24"/>
              </w:rPr>
            </w:pPr>
            <w:r>
              <w:rPr>
                <w:rFonts w:hint="eastAsia" w:asciiTheme="minorEastAsia" w:hAnsiTheme="minorEastAsia"/>
                <w:b/>
                <w:sz w:val="24"/>
                <w:szCs w:val="24"/>
              </w:rPr>
              <w:t>商务部分（满分</w:t>
            </w:r>
            <w:r>
              <w:rPr>
                <w:rFonts w:hint="eastAsia" w:asciiTheme="minorEastAsia" w:hAnsiTheme="minorEastAsia"/>
                <w:b/>
                <w:color w:val="FF0000"/>
                <w:sz w:val="24"/>
                <w:szCs w:val="24"/>
                <w:u w:val="single"/>
                <w:lang w:val="en-US" w:eastAsia="zh-CN"/>
              </w:rPr>
              <w:t>40</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gridSpan w:val="2"/>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762" w:type="dxa"/>
            <w:vMerge w:val="restart"/>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企业综</w:t>
            </w:r>
          </w:p>
          <w:p>
            <w:pPr>
              <w:spacing w:line="360" w:lineRule="exact"/>
              <w:jc w:val="center"/>
              <w:rPr>
                <w:rFonts w:asciiTheme="minorEastAsia" w:hAnsiTheme="minorEastAsia"/>
                <w:sz w:val="24"/>
                <w:szCs w:val="24"/>
              </w:rPr>
            </w:pPr>
            <w:r>
              <w:rPr>
                <w:rFonts w:hint="eastAsia" w:asciiTheme="minorEastAsia" w:hAnsiTheme="minorEastAsia"/>
                <w:sz w:val="24"/>
                <w:szCs w:val="24"/>
              </w:rPr>
              <w:t>合实力</w:t>
            </w:r>
          </w:p>
        </w:tc>
        <w:tc>
          <w:tcPr>
            <w:tcW w:w="1386" w:type="dxa"/>
            <w:vAlign w:val="center"/>
          </w:tcPr>
          <w:p>
            <w:pPr>
              <w:spacing w:line="360" w:lineRule="auto"/>
              <w:jc w:val="center"/>
              <w:rPr>
                <w:rFonts w:ascii="宋体" w:hAnsi="宋体"/>
                <w:color w:val="000000"/>
                <w:sz w:val="24"/>
                <w:szCs w:val="24"/>
                <w:lang w:val="en-GB"/>
              </w:rPr>
            </w:pPr>
            <w:r>
              <w:rPr>
                <w:rFonts w:hint="eastAsia" w:asciiTheme="minorEastAsia" w:hAnsiTheme="minorEastAsia"/>
                <w:sz w:val="24"/>
                <w:szCs w:val="24"/>
              </w:rPr>
              <w:t>项目人员配置（</w:t>
            </w:r>
            <w:r>
              <w:rPr>
                <w:rFonts w:asciiTheme="minorEastAsia" w:hAnsiTheme="minorEastAsia"/>
                <w:sz w:val="24"/>
                <w:szCs w:val="24"/>
              </w:rPr>
              <w:t>1</w:t>
            </w:r>
            <w:r>
              <w:rPr>
                <w:rFonts w:hint="eastAsia" w:asciiTheme="minorEastAsia" w:hAnsiTheme="minorEastAsia"/>
                <w:sz w:val="24"/>
                <w:szCs w:val="24"/>
                <w:lang w:val="en-US" w:eastAsia="zh-CN"/>
              </w:rPr>
              <w:t>7</w:t>
            </w:r>
            <w:r>
              <w:rPr>
                <w:rFonts w:hint="eastAsia" w:asciiTheme="minorEastAsia" w:hAnsiTheme="minorEastAsia"/>
                <w:sz w:val="24"/>
                <w:szCs w:val="24"/>
              </w:rPr>
              <w:t>分）</w:t>
            </w:r>
          </w:p>
        </w:tc>
        <w:tc>
          <w:tcPr>
            <w:tcW w:w="4851" w:type="dxa"/>
            <w:vAlign w:val="center"/>
          </w:tcPr>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w:t>
            </w:r>
            <w:r>
              <w:rPr>
                <w:rFonts w:hint="eastAsia" w:asciiTheme="minorEastAsia" w:hAnsiTheme="minorEastAsia"/>
                <w:sz w:val="24"/>
                <w:szCs w:val="24"/>
                <w:lang w:eastAsia="zh-CN"/>
              </w:rPr>
              <w:t>保安配置人员满足招标文件所需保安人员人数的不得分，每多配置一名保安人员的得</w:t>
            </w:r>
            <w:r>
              <w:rPr>
                <w:rFonts w:hint="eastAsia" w:asciiTheme="minorEastAsia" w:hAnsiTheme="minorEastAsia"/>
                <w:sz w:val="24"/>
                <w:szCs w:val="24"/>
                <w:lang w:val="en-US" w:eastAsia="zh-CN"/>
              </w:rPr>
              <w:t>1分，最高得9分。</w:t>
            </w:r>
          </w:p>
          <w:p>
            <w:pPr>
              <w:spacing w:line="360" w:lineRule="auto"/>
              <w:rPr>
                <w:rFonts w:ascii="宋体" w:hAnsi="宋体"/>
                <w:color w:val="000000"/>
                <w:sz w:val="24"/>
                <w:szCs w:val="24"/>
                <w:lang w:val="en-GB"/>
              </w:rPr>
            </w:pPr>
            <w:r>
              <w:rPr>
                <w:rFonts w:hint="eastAsia" w:asciiTheme="minorEastAsia" w:hAnsiTheme="minorEastAsia"/>
                <w:sz w:val="24"/>
                <w:szCs w:val="24"/>
                <w:lang w:eastAsia="zh-CN"/>
              </w:rPr>
              <w:t>2、本项目所需保安队员取得中华人民共和国《保安上岗证》，每</w:t>
            </w:r>
            <w:r>
              <w:rPr>
                <w:rFonts w:hint="eastAsia" w:asciiTheme="minorEastAsia" w:hAnsiTheme="minorEastAsia"/>
                <w:sz w:val="24"/>
                <w:szCs w:val="24"/>
                <w:lang w:val="en-US" w:eastAsia="zh-CN"/>
              </w:rPr>
              <w:t>2</w:t>
            </w:r>
            <w:r>
              <w:rPr>
                <w:rFonts w:hint="eastAsia" w:asciiTheme="minorEastAsia" w:hAnsiTheme="minorEastAsia"/>
                <w:sz w:val="24"/>
                <w:szCs w:val="24"/>
                <w:lang w:eastAsia="zh-CN"/>
              </w:rPr>
              <w:t>人得1分，最多得</w:t>
            </w:r>
            <w:r>
              <w:rPr>
                <w:rFonts w:hint="eastAsia" w:asciiTheme="minorEastAsia" w:hAnsiTheme="minorEastAsia"/>
                <w:sz w:val="24"/>
                <w:szCs w:val="24"/>
                <w:lang w:val="en-US" w:eastAsia="zh-CN"/>
              </w:rPr>
              <w:t>8</w:t>
            </w:r>
            <w:r>
              <w:rPr>
                <w:rFonts w:hint="eastAsia" w:asciiTheme="minorEastAsia" w:hAnsiTheme="minorEastAsia"/>
                <w:sz w:val="24"/>
                <w:szCs w:val="24"/>
                <w:lang w:eastAsia="zh-CN"/>
              </w:rPr>
              <w:t>分。</w:t>
            </w:r>
          </w:p>
        </w:tc>
        <w:tc>
          <w:tcPr>
            <w:tcW w:w="967" w:type="dxa"/>
            <w:vMerge w:val="restart"/>
            <w:vAlign w:val="center"/>
          </w:tcPr>
          <w:p>
            <w:pPr>
              <w:jc w:val="center"/>
              <w:rPr>
                <w:rFonts w:hint="eastAsia" w:asciiTheme="minorEastAsia" w:hAnsiTheme="minorEastAsia"/>
                <w:sz w:val="24"/>
                <w:szCs w:val="24"/>
                <w:lang w:val="en-GB"/>
              </w:rPr>
            </w:pPr>
            <w:r>
              <w:rPr>
                <w:rFonts w:hint="eastAsia" w:asciiTheme="minorEastAsia" w:hAnsiTheme="minorEastAsia"/>
                <w:sz w:val="24"/>
                <w:szCs w:val="24"/>
                <w:lang w:val="en-US" w:eastAsia="zh-CN"/>
              </w:rPr>
              <w:t>26</w:t>
            </w:r>
            <w:r>
              <w:rPr>
                <w:rFonts w:hint="eastAsia" w:asciiTheme="minorEastAsia" w:hAnsiTheme="minorEastAsia"/>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762" w:type="dxa"/>
            <w:vMerge w:val="continue"/>
            <w:vAlign w:val="center"/>
          </w:tcPr>
          <w:p>
            <w:pPr>
              <w:spacing w:line="360" w:lineRule="auto"/>
            </w:pPr>
          </w:p>
        </w:tc>
        <w:tc>
          <w:tcPr>
            <w:tcW w:w="1386"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企业</w:t>
            </w:r>
          </w:p>
          <w:p>
            <w:pPr>
              <w:spacing w:line="360" w:lineRule="auto"/>
              <w:jc w:val="center"/>
              <w:rPr>
                <w:rFonts w:asciiTheme="minorEastAsia" w:hAnsiTheme="minorEastAsia"/>
                <w:sz w:val="24"/>
                <w:szCs w:val="24"/>
              </w:rPr>
            </w:pPr>
            <w:r>
              <w:rPr>
                <w:rFonts w:hint="eastAsia" w:asciiTheme="minorEastAsia" w:hAnsiTheme="minorEastAsia"/>
                <w:sz w:val="24"/>
                <w:szCs w:val="24"/>
              </w:rPr>
              <w:t>荣誉</w:t>
            </w:r>
          </w:p>
          <w:p>
            <w:pPr>
              <w:spacing w:line="360" w:lineRule="auto"/>
              <w:jc w:val="center"/>
            </w:pPr>
            <w:r>
              <w:rPr>
                <w:rFonts w:hint="eastAsia" w:asciiTheme="minorEastAsia" w:hAnsiTheme="minorEastAsia"/>
                <w:sz w:val="24"/>
                <w:szCs w:val="24"/>
              </w:rPr>
              <w:t>（9分）</w:t>
            </w:r>
          </w:p>
        </w:tc>
        <w:tc>
          <w:tcPr>
            <w:tcW w:w="4851" w:type="dxa"/>
            <w:vAlign w:val="top"/>
          </w:tcPr>
          <w:p>
            <w:pPr>
              <w:spacing w:line="360" w:lineRule="auto"/>
              <w:jc w:val="left"/>
              <w:rPr>
                <w:rFonts w:ascii="宋体" w:hAnsi="宋体"/>
                <w:color w:val="000000"/>
                <w:sz w:val="24"/>
                <w:szCs w:val="24"/>
                <w:lang w:val="en-GB"/>
              </w:rPr>
            </w:pPr>
            <w:r>
              <w:rPr>
                <w:rFonts w:hint="eastAsia" w:asciiTheme="minorEastAsia" w:hAnsiTheme="minorEastAsia"/>
                <w:sz w:val="24"/>
                <w:szCs w:val="24"/>
              </w:rPr>
              <w:t>自20</w:t>
            </w:r>
            <w:r>
              <w:rPr>
                <w:rFonts w:hint="eastAsia" w:asciiTheme="minorEastAsia" w:hAnsiTheme="minorEastAsia"/>
                <w:sz w:val="24"/>
                <w:szCs w:val="24"/>
                <w:lang w:val="en-US" w:eastAsia="zh-CN"/>
              </w:rPr>
              <w:t>00</w:t>
            </w:r>
            <w:r>
              <w:rPr>
                <w:rFonts w:hint="eastAsia" w:asciiTheme="minorEastAsia" w:hAnsiTheme="minorEastAsia"/>
                <w:sz w:val="24"/>
                <w:szCs w:val="24"/>
              </w:rPr>
              <w:t>年以来（以获奖年度为准），获得地市级及以上行业主管部门表彰、荣誉的每项得3分，本项最高得9分。</w:t>
            </w:r>
          </w:p>
        </w:tc>
        <w:tc>
          <w:tcPr>
            <w:tcW w:w="967" w:type="dxa"/>
            <w:vMerge w:val="continue"/>
            <w:vAlign w:val="center"/>
          </w:tcPr>
          <w:p>
            <w:pPr>
              <w:spacing w:line="360" w:lineRule="auto"/>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eastAsia="zh-CN"/>
              </w:rPr>
              <w:t>业绩</w:t>
            </w:r>
          </w:p>
        </w:tc>
        <w:tc>
          <w:tcPr>
            <w:tcW w:w="6237" w:type="dxa"/>
            <w:gridSpan w:val="2"/>
            <w:vAlign w:val="center"/>
          </w:tcPr>
          <w:p>
            <w:pPr>
              <w:spacing w:line="360" w:lineRule="auto"/>
              <w:jc w:val="left"/>
              <w:rPr>
                <w:rFonts w:hint="eastAsia" w:asciiTheme="minorEastAsia" w:hAnsiTheme="minorEastAsia"/>
                <w:sz w:val="24"/>
                <w:szCs w:val="24"/>
                <w:lang w:eastAsia="zh-CN"/>
              </w:rPr>
            </w:pPr>
            <w:r>
              <w:rPr>
                <w:rFonts w:hint="eastAsia" w:ascii="宋体" w:hAnsi="宋体" w:cs="宋体"/>
                <w:sz w:val="24"/>
                <w:szCs w:val="24"/>
              </w:rPr>
              <w:t>投标人提供自</w:t>
            </w:r>
            <w:r>
              <w:rPr>
                <w:rFonts w:ascii="宋体" w:hAnsi="宋体" w:cs="宋体"/>
                <w:sz w:val="24"/>
                <w:szCs w:val="24"/>
              </w:rPr>
              <w:t>2014</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月份</w:t>
            </w:r>
            <w:r>
              <w:rPr>
                <w:rFonts w:ascii="宋体" w:hAnsi="宋体" w:cs="宋体"/>
                <w:sz w:val="24"/>
                <w:szCs w:val="24"/>
              </w:rPr>
              <w:t>(</w:t>
            </w:r>
            <w:r>
              <w:rPr>
                <w:rFonts w:hint="eastAsia" w:ascii="宋体" w:hAnsi="宋体" w:cs="宋体"/>
                <w:sz w:val="24"/>
                <w:szCs w:val="24"/>
              </w:rPr>
              <w:t>以</w:t>
            </w:r>
            <w:r>
              <w:rPr>
                <w:rFonts w:hint="eastAsia" w:ascii="宋体" w:hAnsi="宋体" w:cs="宋体"/>
                <w:sz w:val="24"/>
                <w:szCs w:val="24"/>
                <w:lang w:eastAsia="zh-CN"/>
              </w:rPr>
              <w:t>合同签订日期</w:t>
            </w:r>
            <w:r>
              <w:rPr>
                <w:rFonts w:hint="eastAsia" w:ascii="宋体" w:hAnsi="宋体" w:cs="宋体"/>
                <w:sz w:val="24"/>
                <w:szCs w:val="24"/>
              </w:rPr>
              <w:t>为准</w:t>
            </w:r>
            <w:r>
              <w:rPr>
                <w:rFonts w:ascii="宋体" w:hAnsi="宋体" w:cs="宋体"/>
                <w:sz w:val="24"/>
                <w:szCs w:val="24"/>
              </w:rPr>
              <w:t>)</w:t>
            </w:r>
            <w:r>
              <w:rPr>
                <w:rFonts w:hint="eastAsia" w:ascii="宋体" w:hAnsi="宋体" w:cs="宋体"/>
                <w:sz w:val="24"/>
                <w:szCs w:val="24"/>
              </w:rPr>
              <w:t>以来承担类似项目且合同金额不低于</w:t>
            </w:r>
            <w:r>
              <w:rPr>
                <w:rFonts w:ascii="宋体" w:hAnsi="宋体" w:cs="宋体"/>
                <w:sz w:val="24"/>
                <w:szCs w:val="24"/>
              </w:rPr>
              <w:t>750000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年的，每份合同得</w:t>
            </w:r>
            <w:r>
              <w:rPr>
                <w:rFonts w:hint="eastAsia" w:ascii="宋体" w:hAnsi="宋体" w:cs="宋体"/>
                <w:sz w:val="24"/>
                <w:szCs w:val="24"/>
                <w:lang w:val="en-US" w:eastAsia="zh-CN"/>
              </w:rPr>
              <w:t>2</w:t>
            </w:r>
            <w:r>
              <w:rPr>
                <w:rFonts w:hint="eastAsia" w:ascii="宋体" w:hAnsi="宋体" w:cs="宋体"/>
                <w:sz w:val="24"/>
                <w:szCs w:val="24"/>
              </w:rPr>
              <w:t>分，最高得</w:t>
            </w:r>
            <w:r>
              <w:rPr>
                <w:rFonts w:hint="eastAsia" w:ascii="宋体" w:hAnsi="宋体" w:cs="宋体"/>
                <w:sz w:val="24"/>
                <w:szCs w:val="24"/>
                <w:lang w:val="en-US" w:eastAsia="zh-CN"/>
              </w:rPr>
              <w:t>10</w:t>
            </w:r>
            <w:r>
              <w:rPr>
                <w:rFonts w:hint="eastAsia" w:ascii="宋体" w:hAnsi="宋体" w:cs="宋体"/>
                <w:sz w:val="24"/>
                <w:szCs w:val="24"/>
              </w:rPr>
              <w:t>分。</w:t>
            </w:r>
          </w:p>
        </w:tc>
        <w:tc>
          <w:tcPr>
            <w:tcW w:w="967"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10</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eastAsia="zh-CN"/>
              </w:rPr>
              <w:t>投标文件的规范程度</w:t>
            </w:r>
          </w:p>
        </w:tc>
        <w:tc>
          <w:tcPr>
            <w:tcW w:w="6237" w:type="dxa"/>
            <w:gridSpan w:val="2"/>
            <w:vAlign w:val="center"/>
          </w:tcPr>
          <w:p>
            <w:pPr>
              <w:spacing w:line="360" w:lineRule="auto"/>
              <w:jc w:val="left"/>
              <w:rPr>
                <w:rFonts w:hint="eastAsia" w:ascii="宋体" w:hAnsi="宋体" w:cs="Courier New"/>
                <w:bCs/>
                <w:color w:val="000000"/>
                <w:sz w:val="24"/>
              </w:rPr>
            </w:pPr>
            <w:r>
              <w:rPr>
                <w:rFonts w:hint="eastAsia" w:asciiTheme="minorEastAsia" w:hAnsiTheme="minorEastAsia"/>
                <w:sz w:val="24"/>
                <w:szCs w:val="24"/>
                <w:lang w:val="en-US" w:eastAsia="zh-CN"/>
              </w:rPr>
              <w:t>1、</w:t>
            </w:r>
            <w:r>
              <w:rPr>
                <w:rFonts w:hint="eastAsia" w:ascii="宋体" w:hAnsi="宋体" w:cs="Courier New"/>
                <w:bCs/>
                <w:color w:val="000000"/>
                <w:sz w:val="24"/>
              </w:rPr>
              <w:t>投标文件的编制符合招标文件的规定，装订整齐规范的，得</w:t>
            </w:r>
            <w:r>
              <w:rPr>
                <w:rFonts w:hint="eastAsia" w:ascii="宋体" w:hAnsi="宋体" w:cs="Courier New"/>
                <w:bCs/>
                <w:color w:val="000000"/>
                <w:sz w:val="24"/>
                <w:lang w:val="en-US" w:eastAsia="zh-CN"/>
              </w:rPr>
              <w:t>2</w:t>
            </w:r>
            <w:r>
              <w:rPr>
                <w:rFonts w:hint="eastAsia" w:ascii="宋体" w:hAnsi="宋体" w:cs="Courier New"/>
                <w:bCs/>
                <w:color w:val="000000"/>
                <w:sz w:val="24"/>
              </w:rPr>
              <w:t>分；不满足不得分。</w:t>
            </w:r>
          </w:p>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val="en-US" w:eastAsia="zh-CN"/>
              </w:rPr>
              <w:t>2、</w:t>
            </w:r>
            <w:r>
              <w:rPr>
                <w:rFonts w:hint="eastAsia" w:ascii="宋体" w:hAnsi="宋体" w:cs="Courier New"/>
                <w:bCs/>
                <w:color w:val="000000"/>
                <w:sz w:val="24"/>
              </w:rPr>
              <w:t>投标人编制投标文件逻辑严紧、描述规范、无文字错误的，得</w:t>
            </w:r>
            <w:r>
              <w:rPr>
                <w:rFonts w:hint="eastAsia" w:ascii="宋体" w:hAnsi="宋体" w:cs="Courier New"/>
                <w:bCs/>
                <w:color w:val="000000"/>
                <w:sz w:val="24"/>
                <w:lang w:val="en-US" w:eastAsia="zh-CN"/>
              </w:rPr>
              <w:t>2</w:t>
            </w:r>
            <w:r>
              <w:rPr>
                <w:rFonts w:hint="eastAsia" w:ascii="宋体" w:hAnsi="宋体" w:cs="Courier New"/>
                <w:bCs/>
                <w:color w:val="000000"/>
                <w:sz w:val="24"/>
              </w:rPr>
              <w:t>分；不满足不得分。</w:t>
            </w:r>
          </w:p>
        </w:tc>
        <w:tc>
          <w:tcPr>
            <w:tcW w:w="967"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4</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4"/>
            <w:vAlign w:val="center"/>
          </w:tcPr>
          <w:p>
            <w:pPr>
              <w:jc w:val="center"/>
              <w:rPr>
                <w:rFonts w:asciiTheme="minorEastAsia" w:hAnsiTheme="minorEastAsia"/>
                <w:b/>
                <w:sz w:val="24"/>
                <w:szCs w:val="24"/>
              </w:rPr>
            </w:pPr>
            <w:r>
              <w:rPr>
                <w:rFonts w:hint="eastAsia" w:asciiTheme="minorEastAsia" w:hAnsiTheme="minorEastAsia"/>
                <w:b/>
                <w:sz w:val="24"/>
                <w:szCs w:val="24"/>
              </w:rPr>
              <w:t>技术部分（满分</w:t>
            </w:r>
            <w:r>
              <w:rPr>
                <w:rFonts w:hint="eastAsia" w:asciiTheme="minorEastAsia" w:hAnsiTheme="minorEastAsia"/>
                <w:b/>
                <w:sz w:val="24"/>
                <w:szCs w:val="24"/>
                <w:lang w:val="en-US" w:eastAsia="zh-CN"/>
              </w:rPr>
              <w:t>45</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gridSpan w:val="2"/>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项目实施</w:t>
            </w:r>
          </w:p>
          <w:p>
            <w:pPr>
              <w:jc w:val="center"/>
              <w:rPr>
                <w:rFonts w:ascii="仿宋" w:hAnsi="仿宋" w:eastAsia="仿宋"/>
                <w:sz w:val="24"/>
                <w:szCs w:val="24"/>
              </w:rPr>
            </w:pPr>
            <w:r>
              <w:rPr>
                <w:rFonts w:hint="eastAsia" w:asciiTheme="minorEastAsia" w:hAnsiTheme="minorEastAsia"/>
                <w:sz w:val="24"/>
                <w:szCs w:val="24"/>
              </w:rPr>
              <w:t>方案</w:t>
            </w:r>
          </w:p>
        </w:tc>
        <w:tc>
          <w:tcPr>
            <w:tcW w:w="6237" w:type="dxa"/>
            <w:gridSpan w:val="2"/>
            <w:vAlign w:val="center"/>
          </w:tcPr>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1、能提供详细、完整、全面的具体工作实施方案得8分；有相关描述的得3分，没有不得分。</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2、岗位配置合理，投入保安服务人员有明确的岗位职责分工描述的得8分；有相关描述的得3分；没有不得分。</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3、有完善的岗位职责制度以及健全的企业内部管理规章制度，得8分，有相关描述的得3分，不提供者不得分。</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4、投入的保安服务人员年龄在18－45周岁以内，完全满足得8分，不满足不得分。</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5、结合招标人实际特点，能够制定合理、可行的应急预案得8分，有相关描述的得3分，不提供者不得分。</w:t>
            </w:r>
          </w:p>
        </w:tc>
        <w:tc>
          <w:tcPr>
            <w:tcW w:w="967" w:type="dxa"/>
            <w:vAlign w:val="center"/>
          </w:tcPr>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 w:val="24"/>
                <w:szCs w:val="24"/>
                <w:highlight w:val="none"/>
              </w:rPr>
            </w:pPr>
            <w:r>
              <w:rPr>
                <w:rFonts w:hint="eastAsia" w:asciiTheme="minorEastAsia" w:hAnsiTheme="minorEastAsia"/>
                <w:sz w:val="24"/>
                <w:szCs w:val="24"/>
                <w:highlight w:val="none"/>
              </w:rPr>
              <w:t>售后服务方案</w:t>
            </w:r>
          </w:p>
          <w:p>
            <w:pPr>
              <w:spacing w:line="360" w:lineRule="auto"/>
              <w:jc w:val="center"/>
              <w:rPr>
                <w:rFonts w:ascii="仿宋" w:hAnsi="仿宋" w:eastAsia="仿宋"/>
                <w:sz w:val="24"/>
                <w:szCs w:val="24"/>
                <w:highlight w:val="none"/>
              </w:rPr>
            </w:pPr>
            <w:r>
              <w:rPr>
                <w:rFonts w:hint="eastAsia" w:asciiTheme="minorEastAsia" w:hAnsiTheme="minorEastAsia"/>
                <w:sz w:val="24"/>
                <w:szCs w:val="24"/>
                <w:highlight w:val="none"/>
              </w:rPr>
              <w:t>及承诺</w:t>
            </w:r>
          </w:p>
        </w:tc>
        <w:tc>
          <w:tcPr>
            <w:tcW w:w="6237" w:type="dxa"/>
            <w:gridSpan w:val="2"/>
            <w:vAlign w:val="center"/>
          </w:tcPr>
          <w:p>
            <w:pPr>
              <w:spacing w:line="360" w:lineRule="auto"/>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除满足本招标文件内对保安服务的所有实质性要求之外还有其他服务承诺且完整、可行的得5分，有相关描述的得2分，没有不得分。</w:t>
            </w:r>
          </w:p>
        </w:tc>
        <w:tc>
          <w:tcPr>
            <w:tcW w:w="967" w:type="dxa"/>
            <w:vAlign w:val="center"/>
          </w:tcPr>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ind w:firstLine="482" w:firstLineChars="200"/>
        <w:jc w:val="center"/>
        <w:rPr>
          <w:rFonts w:hint="eastAsia" w:ascii="宋体" w:hAnsi="宋体" w:cs="微软雅黑"/>
          <w:b/>
          <w:bCs/>
          <w:sz w:val="24"/>
          <w:szCs w:val="24"/>
        </w:rPr>
      </w:pPr>
      <w:r>
        <w:rPr>
          <w:rFonts w:hint="eastAsia" w:ascii="宋体" w:hAnsi="宋体" w:cs="微软雅黑"/>
          <w:b/>
          <w:bCs/>
          <w:sz w:val="24"/>
          <w:szCs w:val="24"/>
        </w:rPr>
        <w:t>最终签定合同的主要条款不能与招标文件有冲突）</w:t>
      </w:r>
    </w:p>
    <w:p>
      <w:pPr>
        <w:spacing w:line="360" w:lineRule="auto"/>
        <w:ind w:firstLine="480" w:firstLineChars="200"/>
        <w:jc w:val="both"/>
        <w:rPr>
          <w:rFonts w:ascii="宋体" w:hAnsi="宋体"/>
          <w:sz w:val="24"/>
        </w:rPr>
      </w:pPr>
      <w:r>
        <w:rPr>
          <w:rFonts w:hint="eastAsia" w:ascii="宋体" w:hAnsi="宋体"/>
          <w:sz w:val="24"/>
        </w:rPr>
        <w:t>1. 定义</w:t>
      </w:r>
    </w:p>
    <w:p>
      <w:pPr>
        <w:spacing w:line="360" w:lineRule="auto"/>
        <w:ind w:firstLine="480" w:firstLineChars="200"/>
        <w:rPr>
          <w:rFonts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sz w:val="24"/>
        </w:rPr>
      </w:pPr>
      <w:r>
        <w:rPr>
          <w:rFonts w:hint="eastAsia" w:ascii="宋体" w:hAnsi="宋体"/>
          <w:sz w:val="24"/>
        </w:rPr>
        <w:t xml:space="preserve">1.2“合同价格”系指根据合同规定，在乙方全面正确地履行合同义务时应支付给乙方的款项。 </w:t>
      </w:r>
    </w:p>
    <w:p>
      <w:pPr>
        <w:spacing w:line="360" w:lineRule="auto"/>
        <w:ind w:firstLine="480" w:firstLineChars="200"/>
        <w:rPr>
          <w:rFonts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ascii="宋体" w:hAnsi="宋体"/>
          <w:sz w:val="24"/>
        </w:rPr>
      </w:pPr>
      <w:r>
        <w:rPr>
          <w:rFonts w:hint="eastAsia" w:ascii="宋体" w:hAnsi="宋体"/>
          <w:sz w:val="24"/>
        </w:rPr>
        <w:t>1.4“乙方”系指中标后提供合同服务的</w:t>
      </w:r>
      <w:r>
        <w:rPr>
          <w:rFonts w:hint="eastAsia" w:ascii="宋体" w:hAnsi="宋体"/>
          <w:bCs/>
          <w:sz w:val="24"/>
        </w:rPr>
        <w:t>中标方</w:t>
      </w:r>
      <w:r>
        <w:rPr>
          <w:rFonts w:hint="eastAsia" w:ascii="宋体" w:hAnsi="宋体"/>
          <w:sz w:val="24"/>
        </w:rPr>
        <w:t>或供应商。</w:t>
      </w:r>
    </w:p>
    <w:p>
      <w:pPr>
        <w:spacing w:line="360" w:lineRule="auto"/>
        <w:ind w:firstLine="480" w:firstLineChars="200"/>
        <w:rPr>
          <w:rFonts w:ascii="宋体" w:hAnsi="宋体"/>
          <w:sz w:val="24"/>
        </w:rPr>
      </w:pPr>
      <w:r>
        <w:rPr>
          <w:rFonts w:hint="eastAsia" w:ascii="宋体" w:hAnsi="宋体"/>
          <w:sz w:val="24"/>
        </w:rPr>
        <w:t>2.适用范围</w:t>
      </w:r>
    </w:p>
    <w:p>
      <w:pPr>
        <w:spacing w:line="360" w:lineRule="auto"/>
        <w:ind w:firstLine="480" w:firstLineChars="200"/>
        <w:rPr>
          <w:rFonts w:ascii="宋体" w:hAnsi="宋体"/>
          <w:sz w:val="24"/>
        </w:rPr>
      </w:pPr>
      <w:r>
        <w:rPr>
          <w:rFonts w:hint="eastAsia" w:ascii="宋体" w:hAnsi="宋体"/>
          <w:sz w:val="24"/>
        </w:rPr>
        <w:t>本合同条款仅适用于本次招标活动。</w:t>
      </w:r>
    </w:p>
    <w:p>
      <w:pPr>
        <w:spacing w:line="360" w:lineRule="auto"/>
        <w:ind w:firstLine="480" w:firstLineChars="200"/>
        <w:rPr>
          <w:rFonts w:ascii="宋体" w:hAnsi="宋体"/>
          <w:sz w:val="24"/>
        </w:rPr>
      </w:pPr>
      <w:r>
        <w:rPr>
          <w:rFonts w:hint="eastAsia" w:ascii="宋体" w:hAnsi="宋体"/>
          <w:sz w:val="24"/>
        </w:rPr>
        <w:t>3.技术规格和标准</w:t>
      </w:r>
    </w:p>
    <w:p>
      <w:pPr>
        <w:pStyle w:val="15"/>
        <w:spacing w:line="360" w:lineRule="auto"/>
        <w:ind w:firstLine="480"/>
        <w:rPr>
          <w:rFonts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spacing w:line="360" w:lineRule="auto"/>
        <w:ind w:firstLine="480" w:firstLineChars="200"/>
        <w:rPr>
          <w:rFonts w:ascii="宋体" w:hAnsi="宋体"/>
          <w:sz w:val="24"/>
        </w:rPr>
      </w:pPr>
      <w:r>
        <w:rPr>
          <w:rFonts w:hint="eastAsia" w:ascii="宋体" w:hAnsi="宋体"/>
          <w:sz w:val="24"/>
        </w:rPr>
        <w:t>4.合同期限</w:t>
      </w:r>
    </w:p>
    <w:p>
      <w:pPr>
        <w:spacing w:line="360" w:lineRule="auto"/>
        <w:ind w:firstLine="480" w:firstLineChars="200"/>
        <w:rPr>
          <w:rFonts w:ascii="宋体" w:hAnsi="宋体"/>
          <w:sz w:val="24"/>
        </w:rPr>
      </w:pPr>
      <w:r>
        <w:rPr>
          <w:rFonts w:hint="eastAsia" w:ascii="宋体" w:hAnsi="宋体"/>
          <w:sz w:val="24"/>
        </w:rPr>
        <w:t>即自</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日起至</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日止。</w:t>
      </w:r>
    </w:p>
    <w:p>
      <w:pPr>
        <w:spacing w:line="360" w:lineRule="auto"/>
        <w:ind w:firstLine="480" w:firstLineChars="200"/>
        <w:rPr>
          <w:rFonts w:ascii="宋体" w:hAnsi="宋体"/>
          <w:sz w:val="24"/>
        </w:rPr>
      </w:pPr>
      <w:r>
        <w:rPr>
          <w:rFonts w:hint="eastAsia" w:ascii="宋体" w:hAnsi="宋体"/>
          <w:sz w:val="24"/>
        </w:rPr>
        <w:t>5.价格</w:t>
      </w:r>
    </w:p>
    <w:p>
      <w:pPr>
        <w:spacing w:line="360" w:lineRule="auto"/>
        <w:ind w:firstLine="480" w:firstLineChars="200"/>
        <w:rPr>
          <w:rFonts w:ascii="宋体" w:hAnsi="宋体"/>
          <w:sz w:val="24"/>
        </w:rPr>
      </w:pPr>
      <w:r>
        <w:rPr>
          <w:rFonts w:hint="eastAsia" w:ascii="宋体" w:hAnsi="宋体"/>
          <w:sz w:val="24"/>
        </w:rPr>
        <w:t>除非合同中另有规定，乙方为其所提供货物设备和服务而要求甲方支付的金额应与其投标报价一致。</w:t>
      </w:r>
    </w:p>
    <w:p>
      <w:pPr>
        <w:spacing w:line="360" w:lineRule="auto"/>
        <w:ind w:firstLine="480" w:firstLineChars="200"/>
        <w:rPr>
          <w:rFonts w:ascii="宋体" w:hAnsi="宋体"/>
          <w:sz w:val="24"/>
        </w:rPr>
      </w:pPr>
      <w:r>
        <w:rPr>
          <w:rFonts w:hint="eastAsia" w:ascii="宋体" w:hAnsi="宋体"/>
          <w:sz w:val="24"/>
        </w:rPr>
        <w:t>6.索赔</w:t>
      </w:r>
    </w:p>
    <w:p>
      <w:pPr>
        <w:spacing w:line="360" w:lineRule="auto"/>
        <w:ind w:firstLine="480" w:firstLineChars="200"/>
        <w:rPr>
          <w:rFonts w:ascii="宋体" w:hAnsi="宋体"/>
          <w:sz w:val="24"/>
        </w:rPr>
      </w:pPr>
      <w:r>
        <w:rPr>
          <w:rFonts w:hint="eastAsia" w:ascii="宋体" w:hAnsi="宋体"/>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sz w:val="24"/>
        </w:rPr>
      </w:pPr>
      <w:r>
        <w:rPr>
          <w:rFonts w:hint="eastAsia" w:ascii="宋体" w:hAnsi="宋体"/>
          <w:sz w:val="24"/>
        </w:rPr>
        <w:t>6.1.1乙方同意甲方取消其不符合要求的服务项目，退还已经收取的款项。</w:t>
      </w:r>
    </w:p>
    <w:p>
      <w:pPr>
        <w:spacing w:line="360" w:lineRule="auto"/>
        <w:ind w:firstLine="480" w:firstLineChars="200"/>
        <w:rPr>
          <w:rFonts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ascii="宋体" w:hAnsi="宋体"/>
          <w:sz w:val="24"/>
        </w:rPr>
      </w:pPr>
      <w:r>
        <w:rPr>
          <w:rFonts w:hint="eastAsia" w:ascii="宋体" w:hAnsi="宋体"/>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sz w:val="24"/>
        </w:rPr>
      </w:pPr>
      <w:r>
        <w:rPr>
          <w:rFonts w:hint="eastAsia" w:ascii="宋体" w:hAnsi="宋体"/>
          <w:sz w:val="24"/>
        </w:rPr>
        <w:t>7.不可抗力</w:t>
      </w:r>
    </w:p>
    <w:p>
      <w:pPr>
        <w:spacing w:line="360" w:lineRule="auto"/>
        <w:ind w:firstLine="480" w:firstLineChars="200"/>
        <w:rPr>
          <w:rFonts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spacing w:line="360" w:lineRule="auto"/>
        <w:ind w:firstLine="480" w:firstLineChars="200"/>
        <w:rPr>
          <w:rFonts w:ascii="宋体" w:hAnsi="宋体"/>
          <w:sz w:val="24"/>
        </w:rPr>
      </w:pPr>
      <w:r>
        <w:rPr>
          <w:rFonts w:hint="eastAsia" w:ascii="宋体" w:hAnsi="宋体"/>
          <w:sz w:val="24"/>
        </w:rPr>
        <w:t>8.履约保证金</w:t>
      </w:r>
    </w:p>
    <w:p>
      <w:pPr>
        <w:spacing w:line="360" w:lineRule="auto"/>
        <w:ind w:firstLine="480" w:firstLineChars="200"/>
        <w:rPr>
          <w:rFonts w:ascii="宋体" w:hAnsi="宋体"/>
          <w:sz w:val="24"/>
        </w:rPr>
      </w:pPr>
      <w:r>
        <w:rPr>
          <w:rFonts w:hint="eastAsia" w:ascii="宋体" w:hAnsi="宋体"/>
          <w:sz w:val="24"/>
        </w:rPr>
        <w:t>8.1履约保证金的有效期至供货完毕且验收合格。</w:t>
      </w:r>
    </w:p>
    <w:p>
      <w:pPr>
        <w:spacing w:line="360" w:lineRule="auto"/>
        <w:ind w:firstLine="480" w:firstLineChars="200"/>
        <w:rPr>
          <w:rFonts w:ascii="宋体" w:hAnsi="宋体"/>
          <w:sz w:val="24"/>
        </w:rPr>
      </w:pPr>
      <w:r>
        <w:rPr>
          <w:rFonts w:hint="eastAsia" w:ascii="宋体" w:hAnsi="宋体"/>
          <w:sz w:val="24"/>
        </w:rPr>
        <w:t>8.2乙方提供的履约保证金按规定格式以现金、转帐支票、电汇的形式提供，与此有关的费用由乙方负担。</w:t>
      </w:r>
    </w:p>
    <w:p>
      <w:pPr>
        <w:spacing w:line="360" w:lineRule="auto"/>
        <w:ind w:firstLine="480" w:firstLineChars="200"/>
        <w:rPr>
          <w:rFonts w:ascii="宋体" w:hAnsi="宋体"/>
          <w:sz w:val="24"/>
        </w:rPr>
      </w:pPr>
      <w:r>
        <w:rPr>
          <w:rFonts w:hint="eastAsia" w:ascii="宋体" w:hAnsi="宋体"/>
          <w:sz w:val="24"/>
        </w:rPr>
        <w:t>8.3如果乙方未能按合同规定履行其义务，甲方有权从履约保证金取得补偿。</w:t>
      </w:r>
    </w:p>
    <w:p>
      <w:pPr>
        <w:spacing w:line="360" w:lineRule="auto"/>
        <w:ind w:firstLine="480" w:firstLineChars="200"/>
        <w:rPr>
          <w:rFonts w:ascii="宋体" w:hAnsi="宋体"/>
          <w:sz w:val="24"/>
        </w:rPr>
      </w:pPr>
      <w:r>
        <w:rPr>
          <w:rFonts w:hint="eastAsia" w:ascii="宋体" w:hAnsi="宋体"/>
          <w:sz w:val="24"/>
        </w:rPr>
        <w:t>9.争议的解决</w:t>
      </w:r>
    </w:p>
    <w:p>
      <w:pPr>
        <w:spacing w:line="360" w:lineRule="auto"/>
        <w:ind w:firstLine="480" w:firstLineChars="200"/>
        <w:rPr>
          <w:rFonts w:ascii="宋体" w:hAnsi="宋体"/>
          <w:sz w:val="24"/>
        </w:rPr>
      </w:pPr>
      <w:r>
        <w:rPr>
          <w:rFonts w:hint="eastAsia" w:ascii="宋体" w:hAnsi="宋体"/>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sz w:val="24"/>
        </w:rPr>
      </w:pPr>
      <w:r>
        <w:rPr>
          <w:rFonts w:hint="eastAsia" w:ascii="宋体" w:hAnsi="宋体"/>
          <w:sz w:val="24"/>
        </w:rPr>
        <w:t>9.</w:t>
      </w:r>
      <w:r>
        <w:rPr>
          <w:rFonts w:ascii="宋体" w:hAnsi="宋体"/>
          <w:sz w:val="24"/>
        </w:rPr>
        <w:t>2</w:t>
      </w:r>
      <w:r>
        <w:rPr>
          <w:rFonts w:hint="eastAsia" w:ascii="宋体" w:hAnsi="宋体"/>
          <w:sz w:val="24"/>
        </w:rPr>
        <w:t>合同双方均为国内法人的，其争端的仲裁应由合同发生地许昌市仲裁委员会根据其仲裁程序进行。</w:t>
      </w:r>
    </w:p>
    <w:p>
      <w:pPr>
        <w:spacing w:line="360" w:lineRule="auto"/>
        <w:ind w:firstLine="480" w:firstLineChars="200"/>
        <w:rPr>
          <w:rFonts w:ascii="宋体" w:hAnsi="宋体"/>
          <w:sz w:val="24"/>
        </w:rPr>
      </w:pPr>
      <w:r>
        <w:rPr>
          <w:rFonts w:hint="eastAsia" w:ascii="宋体" w:hAnsi="宋体"/>
          <w:sz w:val="24"/>
        </w:rPr>
        <w:t>9.3 仲裁裁决应为最终决定，并对双方具有约束力。</w:t>
      </w:r>
    </w:p>
    <w:p>
      <w:pPr>
        <w:spacing w:line="360" w:lineRule="auto"/>
        <w:ind w:firstLine="480" w:firstLineChars="200"/>
        <w:rPr>
          <w:rFonts w:ascii="宋体" w:hAnsi="宋体"/>
          <w:sz w:val="24"/>
        </w:rPr>
      </w:pPr>
      <w:r>
        <w:rPr>
          <w:rFonts w:hint="eastAsia" w:ascii="宋体" w:hAnsi="宋体"/>
          <w:sz w:val="24"/>
        </w:rPr>
        <w:t>9.4 除另有裁决外，仲裁费应由败诉方负担。</w:t>
      </w:r>
    </w:p>
    <w:p>
      <w:pPr>
        <w:spacing w:line="360" w:lineRule="auto"/>
        <w:ind w:firstLine="480" w:firstLineChars="200"/>
        <w:rPr>
          <w:rFonts w:ascii="宋体" w:hAnsi="宋体"/>
          <w:sz w:val="24"/>
        </w:rPr>
      </w:pPr>
      <w:r>
        <w:rPr>
          <w:rFonts w:hint="eastAsia" w:ascii="宋体" w:hAnsi="宋体"/>
          <w:sz w:val="24"/>
        </w:rPr>
        <w:t>9.5 在仲裁期间，除正在进行的仲裁部分外，合同其他部分继续执行。</w:t>
      </w:r>
    </w:p>
    <w:p>
      <w:pPr>
        <w:spacing w:line="360" w:lineRule="auto"/>
        <w:ind w:firstLine="480" w:firstLineChars="200"/>
        <w:rPr>
          <w:rFonts w:ascii="宋体" w:hAnsi="宋体"/>
          <w:sz w:val="24"/>
        </w:rPr>
      </w:pPr>
      <w:r>
        <w:rPr>
          <w:rFonts w:hint="eastAsia" w:ascii="宋体" w:hAnsi="宋体"/>
          <w:sz w:val="24"/>
        </w:rPr>
        <w:t>10.合同终止</w:t>
      </w:r>
    </w:p>
    <w:p>
      <w:pPr>
        <w:spacing w:line="360" w:lineRule="auto"/>
        <w:ind w:firstLine="480" w:firstLineChars="200"/>
        <w:rPr>
          <w:rFonts w:ascii="宋体" w:hAnsi="宋体"/>
          <w:sz w:val="24"/>
        </w:rPr>
      </w:pPr>
      <w:r>
        <w:rPr>
          <w:rFonts w:hint="eastAsia" w:ascii="宋体" w:hAnsi="宋体"/>
          <w:sz w:val="24"/>
        </w:rPr>
        <w:t>10.1本合同期限为</w:t>
      </w:r>
      <w:r>
        <w:rPr>
          <w:rFonts w:hint="eastAsia" w:ascii="宋体" w:hAnsi="宋体"/>
          <w:b/>
          <w:sz w:val="24"/>
          <w:u w:val="single"/>
        </w:rPr>
        <w:t xml:space="preserve">     </w:t>
      </w:r>
      <w:r>
        <w:rPr>
          <w:rFonts w:hint="eastAsia" w:ascii="宋体" w:hAnsi="宋体"/>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sz w:val="24"/>
        </w:rPr>
      </w:pPr>
      <w:r>
        <w:rPr>
          <w:rFonts w:hint="eastAsia" w:ascii="宋体" w:hAnsi="宋体"/>
          <w:sz w:val="24"/>
        </w:rPr>
        <w:t>10.2 出现下列情况时合同自动终止：</w:t>
      </w:r>
    </w:p>
    <w:p>
      <w:pPr>
        <w:spacing w:line="360" w:lineRule="auto"/>
        <w:ind w:firstLine="480" w:firstLineChars="200"/>
        <w:rPr>
          <w:rFonts w:ascii="宋体" w:hAnsi="宋体"/>
          <w:sz w:val="24"/>
        </w:rPr>
      </w:pPr>
      <w:r>
        <w:rPr>
          <w:rFonts w:hint="eastAsia" w:ascii="宋体" w:hAnsi="宋体"/>
          <w:sz w:val="24"/>
        </w:rPr>
        <w:t>10.2.1发生不可抗力时。</w:t>
      </w:r>
    </w:p>
    <w:p>
      <w:pPr>
        <w:spacing w:line="360" w:lineRule="auto"/>
        <w:ind w:firstLine="480" w:firstLineChars="200"/>
        <w:rPr>
          <w:rFonts w:ascii="宋体" w:hAnsi="宋体"/>
          <w:sz w:val="24"/>
        </w:rPr>
      </w:pPr>
      <w:r>
        <w:rPr>
          <w:rFonts w:hint="eastAsia" w:ascii="宋体" w:hAnsi="宋体"/>
          <w:sz w:val="24"/>
        </w:rPr>
        <w:t>10.2.2一方不履行合同条款，造成另一方无法执行合同协议，协商又不能求得解决，合同终止，责任方赔偿损失。</w:t>
      </w:r>
    </w:p>
    <w:p>
      <w:pPr>
        <w:spacing w:line="360" w:lineRule="auto"/>
        <w:ind w:firstLine="480" w:firstLineChars="200"/>
        <w:rPr>
          <w:rFonts w:ascii="宋体" w:hAnsi="宋体"/>
          <w:sz w:val="24"/>
        </w:rPr>
      </w:pPr>
      <w:r>
        <w:rPr>
          <w:rFonts w:hint="eastAsia" w:ascii="宋体" w:hAnsi="宋体"/>
          <w:sz w:val="24"/>
        </w:rPr>
        <w:t>11.合同修改</w:t>
      </w:r>
    </w:p>
    <w:p>
      <w:pPr>
        <w:spacing w:line="360" w:lineRule="auto"/>
        <w:ind w:firstLine="480" w:firstLineChars="200"/>
        <w:rPr>
          <w:rFonts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sz w:val="24"/>
        </w:rPr>
      </w:pPr>
      <w:r>
        <w:rPr>
          <w:rFonts w:hint="eastAsia" w:ascii="宋体" w:hAnsi="宋体"/>
          <w:sz w:val="24"/>
        </w:rPr>
        <w:t>12.适用法律</w:t>
      </w:r>
    </w:p>
    <w:p>
      <w:pPr>
        <w:spacing w:line="360" w:lineRule="auto"/>
        <w:ind w:firstLine="480" w:firstLineChars="200"/>
        <w:rPr>
          <w:rFonts w:ascii="宋体" w:hAnsi="宋体"/>
          <w:sz w:val="24"/>
        </w:rPr>
      </w:pPr>
      <w:r>
        <w:rPr>
          <w:rFonts w:hint="eastAsia" w:ascii="宋体" w:hAnsi="宋体"/>
          <w:sz w:val="24"/>
        </w:rPr>
        <w:t>本合同应按中华人民共和国的法律解释。</w:t>
      </w:r>
    </w:p>
    <w:p>
      <w:pPr>
        <w:spacing w:line="360" w:lineRule="auto"/>
        <w:ind w:firstLine="480" w:firstLineChars="200"/>
        <w:rPr>
          <w:rFonts w:ascii="宋体" w:hAnsi="宋体"/>
          <w:sz w:val="24"/>
        </w:rPr>
      </w:pPr>
      <w:r>
        <w:rPr>
          <w:rFonts w:hint="eastAsia" w:ascii="宋体" w:hAnsi="宋体"/>
          <w:sz w:val="24"/>
        </w:rPr>
        <w:t>13.主导语言与计量单位</w:t>
      </w:r>
    </w:p>
    <w:p>
      <w:pPr>
        <w:spacing w:line="360" w:lineRule="auto"/>
        <w:ind w:firstLine="480" w:firstLineChars="200"/>
        <w:rPr>
          <w:rFonts w:ascii="宋体" w:hAnsi="宋体"/>
          <w:sz w:val="24"/>
        </w:rPr>
      </w:pPr>
      <w:r>
        <w:rPr>
          <w:rFonts w:hint="eastAsia" w:ascii="宋体" w:hAnsi="宋体"/>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13.2 除技术规格另有规定外，计量单位均使用中华人民共和国法定计量单位。</w:t>
      </w:r>
    </w:p>
    <w:p>
      <w:pPr>
        <w:spacing w:line="360" w:lineRule="auto"/>
        <w:ind w:firstLine="480" w:firstLineChars="200"/>
        <w:rPr>
          <w:rFonts w:ascii="宋体" w:hAnsi="宋体"/>
          <w:sz w:val="24"/>
        </w:rPr>
      </w:pPr>
      <w:r>
        <w:rPr>
          <w:rFonts w:hint="eastAsia" w:ascii="宋体" w:hAnsi="宋体"/>
          <w:sz w:val="24"/>
        </w:rPr>
        <w:t>14.合同生效</w:t>
      </w:r>
    </w:p>
    <w:p>
      <w:pPr>
        <w:spacing w:line="360" w:lineRule="auto"/>
        <w:jc w:val="both"/>
        <w:rPr>
          <w:rFonts w:ascii="宋体" w:hAnsi="宋体" w:cs="微软雅黑"/>
          <w:b/>
          <w:bCs/>
          <w:sz w:val="24"/>
          <w:szCs w:val="24"/>
        </w:rPr>
      </w:pPr>
      <w:r>
        <w:rPr>
          <w:rFonts w:hint="eastAsia" w:ascii="宋体" w:hAnsi="宋体"/>
          <w:sz w:val="24"/>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jc w:val="left"/>
        <w:rPr>
          <w:rStyle w:val="52"/>
          <w:rFonts w:hint="eastAsia" w:ascii="宋体" w:hAnsi="宋体" w:eastAsia="宋体"/>
        </w:rPr>
      </w:pPr>
    </w:p>
    <w:p>
      <w:pPr>
        <w:jc w:val="left"/>
        <w:rPr>
          <w:rStyle w:val="52"/>
          <w:rFonts w:ascii="宋体" w:hAnsi="宋体" w:eastAsia="宋体"/>
        </w:rPr>
      </w:pPr>
      <w:r>
        <w:rPr>
          <w:rStyle w:val="52"/>
          <w:rFonts w:hint="eastAsia" w:ascii="宋体" w:hAnsi="宋体" w:eastAsia="宋体"/>
        </w:rPr>
        <w:t>投标文件封皮格式</w:t>
      </w:r>
      <w:bookmarkStart w:id="0" w:name="_Toc16238"/>
      <w:bookmarkStart w:id="1" w:name="_Toc12595"/>
      <w:bookmarkStart w:id="2" w:name="_Toc5131"/>
      <w:bookmarkStart w:id="3" w:name="_Toc14398"/>
    </w:p>
    <w:p>
      <w:pPr>
        <w:pStyle w:val="6"/>
        <w:ind w:firstLine="340"/>
      </w:pPr>
    </w:p>
    <w:p>
      <w:pPr>
        <w:jc w:val="right"/>
        <w:rPr>
          <w:rStyle w:val="52"/>
          <w:rFonts w:ascii="宋体" w:hAnsi="宋体" w:eastAsia="宋体"/>
        </w:rPr>
      </w:pPr>
      <w:r>
        <w:rPr>
          <w:rStyle w:val="52"/>
          <w:rFonts w:hint="eastAsia" w:ascii="宋体" w:hAnsi="宋体" w:eastAsia="宋体"/>
        </w:rPr>
        <w:t>正本/副本</w:t>
      </w:r>
    </w:p>
    <w:bookmarkEnd w:id="0"/>
    <w:bookmarkEnd w:id="1"/>
    <w:bookmarkEnd w:id="2"/>
    <w:bookmarkEnd w:id="3"/>
    <w:p>
      <w:pPr>
        <w:jc w:val="left"/>
        <w:rPr>
          <w:rStyle w:val="52"/>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pStyle w:val="6"/>
        <w:ind w:firstLine="0" w:firstLineChars="0"/>
      </w:pPr>
    </w:p>
    <w:p>
      <w:pPr>
        <w:rPr>
          <w:rFonts w:ascii="宋体" w:hAnsi="宋体" w:eastAsia="宋体" w:cs="微软雅黑"/>
          <w:sz w:val="28"/>
          <w:szCs w:val="28"/>
        </w:rPr>
      </w:pPr>
    </w:p>
    <w:p>
      <w:pPr>
        <w:ind w:left="1079" w:leftChars="514" w:firstLine="1400" w:firstLineChars="500"/>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eastAsia="宋体" w:cs="微软雅黑"/>
          <w:sz w:val="28"/>
          <w:szCs w:val="28"/>
        </w:rPr>
      </w:pPr>
      <w:r>
        <w:rPr>
          <w:rFonts w:hint="eastAsia" w:ascii="宋体" w:hAnsi="宋体" w:eastAsia="宋体" w:cs="微软雅黑"/>
          <w:sz w:val="28"/>
          <w:szCs w:val="28"/>
        </w:rPr>
        <w:t>年    月    日</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4" w:name="_Toc184023138"/>
      <w:bookmarkStart w:id="5" w:name="_Toc186274126"/>
      <w:bookmarkStart w:id="6" w:name="_Toc174185203"/>
      <w:r>
        <w:rPr>
          <w:rFonts w:hint="eastAsia" w:cs="黑体" w:asciiTheme="minorEastAsia" w:hAnsiTheme="minorEastAsia" w:eastAsiaTheme="minorEastAsia"/>
          <w:color w:val="auto"/>
          <w:kern w:val="2"/>
          <w:sz w:val="36"/>
          <w:szCs w:val="36"/>
          <w:lang w:val="zh-CN"/>
        </w:rPr>
        <w:t>一、投标人应答索引表</w:t>
      </w:r>
      <w:bookmarkEnd w:id="4"/>
      <w:bookmarkEnd w:id="5"/>
      <w:bookmarkEnd w:id="6"/>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none"/>
        </w:rPr>
        <w:t xml:space="preserve">   </w:t>
      </w:r>
      <w:r>
        <w:rPr>
          <w:rFonts w:hint="eastAsia" w:cs="宋体" w:asciiTheme="minorEastAsia" w:hAnsiTheme="minorEastAsia"/>
          <w:sz w:val="24"/>
          <w:szCs w:val="24"/>
          <w:u w:val="none"/>
          <w:lang w:val="en-US" w:eastAsia="zh-CN"/>
        </w:rPr>
        <w:t xml:space="preserve">      </w:t>
      </w: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7" w:name="_资格证明文件"/>
            <w:bookmarkEnd w:id="7"/>
            <w:bookmarkStart w:id="8" w:name="_Toc364329026"/>
            <w:r>
              <w:rPr>
                <w:rFonts w:hint="eastAsia" w:asciiTheme="minorEastAsia" w:hAnsiTheme="minorEastAsia"/>
                <w:sz w:val="24"/>
                <w:szCs w:val="24"/>
              </w:rPr>
              <w:t>法定代表人授权代表身份证（正面）</w:t>
            </w:r>
            <w:bookmarkEnd w:id="8"/>
          </w:p>
        </w:tc>
        <w:tc>
          <w:tcPr>
            <w:tcW w:w="4492" w:type="dxa"/>
            <w:gridSpan w:val="2"/>
            <w:vAlign w:val="center"/>
          </w:tcPr>
          <w:p>
            <w:pPr>
              <w:jc w:val="center"/>
              <w:rPr>
                <w:rFonts w:asciiTheme="minorEastAsia" w:hAnsiTheme="minorEastAsia"/>
                <w:sz w:val="24"/>
                <w:szCs w:val="24"/>
              </w:rPr>
            </w:pPr>
            <w:bookmarkStart w:id="9" w:name="_Toc364329027"/>
            <w:r>
              <w:rPr>
                <w:rFonts w:hint="eastAsia" w:asciiTheme="minorEastAsia" w:hAnsiTheme="minorEastAsia"/>
                <w:sz w:val="24"/>
                <w:szCs w:val="24"/>
              </w:rPr>
              <w:t>法定代表人授权代表身份证（反面）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int="eastAsia" w:hAnsi="宋体" w:eastAsiaTheme="minorEastAsia"/>
          <w:b/>
          <w:snapToGrid w:val="0"/>
          <w:kern w:val="0"/>
          <w:sz w:val="36"/>
          <w:szCs w:val="36"/>
          <w:lang w:eastAsia="zh-CN"/>
        </w:rPr>
      </w:pPr>
      <w:r>
        <w:rPr>
          <w:rFonts w:hint="eastAsia" w:ascii="宋体" w:hAnsi="宋体"/>
          <w:b/>
          <w:bCs/>
          <w:color w:val="000000"/>
          <w:sz w:val="36"/>
          <w:szCs w:val="36"/>
        </w:rPr>
        <w:t xml:space="preserve">4.1 </w:t>
      </w:r>
      <w:r>
        <w:rPr>
          <w:rFonts w:hint="eastAsia" w:hAnsi="宋体" w:eastAsia="宋体"/>
          <w:b/>
          <w:snapToGrid w:val="0"/>
          <w:kern w:val="0"/>
          <w:sz w:val="36"/>
          <w:szCs w:val="36"/>
          <w:lang w:eastAsia="zh-CN"/>
        </w:rPr>
        <w:t>项目实施方案</w:t>
      </w:r>
    </w:p>
    <w:p>
      <w:pPr>
        <w:autoSpaceDE w:val="0"/>
        <w:autoSpaceDN w:val="0"/>
        <w:adjustRightInd w:val="0"/>
        <w:spacing w:line="48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pacing w:line="300" w:lineRule="exact"/>
        <w:rPr>
          <w:rFonts w:asciiTheme="minorEastAsia" w:hAnsiTheme="minorEastAsia"/>
          <w:color w:val="000000"/>
          <w:sz w:val="24"/>
          <w:szCs w:val="24"/>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2</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3</w:t>
      </w:r>
      <w:r>
        <w:rPr>
          <w:rFonts w:hint="eastAsia" w:ascii="宋体" w:hAnsi="宋体"/>
          <w:b/>
          <w:bCs/>
          <w:color w:val="000000"/>
          <w:sz w:val="36"/>
          <w:szCs w:val="36"/>
        </w:rPr>
        <w:t xml:space="preserve"> 售后服务方案</w:t>
      </w: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w:t>
      </w:r>
      <w:r>
        <w:rPr>
          <w:rFonts w:hint="eastAsia" w:ascii="宋体" w:hAnsi="宋体"/>
          <w:b/>
          <w:bCs/>
          <w:color w:val="000000"/>
          <w:sz w:val="36"/>
          <w:szCs w:val="36"/>
          <w:lang w:val="en-US" w:eastAsia="zh-CN"/>
        </w:rPr>
        <w:t>4</w:t>
      </w:r>
      <w:r>
        <w:rPr>
          <w:rFonts w:hint="eastAsia" w:ascii="宋体" w:hAnsi="宋体"/>
          <w:b/>
          <w:bCs/>
          <w:color w:val="000000"/>
          <w:sz w:val="36"/>
          <w:szCs w:val="36"/>
        </w:rPr>
        <w:t>中小企业声明函</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0" w:name="OLE_LINK13"/>
      <w:bookmarkStart w:id="11" w:name="OLE_LINK14"/>
      <w:r>
        <w:rPr>
          <w:rFonts w:hint="eastAsia" w:ascii="宋体" w:hAnsi="宋体"/>
          <w:b/>
          <w:bCs/>
          <w:color w:val="000000"/>
          <w:sz w:val="36"/>
          <w:szCs w:val="36"/>
        </w:rPr>
        <w:t>4.</w:t>
      </w:r>
      <w:r>
        <w:rPr>
          <w:rFonts w:hint="eastAsia" w:ascii="宋体" w:hAnsi="宋体"/>
          <w:b/>
          <w:bCs/>
          <w:color w:val="000000"/>
          <w:sz w:val="36"/>
          <w:szCs w:val="36"/>
          <w:lang w:val="en-US" w:eastAsia="zh-CN"/>
        </w:rPr>
        <w:t>5</w:t>
      </w:r>
      <w:r>
        <w:rPr>
          <w:rFonts w:hint="eastAsia" w:ascii="宋体" w:hAnsi="宋体"/>
          <w:b/>
          <w:bCs/>
          <w:color w:val="000000"/>
          <w:sz w:val="36"/>
          <w:szCs w:val="36"/>
        </w:rPr>
        <w:t>残疾人福利性单位声明函</w:t>
      </w:r>
    </w:p>
    <w:bookmarkEnd w:id="10"/>
    <w:bookmarkEnd w:id="1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eastAsia="zh-CN"/>
        </w:rPr>
        <w:t>五</w:t>
      </w:r>
      <w:r>
        <w:rPr>
          <w:rFonts w:hint="eastAsia" w:cs="黑体" w:asciiTheme="minorEastAsia" w:hAnsiTheme="minorEastAsia"/>
          <w:b/>
          <w:bCs/>
          <w:sz w:val="44"/>
          <w:szCs w:val="44"/>
          <w:lang w:val="zh-CN"/>
        </w:rPr>
        <w:t>、</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auto"/>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48"/>
      <w:suff w:val="nothing"/>
      <w:lvlText w:val="%1、"/>
      <w:lvlJc w:val="left"/>
    </w:lvl>
  </w:abstractNum>
  <w:abstractNum w:abstractNumId="5">
    <w:nsid w:val="5A4CF89E"/>
    <w:multiLevelType w:val="singleLevel"/>
    <w:tmpl w:val="5A4CF89E"/>
    <w:lvl w:ilvl="0" w:tentative="0">
      <w:start w:val="1"/>
      <w:numFmt w:val="chineseCounting"/>
      <w:suff w:val="nothing"/>
      <w:lvlText w:val="%1、"/>
      <w:lvlJc w:val="left"/>
      <w:rPr>
        <w:rFonts w:hint="eastAsia"/>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B201C"/>
    <w:rsid w:val="000F40BE"/>
    <w:rsid w:val="000F58D4"/>
    <w:rsid w:val="00160D27"/>
    <w:rsid w:val="001C3E6D"/>
    <w:rsid w:val="00215B36"/>
    <w:rsid w:val="002A39A2"/>
    <w:rsid w:val="002A7EAE"/>
    <w:rsid w:val="002C1175"/>
    <w:rsid w:val="002F21EF"/>
    <w:rsid w:val="00363726"/>
    <w:rsid w:val="00397A66"/>
    <w:rsid w:val="003C1CEA"/>
    <w:rsid w:val="00450C1D"/>
    <w:rsid w:val="00460A21"/>
    <w:rsid w:val="00496923"/>
    <w:rsid w:val="00505787"/>
    <w:rsid w:val="0051397E"/>
    <w:rsid w:val="0057038A"/>
    <w:rsid w:val="005E646F"/>
    <w:rsid w:val="00636AAD"/>
    <w:rsid w:val="00685B99"/>
    <w:rsid w:val="00694DB2"/>
    <w:rsid w:val="006E678E"/>
    <w:rsid w:val="006F1C15"/>
    <w:rsid w:val="007054C2"/>
    <w:rsid w:val="00713175"/>
    <w:rsid w:val="0076324F"/>
    <w:rsid w:val="0078154E"/>
    <w:rsid w:val="007D329B"/>
    <w:rsid w:val="008570DB"/>
    <w:rsid w:val="00885877"/>
    <w:rsid w:val="008B3AF4"/>
    <w:rsid w:val="008D07A8"/>
    <w:rsid w:val="00933EBF"/>
    <w:rsid w:val="009434C1"/>
    <w:rsid w:val="0097065A"/>
    <w:rsid w:val="009C12AB"/>
    <w:rsid w:val="009D27F1"/>
    <w:rsid w:val="00A3752F"/>
    <w:rsid w:val="00A4670A"/>
    <w:rsid w:val="00A57254"/>
    <w:rsid w:val="00AD60E2"/>
    <w:rsid w:val="00AF2871"/>
    <w:rsid w:val="00B07A0D"/>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1392F69"/>
    <w:rsid w:val="016D1552"/>
    <w:rsid w:val="055532AD"/>
    <w:rsid w:val="057B4035"/>
    <w:rsid w:val="05AE2502"/>
    <w:rsid w:val="0C997530"/>
    <w:rsid w:val="10763E9B"/>
    <w:rsid w:val="172D1EAF"/>
    <w:rsid w:val="18175A3A"/>
    <w:rsid w:val="1923419C"/>
    <w:rsid w:val="1A8F6DB5"/>
    <w:rsid w:val="1B0E5593"/>
    <w:rsid w:val="1CC73663"/>
    <w:rsid w:val="1DF81DF2"/>
    <w:rsid w:val="236E1275"/>
    <w:rsid w:val="290F43CC"/>
    <w:rsid w:val="2AE827FA"/>
    <w:rsid w:val="2DC274BC"/>
    <w:rsid w:val="2E245EDE"/>
    <w:rsid w:val="2ECE42C1"/>
    <w:rsid w:val="2F3C0ED0"/>
    <w:rsid w:val="2FD220F5"/>
    <w:rsid w:val="33FC2073"/>
    <w:rsid w:val="37F108AB"/>
    <w:rsid w:val="3B893F47"/>
    <w:rsid w:val="44813CAF"/>
    <w:rsid w:val="479F493E"/>
    <w:rsid w:val="48D60749"/>
    <w:rsid w:val="4F016809"/>
    <w:rsid w:val="4FDD62D6"/>
    <w:rsid w:val="50502604"/>
    <w:rsid w:val="57D71414"/>
    <w:rsid w:val="57DE1812"/>
    <w:rsid w:val="656658F4"/>
    <w:rsid w:val="660C6F4D"/>
    <w:rsid w:val="66772B30"/>
    <w:rsid w:val="66EA5A3C"/>
    <w:rsid w:val="69EA41FA"/>
    <w:rsid w:val="6D867776"/>
    <w:rsid w:val="6D9D14D9"/>
    <w:rsid w:val="71405FB7"/>
    <w:rsid w:val="78C30048"/>
    <w:rsid w:val="7B9A0CC6"/>
    <w:rsid w:val="7DC132DF"/>
    <w:rsid w:val="7DD171A5"/>
    <w:rsid w:val="7F5A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5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Hyperlink"/>
    <w:basedOn w:val="21"/>
    <w:unhideWhenUsed/>
    <w:qFormat/>
    <w:uiPriority w:val="99"/>
    <w:rPr>
      <w:color w:val="0000FF"/>
      <w:u w:val="single"/>
    </w:rPr>
  </w:style>
  <w:style w:type="character" w:customStyle="1" w:styleId="26">
    <w:name w:val="标题 1 Char"/>
    <w:basedOn w:val="21"/>
    <w:link w:val="2"/>
    <w:qFormat/>
    <w:uiPriority w:val="0"/>
    <w:rPr>
      <w:rFonts w:ascii="Calibri" w:hAnsi="Calibri" w:eastAsia="宋体" w:cs="Times New Roman"/>
      <w:b/>
      <w:bCs/>
      <w:kern w:val="44"/>
      <w:sz w:val="44"/>
      <w:szCs w:val="44"/>
    </w:rPr>
  </w:style>
  <w:style w:type="character" w:customStyle="1" w:styleId="27">
    <w:name w:val="标题 2 Char"/>
    <w:basedOn w:val="21"/>
    <w:link w:val="3"/>
    <w:uiPriority w:val="0"/>
    <w:rPr>
      <w:rFonts w:ascii="Arial" w:hAnsi="Arial" w:eastAsia="黑体" w:cs="Times New Roman"/>
      <w:b/>
      <w:bCs/>
      <w:kern w:val="0"/>
      <w:sz w:val="32"/>
      <w:szCs w:val="32"/>
    </w:rPr>
  </w:style>
  <w:style w:type="character" w:customStyle="1" w:styleId="28">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5"/>
    <w:qFormat/>
    <w:uiPriority w:val="0"/>
    <w:rPr>
      <w:rFonts w:ascii="Arial" w:hAnsi="Arial" w:eastAsia="黑体" w:cs="Times New Roman"/>
      <w:b/>
      <w:bCs/>
      <w:kern w:val="0"/>
      <w:sz w:val="28"/>
      <w:szCs w:val="28"/>
    </w:rPr>
  </w:style>
  <w:style w:type="character" w:customStyle="1" w:styleId="30">
    <w:name w:val="纯文本 Char"/>
    <w:basedOn w:val="21"/>
    <w:link w:val="13"/>
    <w:qFormat/>
    <w:uiPriority w:val="0"/>
    <w:rPr>
      <w:rFonts w:eastAsia="宋体"/>
      <w:sz w:val="24"/>
    </w:rPr>
  </w:style>
  <w:style w:type="character" w:customStyle="1" w:styleId="31">
    <w:name w:val="日期 Char"/>
    <w:basedOn w:val="21"/>
    <w:link w:val="14"/>
    <w:qFormat/>
    <w:uiPriority w:val="99"/>
  </w:style>
  <w:style w:type="character" w:customStyle="1" w:styleId="32">
    <w:name w:val="页脚 Char"/>
    <w:basedOn w:val="21"/>
    <w:link w:val="16"/>
    <w:qFormat/>
    <w:uiPriority w:val="99"/>
    <w:rPr>
      <w:sz w:val="18"/>
      <w:szCs w:val="18"/>
    </w:rPr>
  </w:style>
  <w:style w:type="character" w:customStyle="1" w:styleId="33">
    <w:name w:val="页眉 Char"/>
    <w:basedOn w:val="21"/>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10"/>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1"/>
    <w:link w:val="19"/>
    <w:semiHidden/>
    <w:qFormat/>
    <w:uiPriority w:val="99"/>
    <w:rPr>
      <w:rFonts w:ascii="宋体" w:hAnsi="宋体" w:eastAsia="宋体" w:cs="宋体"/>
      <w:kern w:val="0"/>
      <w:sz w:val="24"/>
      <w:szCs w:val="24"/>
    </w:rPr>
  </w:style>
  <w:style w:type="character" w:customStyle="1" w:styleId="52">
    <w:name w:val="标题 2 字符"/>
    <w:basedOn w:val="21"/>
    <w:link w:val="3"/>
    <w:qFormat/>
    <w:uiPriority w:val="0"/>
    <w:rPr>
      <w:rFonts w:ascii="Arial" w:hAnsi="Arial" w:eastAsia="黑体" w:cs="Times New Roman"/>
      <w:b/>
      <w:bC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TotalTime>5</TotalTime>
  <ScaleCrop>false</ScaleCrop>
  <LinksUpToDate>false</LinksUpToDate>
  <CharactersWithSpaces>36214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Administrator</cp:lastModifiedBy>
  <dcterms:modified xsi:type="dcterms:W3CDTF">2018-06-06T01:38:13Z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