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960"/>
        <w:jc w:val="left"/>
        <w:rPr>
          <w:rFonts w:ascii="黑体" w:hAnsi="黑体" w:eastAsia="黑体" w:cs="Arial"/>
          <w:color w:val="000000"/>
          <w:kern w:val="0"/>
          <w:szCs w:val="21"/>
        </w:rPr>
      </w:pPr>
      <w:r>
        <w:rPr>
          <w:rFonts w:hint="eastAsia" w:ascii="微软雅黑" w:hAnsi="微软雅黑" w:eastAsia="微软雅黑" w:cs="Arial"/>
          <w:b/>
          <w:color w:val="000000"/>
          <w:kern w:val="0"/>
          <w:sz w:val="32"/>
          <w:szCs w:val="32"/>
          <w:shd w:val="clear" w:color="auto" w:fill="FFFFFF"/>
        </w:rPr>
        <w:t xml:space="preserve"> </w:t>
      </w:r>
      <w:r>
        <w:rPr>
          <w:rFonts w:hint="eastAsia" w:ascii="微软雅黑" w:hAnsi="微软雅黑" w:eastAsia="黑体" w:cs="Arial"/>
          <w:b/>
          <w:color w:val="000000"/>
          <w:kern w:val="0"/>
          <w:sz w:val="32"/>
          <w:szCs w:val="32"/>
          <w:shd w:val="clear" w:color="auto" w:fill="FFFFFF"/>
        </w:rPr>
        <w:t> 新建</w:t>
      </w:r>
      <w:r>
        <w:rPr>
          <w:rFonts w:hint="eastAsia" w:ascii="黑体" w:hAnsi="黑体" w:eastAsia="黑体" w:cs="Calibri"/>
          <w:b/>
          <w:color w:val="000000"/>
          <w:kern w:val="0"/>
          <w:sz w:val="32"/>
          <w:szCs w:val="32"/>
          <w:shd w:val="clear" w:color="auto" w:fill="FFFFFF"/>
        </w:rPr>
        <w:t>学生公寓寝具</w:t>
      </w:r>
      <w:r>
        <w:rPr>
          <w:rFonts w:hint="eastAsia" w:ascii="黑体" w:hAnsi="黑体" w:eastAsia="黑体" w:cs="Calibri"/>
          <w:b/>
          <w:bCs/>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宋体" w:hAnsi="宋体" w:eastAsia="宋体" w:cs="Arial"/>
          <w:color w:val="000000"/>
          <w:kern w:val="0"/>
          <w:sz w:val="30"/>
          <w:szCs w:val="30"/>
          <w:shd w:val="clear" w:color="auto" w:fill="FFFFFF"/>
        </w:rPr>
        <w:t> </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一、项目概况</w:t>
      </w:r>
    </w:p>
    <w:p>
      <w:pPr>
        <w:widowControl/>
        <w:shd w:val="clear" w:color="auto" w:fill="FFFFFF"/>
        <w:spacing w:line="360" w:lineRule="atLeast"/>
        <w:jc w:val="left"/>
        <w:rPr>
          <w:rFonts w:ascii="Arial" w:hAnsi="Arial" w:eastAsia="宋体" w:cs="Arial"/>
          <w:color w:val="000000"/>
          <w:kern w:val="0"/>
          <w:szCs w:val="21"/>
        </w:rPr>
      </w:pPr>
      <w:r>
        <w:rPr>
          <w:rFonts w:hint="eastAsia" w:ascii="微软雅黑" w:hAnsi="微软雅黑" w:eastAsia="微软雅黑" w:cs="Arial"/>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（一）项目名称：新建学生公寓寝具</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（三）主要内容、数量及要求：学生公寓床3590套。</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（四）预算金额：4523400</w:t>
      </w:r>
      <w:r>
        <w:rPr>
          <w:rFonts w:hint="eastAsia" w:ascii="宋体" w:hAnsi="宋体" w:eastAsia="宋体" w:cs="宋体"/>
          <w:color w:val="000000"/>
          <w:kern w:val="0"/>
          <w:sz w:val="30"/>
          <w:szCs w:val="30"/>
          <w:shd w:val="clear" w:color="auto" w:fill="FFFFFF"/>
        </w:rPr>
        <w:t>元</w:t>
      </w:r>
      <w:r>
        <w:rPr>
          <w:rFonts w:hint="eastAsia" w:ascii="仿宋" w:hAnsi="仿宋" w:eastAsia="仿宋" w:cs="Arial"/>
          <w:color w:val="000000"/>
          <w:kern w:val="0"/>
          <w:sz w:val="30"/>
          <w:szCs w:val="30"/>
          <w:shd w:val="clear" w:color="auto" w:fill="FFFFFF"/>
        </w:rPr>
        <w:t>；最高限价：4523400元</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（五）交付（服务、完工）时间：合同签订后20天交付使用。</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（六）交付（服务、施工）地点：许昌职业技术学院</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（七）进口产品：允许□不允许</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（八）分包：允许□不允许</w:t>
      </w:r>
      <w:r>
        <w:rPr>
          <w:rFonts w:hint="eastAsia" w:ascii="楷体" w:hAnsi="楷体" w:eastAsia="楷体" w:cs="Arial"/>
          <w:color w:val="000000"/>
          <w:kern w:val="0"/>
          <w:sz w:val="28"/>
          <w:szCs w:val="28"/>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本项目落实节能环保</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、中小微型企业扶持</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、支持监狱企业发展</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、残疾人福利性单位扶持</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三、投标人资格要求</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（二）本次招标接受□不接受</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联合体投标。</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（一）采购清单技术规格要求及执行标准</w:t>
      </w:r>
    </w:p>
    <w:tbl>
      <w:tblPr>
        <w:tblStyle w:val="9"/>
        <w:tblW w:w="9554" w:type="dxa"/>
        <w:jc w:val="center"/>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50"/>
        <w:gridCol w:w="4826"/>
        <w:gridCol w:w="677"/>
        <w:gridCol w:w="128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44" w:type="dxa"/>
            <w:vAlign w:val="center"/>
          </w:tcPr>
          <w:p>
            <w:pPr>
              <w:jc w:val="center"/>
              <w:rPr>
                <w:rFonts w:asciiTheme="minorEastAsia" w:hAnsiTheme="minorEastAsia" w:cstheme="minorEastAsia"/>
                <w:b/>
                <w:sz w:val="24"/>
              </w:rPr>
            </w:pPr>
            <w:r>
              <w:rPr>
                <w:rFonts w:hint="eastAsia" w:asciiTheme="minorEastAsia" w:hAnsiTheme="minorEastAsia" w:cstheme="minorEastAsia"/>
                <w:b/>
                <w:sz w:val="24"/>
              </w:rPr>
              <w:t>序</w:t>
            </w:r>
          </w:p>
          <w:p>
            <w:pPr>
              <w:jc w:val="center"/>
              <w:rPr>
                <w:rFonts w:asciiTheme="minorEastAsia" w:hAnsiTheme="minorEastAsia" w:cstheme="minorEastAsia"/>
                <w:b/>
                <w:sz w:val="24"/>
              </w:rPr>
            </w:pPr>
            <w:r>
              <w:rPr>
                <w:rFonts w:hint="eastAsia" w:asciiTheme="minorEastAsia" w:hAnsiTheme="minorEastAsia" w:cstheme="minorEastAsia"/>
                <w:b/>
                <w:sz w:val="24"/>
              </w:rPr>
              <w:t>号</w:t>
            </w:r>
          </w:p>
        </w:tc>
        <w:tc>
          <w:tcPr>
            <w:tcW w:w="1050" w:type="dxa"/>
            <w:vAlign w:val="center"/>
          </w:tcPr>
          <w:p>
            <w:pPr>
              <w:widowControl/>
              <w:jc w:val="center"/>
              <w:rPr>
                <w:rFonts w:asciiTheme="minorEastAsia" w:hAnsiTheme="minorEastAsia" w:cstheme="minorEastAsia"/>
                <w:b/>
                <w:sz w:val="24"/>
              </w:rPr>
            </w:pPr>
            <w:r>
              <w:rPr>
                <w:rFonts w:hint="eastAsia" w:asciiTheme="minorEastAsia" w:hAnsiTheme="minorEastAsia" w:cstheme="minorEastAsia"/>
                <w:b/>
                <w:sz w:val="24"/>
              </w:rPr>
              <w:t>货物名称</w:t>
            </w:r>
          </w:p>
        </w:tc>
        <w:tc>
          <w:tcPr>
            <w:tcW w:w="4826" w:type="dxa"/>
            <w:vAlign w:val="center"/>
          </w:tcPr>
          <w:p>
            <w:pPr>
              <w:jc w:val="center"/>
              <w:rPr>
                <w:rFonts w:asciiTheme="minorEastAsia" w:hAnsiTheme="minorEastAsia" w:cstheme="minorEastAsia"/>
                <w:b/>
                <w:sz w:val="24"/>
              </w:rPr>
            </w:pPr>
            <w:r>
              <w:rPr>
                <w:rFonts w:hint="eastAsia" w:asciiTheme="minorEastAsia" w:hAnsiTheme="minorEastAsia" w:cstheme="minorEastAsia"/>
                <w:b/>
                <w:sz w:val="24"/>
              </w:rPr>
              <w:t>技术规格及主要参数</w:t>
            </w:r>
          </w:p>
        </w:tc>
        <w:tc>
          <w:tcPr>
            <w:tcW w:w="677" w:type="dxa"/>
            <w:vAlign w:val="center"/>
          </w:tcPr>
          <w:p>
            <w:pPr>
              <w:jc w:val="center"/>
              <w:rPr>
                <w:rFonts w:asciiTheme="minorEastAsia" w:hAnsiTheme="minorEastAsia" w:cstheme="minorEastAsia"/>
                <w:b/>
                <w:sz w:val="24"/>
              </w:rPr>
            </w:pPr>
            <w:r>
              <w:rPr>
                <w:rFonts w:hint="eastAsia" w:asciiTheme="minorEastAsia" w:hAnsiTheme="minorEastAsia" w:cstheme="minorEastAsia"/>
                <w:b/>
                <w:sz w:val="24"/>
              </w:rPr>
              <w:t>单位</w:t>
            </w:r>
          </w:p>
        </w:tc>
        <w:tc>
          <w:tcPr>
            <w:tcW w:w="1282" w:type="dxa"/>
            <w:vAlign w:val="center"/>
          </w:tcPr>
          <w:p>
            <w:pPr>
              <w:widowControl/>
              <w:jc w:val="center"/>
              <w:rPr>
                <w:rFonts w:asciiTheme="minorEastAsia" w:hAnsiTheme="minorEastAsia" w:cstheme="minorEastAsia"/>
                <w:b/>
                <w:sz w:val="24"/>
              </w:rPr>
            </w:pPr>
            <w:r>
              <w:rPr>
                <w:rFonts w:hint="eastAsia" w:asciiTheme="minorEastAsia" w:hAnsiTheme="minorEastAsia" w:cstheme="minorEastAsia"/>
                <w:b/>
                <w:sz w:val="24"/>
              </w:rPr>
              <w:t>数量</w:t>
            </w:r>
          </w:p>
        </w:tc>
        <w:tc>
          <w:tcPr>
            <w:tcW w:w="1275" w:type="dxa"/>
            <w:vAlign w:val="center"/>
          </w:tcPr>
          <w:p>
            <w:pPr>
              <w:widowControl/>
              <w:jc w:val="center"/>
              <w:rPr>
                <w:rFonts w:hint="eastAsia" w:asciiTheme="minorEastAsia" w:hAnsiTheme="minorEastAsia" w:eastAsiaTheme="minorEastAsia" w:cstheme="minorEastAsia"/>
                <w:b/>
                <w:sz w:val="24"/>
                <w:lang w:eastAsia="zh-CN"/>
              </w:rPr>
            </w:pPr>
            <w:r>
              <w:rPr>
                <w:rFonts w:hint="eastAsia" w:asciiTheme="minorEastAsia" w:hAnsiTheme="minorEastAsia" w:cstheme="minorEastAsia"/>
                <w:b/>
                <w:sz w:val="24"/>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44"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1050"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三套连体公寓床</w:t>
            </w:r>
          </w:p>
        </w:tc>
        <w:tc>
          <w:tcPr>
            <w:tcW w:w="4826" w:type="dxa"/>
            <w:vAlign w:val="center"/>
          </w:tcPr>
          <w:p>
            <w:pPr>
              <w:widowControl/>
              <w:rPr>
                <w:rFonts w:asciiTheme="minorEastAsia" w:hAnsiTheme="minorEastAsia" w:cstheme="minorEastAsia"/>
                <w:sz w:val="24"/>
              </w:rPr>
            </w:pPr>
            <w:r>
              <w:rPr>
                <w:rFonts w:hint="eastAsia" w:asciiTheme="minorEastAsia" w:hAnsiTheme="minorEastAsia" w:cstheme="minorEastAsia"/>
                <w:sz w:val="24"/>
              </w:rPr>
              <w:t>1）、钢制单层床:</w:t>
            </w:r>
          </w:p>
          <w:p>
            <w:pPr>
              <w:widowControl/>
              <w:rPr>
                <w:rFonts w:asciiTheme="minorEastAsia" w:hAnsiTheme="minorEastAsia" w:cstheme="minorEastAsia"/>
                <w:sz w:val="24"/>
              </w:rPr>
            </w:pPr>
            <w:r>
              <w:rPr>
                <w:rFonts w:hint="eastAsia" w:asciiTheme="minorEastAsia" w:hAnsiTheme="minorEastAsia" w:cstheme="minorEastAsia"/>
                <w:sz w:val="24"/>
              </w:rPr>
              <w:t>床头、床框采用无螺丝连接、爬梯采用防脱螺母连接，靠墙一侧安装与床框同长、略高出电脑桌面的横档支撑（30mm×50mm×1.5mm钢管），床头膨胀栓固定上墙，防侧翻，无晃动。</w:t>
            </w:r>
          </w:p>
          <w:p>
            <w:pPr>
              <w:widowControl/>
              <w:rPr>
                <w:rFonts w:asciiTheme="minorEastAsia" w:hAnsiTheme="minorEastAsia" w:cstheme="minorEastAsia"/>
                <w:sz w:val="24"/>
              </w:rPr>
            </w:pPr>
            <w:r>
              <w:rPr>
                <w:rFonts w:hint="eastAsia" w:asciiTheme="minorEastAsia" w:hAnsiTheme="minorEastAsia" w:cstheme="minorEastAsia"/>
                <w:sz w:val="24"/>
              </w:rPr>
              <w:t>规格：5950mm（宽）×900mm（深）×2050mm(床框上沿距地1800mm)。</w:t>
            </w:r>
          </w:p>
          <w:p>
            <w:pPr>
              <w:widowControl/>
              <w:rPr>
                <w:rFonts w:asciiTheme="minorEastAsia" w:hAnsiTheme="minorEastAsia" w:cstheme="minorEastAsia"/>
                <w:sz w:val="24"/>
              </w:rPr>
            </w:pPr>
            <w:r>
              <w:rPr>
                <w:rFonts w:hint="eastAsia" w:asciiTheme="minorEastAsia" w:hAnsiTheme="minorEastAsia" w:cstheme="minorEastAsia"/>
                <w:sz w:val="24"/>
              </w:rPr>
              <w:t>颜色：磷化喷塑，亚光白色。</w:t>
            </w:r>
          </w:p>
          <w:p>
            <w:pPr>
              <w:widowControl/>
              <w:rPr>
                <w:rFonts w:asciiTheme="minorEastAsia" w:hAnsiTheme="minorEastAsia" w:cstheme="minorEastAsia"/>
                <w:sz w:val="24"/>
              </w:rPr>
            </w:pPr>
            <w:r>
              <w:rPr>
                <w:rFonts w:hint="eastAsia" w:ascii="仿宋" w:hAnsi="仿宋" w:eastAsia="仿宋" w:cs="仿宋"/>
                <w:bCs/>
                <w:iCs/>
                <w:sz w:val="24"/>
              </w:rPr>
              <w:t>▲</w:t>
            </w:r>
            <w:r>
              <w:rPr>
                <w:rFonts w:hint="eastAsia" w:asciiTheme="minorEastAsia" w:hAnsiTheme="minorEastAsia" w:cstheme="minorEastAsia"/>
                <w:sz w:val="24"/>
              </w:rPr>
              <w:t>床头主管：40mm×40mm×1.5mm钢管。</w:t>
            </w:r>
          </w:p>
          <w:p>
            <w:pPr>
              <w:widowControl/>
              <w:rPr>
                <w:rFonts w:asciiTheme="minorEastAsia" w:hAnsiTheme="minorEastAsia" w:cstheme="minorEastAsia"/>
                <w:sz w:val="24"/>
              </w:rPr>
            </w:pPr>
            <w:r>
              <w:rPr>
                <w:rFonts w:hint="eastAsia" w:asciiTheme="minorEastAsia" w:hAnsiTheme="minorEastAsia" w:cstheme="minorEastAsia"/>
                <w:sz w:val="24"/>
              </w:rPr>
              <w:t>床头横撑、竖撑：横撑30mm×30mm×1.2mm钢管、竖撑：25mm×25mm×1.2mm钢管；中床头上部横撑40mm×40mm×1.5mm钢管。</w:t>
            </w:r>
          </w:p>
          <w:p>
            <w:pPr>
              <w:widowControl/>
              <w:rPr>
                <w:rFonts w:asciiTheme="minorEastAsia" w:hAnsiTheme="minorEastAsia" w:cstheme="minorEastAsia"/>
                <w:sz w:val="24"/>
              </w:rPr>
            </w:pPr>
            <w:r>
              <w:rPr>
                <w:rFonts w:hint="eastAsia" w:ascii="仿宋" w:hAnsi="仿宋" w:eastAsia="仿宋" w:cs="仿宋"/>
                <w:bCs/>
                <w:iCs/>
                <w:sz w:val="24"/>
              </w:rPr>
              <w:t>▲</w:t>
            </w:r>
            <w:r>
              <w:rPr>
                <w:rFonts w:hint="eastAsia" w:asciiTheme="minorEastAsia" w:hAnsiTheme="minorEastAsia" w:cstheme="minorEastAsia"/>
                <w:sz w:val="24"/>
              </w:rPr>
              <w:t>床框：30mm×50mm×1.5mm钢管（与床板适合）。</w:t>
            </w:r>
          </w:p>
          <w:p>
            <w:pPr>
              <w:widowControl/>
              <w:rPr>
                <w:rFonts w:asciiTheme="minorEastAsia" w:hAnsiTheme="minorEastAsia" w:cstheme="minorEastAsia"/>
                <w:sz w:val="24"/>
              </w:rPr>
            </w:pPr>
            <w:r>
              <w:rPr>
                <w:rFonts w:hint="eastAsia" w:asciiTheme="minorEastAsia" w:hAnsiTheme="minorEastAsia" w:cstheme="minorEastAsia"/>
                <w:sz w:val="24"/>
              </w:rPr>
              <w:t>床框横撑：25mm×25mm×1.2mm钢管（5根均匀分布、与床板适合）。</w:t>
            </w:r>
          </w:p>
          <w:p>
            <w:pPr>
              <w:shd w:val="clear" w:color="000000" w:fill="FFFFFF"/>
              <w:rPr>
                <w:rFonts w:asciiTheme="minorEastAsia" w:hAnsiTheme="minorEastAsia" w:cstheme="minorEastAsia"/>
                <w:sz w:val="24"/>
              </w:rPr>
            </w:pPr>
            <w:r>
              <w:rPr>
                <w:rFonts w:hint="eastAsia" w:asciiTheme="minorEastAsia" w:hAnsiTheme="minorEastAsia" w:cstheme="minorEastAsia"/>
                <w:sz w:val="24"/>
              </w:rPr>
              <w:t>护拦：25mm×25mm×1.2mm钢管(高250mm、长1000mm)。</w:t>
            </w:r>
          </w:p>
          <w:p>
            <w:pPr>
              <w:widowControl/>
              <w:rPr>
                <w:rFonts w:asciiTheme="minorEastAsia" w:hAnsiTheme="minorEastAsia" w:cstheme="minorEastAsia"/>
                <w:sz w:val="24"/>
              </w:rPr>
            </w:pPr>
            <w:r>
              <w:rPr>
                <w:rFonts w:hint="eastAsia" w:ascii="仿宋" w:hAnsi="仿宋" w:eastAsia="仿宋" w:cs="仿宋"/>
                <w:bCs/>
                <w:iCs/>
                <w:sz w:val="24"/>
              </w:rPr>
              <w:t>▲</w:t>
            </w:r>
            <w:r>
              <w:rPr>
                <w:rFonts w:ascii="宋体" w:hAnsi="宋体" w:cs="仿宋"/>
                <w:sz w:val="24"/>
              </w:rPr>
              <w:t>爬梯：25mm×40mm×1.5mm钢管，</w:t>
            </w:r>
            <w:r>
              <w:rPr>
                <w:rFonts w:hint="eastAsia" w:asciiTheme="minorEastAsia" w:hAnsiTheme="minorEastAsia" w:cstheme="minorEastAsia"/>
                <w:sz w:val="24"/>
              </w:rPr>
              <w:t>落地式，</w:t>
            </w:r>
            <w:r>
              <w:rPr>
                <w:rFonts w:ascii="宋体" w:hAnsi="宋体" w:cs="仿宋"/>
                <w:sz w:val="24"/>
              </w:rPr>
              <w:t>有一定斜度,承重≥200kg（脚踏5层、</w:t>
            </w:r>
            <w:r>
              <w:rPr>
                <w:rFonts w:hint="eastAsia" w:ascii="宋体" w:hAnsi="宋体" w:cs="宋体"/>
                <w:sz w:val="24"/>
              </w:rPr>
              <w:t>内宽350mm、踏步上部内嵌优质注塑成型防滑脚踏板</w:t>
            </w:r>
            <w:r>
              <w:rPr>
                <w:rFonts w:ascii="宋体" w:hAnsi="宋体" w:cs="仿宋"/>
                <w:sz w:val="24"/>
              </w:rPr>
              <w:t>，脚套采用灰色优质工程塑料注塑成型、高度80mm，壁厚≥3mm）</w:t>
            </w:r>
            <w:r>
              <w:rPr>
                <w:rFonts w:hint="eastAsia" w:ascii="宋体" w:hAnsi="宋体" w:cs="仿宋"/>
                <w:sz w:val="24"/>
              </w:rPr>
              <w:t>。</w:t>
            </w:r>
          </w:p>
          <w:p>
            <w:pPr>
              <w:widowControl/>
              <w:rPr>
                <w:rFonts w:asciiTheme="minorEastAsia" w:hAnsiTheme="minorEastAsia" w:cstheme="minorEastAsia"/>
                <w:sz w:val="24"/>
              </w:rPr>
            </w:pPr>
            <w:r>
              <w:rPr>
                <w:rFonts w:hint="eastAsia" w:asciiTheme="minorEastAsia" w:hAnsiTheme="minorEastAsia" w:cstheme="minorEastAsia"/>
                <w:sz w:val="24"/>
              </w:rPr>
              <w:t>蚊帐架：圆管Φ16mm×1.2mm。</w:t>
            </w:r>
          </w:p>
          <w:p>
            <w:pPr>
              <w:widowControl/>
              <w:rPr>
                <w:rFonts w:asciiTheme="minorEastAsia" w:hAnsiTheme="minorEastAsia" w:cstheme="minorEastAsia"/>
                <w:sz w:val="24"/>
              </w:rPr>
            </w:pPr>
            <w:r>
              <w:rPr>
                <w:rFonts w:hint="eastAsia" w:ascii="仿宋" w:hAnsi="仿宋" w:eastAsia="仿宋" w:cs="仿宋"/>
                <w:bCs/>
                <w:iCs/>
                <w:sz w:val="24"/>
              </w:rPr>
              <w:t>▲</w:t>
            </w:r>
            <w:r>
              <w:rPr>
                <w:rFonts w:hint="eastAsia" w:asciiTheme="minorEastAsia" w:hAnsiTheme="minorEastAsia" w:cstheme="minorEastAsia"/>
                <w:sz w:val="24"/>
              </w:rPr>
              <w:t>床板：实木多层板，厚17mm，适合床框的深度，床板铺后与床框保持平整，美观、无突出。</w:t>
            </w:r>
          </w:p>
          <w:p>
            <w:pPr>
              <w:rPr>
                <w:rFonts w:asciiTheme="minorEastAsia" w:hAnsiTheme="minorEastAsia" w:cstheme="minorEastAsia"/>
                <w:sz w:val="24"/>
              </w:rPr>
            </w:pPr>
            <w:r>
              <w:rPr>
                <w:rFonts w:hint="eastAsia" w:asciiTheme="minorEastAsia" w:hAnsiTheme="minorEastAsia" w:cstheme="minorEastAsia"/>
                <w:sz w:val="24"/>
              </w:rPr>
              <w:t>2）、床下组合家具：</w:t>
            </w:r>
          </w:p>
          <w:p>
            <w:pPr>
              <w:rPr>
                <w:rFonts w:asciiTheme="minorEastAsia" w:hAnsiTheme="minorEastAsia" w:cstheme="minorEastAsia"/>
                <w:sz w:val="24"/>
              </w:rPr>
            </w:pPr>
            <w:r>
              <w:rPr>
                <w:rFonts w:hint="eastAsia" w:asciiTheme="minorEastAsia" w:hAnsiTheme="minorEastAsia" w:cstheme="minorEastAsia"/>
                <w:sz w:val="24"/>
              </w:rPr>
              <w:t>衣柜：710mm（宽）×550mm（深）×1700mm（高），与桌面同高处隔为上下两层，上柜内设有不锈钢挂衣杆，柜门内加装400mm×300mm整容镜及毛巾架，下柜内有一块（高度可调）隔层，上下柜门设有透气孔、铝合金扣手、固定铁锁鼻；柜底设有可调脚，</w:t>
            </w:r>
            <w:r>
              <w:rPr>
                <w:rFonts w:hint="eastAsia" w:ascii="仿宋" w:hAnsi="仿宋" w:eastAsia="仿宋" w:cs="仿宋"/>
                <w:bCs/>
                <w:iCs/>
                <w:sz w:val="24"/>
              </w:rPr>
              <w:t>▲</w:t>
            </w:r>
            <w:r>
              <w:rPr>
                <w:rFonts w:hint="eastAsia" w:asciiTheme="minorEastAsia" w:hAnsiTheme="minorEastAsia" w:cstheme="minorEastAsia"/>
                <w:sz w:val="24"/>
              </w:rPr>
              <w:t>柜体冷轧钢板厚度≥0.7mm，颜色：柜体亚光白色，柜门蓝色。</w:t>
            </w:r>
          </w:p>
          <w:p>
            <w:pPr>
              <w:rPr>
                <w:rFonts w:asciiTheme="minorEastAsia" w:hAnsiTheme="minorEastAsia" w:cstheme="minorEastAsia"/>
                <w:sz w:val="24"/>
              </w:rPr>
            </w:pPr>
            <w:r>
              <w:rPr>
                <w:rFonts w:hint="eastAsia" w:asciiTheme="minorEastAsia" w:hAnsiTheme="minorEastAsia" w:cstheme="minorEastAsia"/>
                <w:sz w:val="24"/>
              </w:rPr>
              <w:t>书架：1210mm（宽）×230mm（深）×940mm（高），上部为横向书架，间隔3等分；右侧为竖向书架，间隔3等分；</w:t>
            </w:r>
            <w:r>
              <w:rPr>
                <w:rFonts w:hint="eastAsia" w:ascii="仿宋" w:hAnsi="仿宋" w:eastAsia="仿宋" w:cs="仿宋"/>
                <w:bCs/>
                <w:iCs/>
                <w:sz w:val="24"/>
              </w:rPr>
              <w:t>▲</w:t>
            </w:r>
            <w:r>
              <w:rPr>
                <w:rFonts w:hint="eastAsia" w:asciiTheme="minorEastAsia" w:hAnsiTheme="minorEastAsia" w:cstheme="minorEastAsia"/>
                <w:sz w:val="24"/>
              </w:rPr>
              <w:t>书架冷轧钢板厚度≥0.7mm，与衣柜、桌面牢固连接，颜色：亚光白色。</w:t>
            </w:r>
          </w:p>
          <w:p>
            <w:pPr>
              <w:rPr>
                <w:rFonts w:asciiTheme="minorEastAsia" w:hAnsiTheme="minorEastAsia" w:cstheme="minorEastAsia"/>
                <w:sz w:val="24"/>
              </w:rPr>
            </w:pPr>
            <w:r>
              <w:rPr>
                <w:rFonts w:hint="eastAsia" w:asciiTheme="minorEastAsia" w:hAnsiTheme="minorEastAsia" w:cstheme="minorEastAsia"/>
                <w:sz w:val="24"/>
              </w:rPr>
              <w:t>桌子：1210mm（宽）×550mm（深）×760mm（高），</w:t>
            </w:r>
            <w:r>
              <w:rPr>
                <w:rFonts w:hint="eastAsia" w:ascii="仿宋" w:hAnsi="仿宋" w:eastAsia="仿宋" w:cs="仿宋"/>
                <w:bCs/>
                <w:iCs/>
                <w:sz w:val="24"/>
              </w:rPr>
              <w:t>▲</w:t>
            </w:r>
            <w:r>
              <w:rPr>
                <w:rFonts w:hint="eastAsia" w:asciiTheme="minorEastAsia" w:hAnsiTheme="minorEastAsia" w:cstheme="minorEastAsia"/>
                <w:sz w:val="24"/>
              </w:rPr>
              <w:t>桌面采用25mm厚优质防火板，前压舌后直边，距桌面下240mm,衣柜与主机柜中间设搁物架一个，深280mm,后设高100mm挡板；主机柜有一抽一门，后侧设有透气孔，留有穿线孔，抽屉295mm（宽）×340mm（深）×120mm（高），钢制滑槽结构，柜底设有可调脚，柜门铝合金扣手、固定铁锁鼻；</w:t>
            </w:r>
            <w:r>
              <w:rPr>
                <w:rFonts w:hint="eastAsia" w:ascii="仿宋" w:hAnsi="仿宋" w:eastAsia="仿宋" w:cs="仿宋"/>
                <w:bCs/>
                <w:iCs/>
                <w:sz w:val="24"/>
              </w:rPr>
              <w:t>▲</w:t>
            </w:r>
            <w:r>
              <w:rPr>
                <w:rFonts w:hint="eastAsia" w:asciiTheme="minorEastAsia" w:hAnsiTheme="minorEastAsia" w:cstheme="minorEastAsia"/>
                <w:sz w:val="24"/>
              </w:rPr>
              <w:t>桌体冷轧钢板厚度≥0.8mm，颜色：柜体亚光白色，柜门蓝色。</w:t>
            </w:r>
          </w:p>
          <w:p>
            <w:pPr>
              <w:rPr>
                <w:rFonts w:asciiTheme="minorEastAsia" w:hAnsiTheme="minorEastAsia" w:cstheme="minorEastAsia"/>
                <w:sz w:val="24"/>
              </w:rPr>
            </w:pPr>
            <w:r>
              <w:rPr>
                <w:rFonts w:hint="eastAsia" w:asciiTheme="minorEastAsia" w:hAnsiTheme="minorEastAsia" w:cstheme="minorEastAsia"/>
                <w:sz w:val="24"/>
              </w:rPr>
              <w:t>3）、凳子：340mm（宽）×240mm（深）×440mm（高）</w:t>
            </w:r>
          </w:p>
          <w:p>
            <w:pPr>
              <w:rPr>
                <w:rFonts w:asciiTheme="minorEastAsia" w:hAnsiTheme="minorEastAsia" w:cstheme="minorEastAsia"/>
                <w:sz w:val="24"/>
              </w:rPr>
            </w:pPr>
            <w:r>
              <w:rPr>
                <w:rFonts w:hint="eastAsia" w:asciiTheme="minorEastAsia" w:hAnsiTheme="minorEastAsia" w:cstheme="minorEastAsia"/>
                <w:sz w:val="24"/>
              </w:rPr>
              <w:t>凳面：红橘色，</w:t>
            </w:r>
            <w:r>
              <w:rPr>
                <w:rFonts w:hint="eastAsia" w:ascii="仿宋" w:hAnsi="仿宋" w:eastAsia="仿宋" w:cs="仿宋"/>
                <w:bCs/>
                <w:iCs/>
                <w:sz w:val="24"/>
              </w:rPr>
              <w:t>▲</w:t>
            </w:r>
            <w:r>
              <w:rPr>
                <w:rFonts w:hint="eastAsia" w:asciiTheme="minorEastAsia" w:hAnsiTheme="minorEastAsia" w:cstheme="minorEastAsia"/>
                <w:sz w:val="24"/>
              </w:rPr>
              <w:t>材质为18mm厚多层板，0.6mm冷轧板包边。</w:t>
            </w:r>
          </w:p>
          <w:p>
            <w:pPr>
              <w:rPr>
                <w:rFonts w:asciiTheme="minorEastAsia" w:hAnsiTheme="minorEastAsia" w:cstheme="minorEastAsia"/>
                <w:sz w:val="24"/>
              </w:rPr>
            </w:pPr>
            <w:r>
              <w:rPr>
                <w:rFonts w:hint="eastAsia" w:asciiTheme="minorEastAsia" w:hAnsiTheme="minorEastAsia" w:cstheme="minorEastAsia"/>
                <w:sz w:val="24"/>
              </w:rPr>
              <w:t>凳腿：25mm×25mm×1.2mm钢管；拉撑用20 mm×20 mm×1.2mm钢管。</w:t>
            </w:r>
          </w:p>
          <w:p>
            <w:pPr>
              <w:rPr>
                <w:rFonts w:asciiTheme="minorEastAsia" w:hAnsiTheme="minorEastAsia" w:cstheme="minorEastAsia"/>
                <w:sz w:val="24"/>
              </w:rPr>
            </w:pPr>
            <w:r>
              <w:rPr>
                <w:rFonts w:hint="eastAsia" w:asciiTheme="minorEastAsia" w:hAnsiTheme="minorEastAsia" w:cstheme="minorEastAsia"/>
                <w:sz w:val="24"/>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67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套</w:t>
            </w:r>
          </w:p>
        </w:tc>
        <w:tc>
          <w:tcPr>
            <w:tcW w:w="1282" w:type="dxa"/>
            <w:vAlign w:val="center"/>
          </w:tcPr>
          <w:p>
            <w:pPr>
              <w:widowControl/>
              <w:jc w:val="center"/>
              <w:rPr>
                <w:rFonts w:asciiTheme="minorEastAsia" w:hAnsiTheme="minorEastAsia" w:cstheme="minorEastAsia"/>
                <w:sz w:val="24"/>
              </w:rPr>
            </w:pPr>
            <w:r>
              <w:rPr>
                <w:rFonts w:hint="eastAsia" w:asciiTheme="minorEastAsia" w:hAnsiTheme="minorEastAsia" w:cstheme="minorEastAsia"/>
                <w:sz w:val="24"/>
              </w:rPr>
              <w:t>约1197套</w:t>
            </w:r>
          </w:p>
          <w:p>
            <w:pPr>
              <w:widowControl/>
              <w:jc w:val="center"/>
              <w:rPr>
                <w:rFonts w:asciiTheme="minorEastAsia" w:hAnsiTheme="minorEastAsia" w:cstheme="minorEastAsia"/>
                <w:sz w:val="24"/>
              </w:rPr>
            </w:pPr>
            <w:r>
              <w:rPr>
                <w:rFonts w:hint="eastAsia" w:asciiTheme="minorEastAsia" w:hAnsiTheme="minorEastAsia" w:cstheme="minorEastAsia"/>
                <w:sz w:val="24"/>
              </w:rPr>
              <w:t>(3590床位)</w:t>
            </w:r>
          </w:p>
        </w:tc>
        <w:tc>
          <w:tcPr>
            <w:tcW w:w="1275" w:type="dxa"/>
            <w:vAlign w:val="center"/>
          </w:tcPr>
          <w:p>
            <w:pPr>
              <w:widowControl/>
              <w:jc w:val="center"/>
              <w:rPr>
                <w:rFonts w:hint="eastAsia" w:asciiTheme="minorEastAsia" w:hAnsiTheme="minorEastAsia" w:eastAsiaTheme="minorEastAsia" w:cstheme="minorEastAsia"/>
                <w:sz w:val="24"/>
                <w:lang w:eastAsia="zh-CN"/>
              </w:rPr>
            </w:pPr>
            <w:bookmarkStart w:id="0" w:name="_GoBack"/>
            <w:bookmarkEnd w:id="0"/>
            <w:r>
              <w:rPr>
                <w:rFonts w:hint="eastAsia" w:asciiTheme="minorEastAsia" w:hAnsiTheme="minorEastAsia" w:cstheme="minorEastAsia"/>
                <w:sz w:val="24"/>
                <w:lang w:eastAsia="zh-CN"/>
              </w:rPr>
              <w:t>是</w:t>
            </w:r>
          </w:p>
        </w:tc>
      </w:tr>
    </w:tbl>
    <w:p>
      <w:pPr>
        <w:jc w:val="center"/>
        <w:rPr>
          <w:rFonts w:asciiTheme="minorEastAsia" w:hAnsiTheme="minorEastAsia" w:cstheme="minorEastAsia"/>
          <w:b/>
          <w:sz w:val="24"/>
        </w:rPr>
      </w:pPr>
    </w:p>
    <w:p>
      <w:pPr>
        <w:jc w:val="center"/>
        <w:rPr>
          <w:rFonts w:asciiTheme="minorEastAsia" w:hAnsiTheme="minorEastAsia" w:cstheme="minorEastAsia"/>
          <w:b/>
          <w:sz w:val="24"/>
        </w:rPr>
      </w:pPr>
      <w:r>
        <w:rPr>
          <w:rFonts w:hint="eastAsia" w:asciiTheme="minorEastAsia" w:hAnsiTheme="minorEastAsia" w:cstheme="minorEastAsia"/>
          <w:b/>
          <w:sz w:val="24"/>
        </w:rPr>
        <w:t>公寓床图样</w:t>
      </w:r>
    </w:p>
    <w:p>
      <w:pPr>
        <w:jc w:val="center"/>
        <w:rPr>
          <w:rFonts w:asciiTheme="minorEastAsia" w:hAnsiTheme="minorEastAsia" w:cstheme="minorEastAsia"/>
          <w:b/>
          <w:sz w:val="24"/>
        </w:rPr>
      </w:pPr>
      <w:r>
        <w:rPr>
          <w:rFonts w:hint="eastAsia" w:asciiTheme="minorEastAsia" w:hAnsiTheme="minorEastAsia" w:cstheme="minorEastAsia"/>
          <w:b/>
          <w:sz w:val="24"/>
        </w:rPr>
        <w:drawing>
          <wp:inline distT="0" distB="0" distL="114300" distR="114300">
            <wp:extent cx="5702300" cy="3328670"/>
            <wp:effectExtent l="1905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5702300" cy="3328670"/>
                    </a:xfrm>
                    <a:prstGeom prst="rect">
                      <a:avLst/>
                    </a:prstGeom>
                    <a:noFill/>
                    <a:ln w="9525">
                      <a:noFill/>
                    </a:ln>
                  </pic:spPr>
                </pic:pic>
              </a:graphicData>
            </a:graphic>
          </wp:inline>
        </w:drawing>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（二）服务标准、期限、效率等要求：确保于2018年8月20日前交付使用。</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（三）验收标准</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按照招标文件要求、投标文件响应和承诺验收。</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（一）评标方法：综合评分法</w:t>
      </w:r>
      <w:r>
        <w:rPr>
          <w:rFonts w:hint="eastAsia" w:ascii="楷体" w:hAnsi="楷体" w:eastAsia="楷体" w:cs="Arial"/>
          <w:color w:val="000000"/>
          <w:kern w:val="0"/>
          <w:sz w:val="28"/>
          <w:szCs w:val="28"/>
        </w:rPr>
        <w:t>√</w:t>
      </w:r>
    </w:p>
    <w:p>
      <w:pPr>
        <w:spacing w:line="360" w:lineRule="auto"/>
        <w:ind w:firstLine="588" w:firstLineChars="196"/>
        <w:rPr>
          <w:rFonts w:ascii="仿宋" w:hAnsi="仿宋" w:eastAsia="仿宋"/>
          <w:bCs/>
          <w:color w:val="000000"/>
          <w:sz w:val="30"/>
          <w:szCs w:val="30"/>
        </w:rPr>
      </w:pPr>
      <w:r>
        <w:rPr>
          <w:rFonts w:hint="eastAsia" w:ascii="仿宋" w:hAnsi="仿宋" w:eastAsia="仿宋" w:cs="Arial"/>
          <w:color w:val="000000"/>
          <w:kern w:val="0"/>
          <w:sz w:val="30"/>
          <w:szCs w:val="30"/>
          <w:shd w:val="clear" w:color="auto" w:fill="FFFFFF"/>
        </w:rPr>
        <w:t>（二）</w:t>
      </w:r>
      <w:r>
        <w:rPr>
          <w:rFonts w:hint="eastAsia" w:ascii="仿宋" w:hAnsi="仿宋" w:eastAsia="仿宋"/>
          <w:bCs/>
          <w:color w:val="000000"/>
          <w:sz w:val="30"/>
          <w:szCs w:val="30"/>
        </w:rPr>
        <w:t>评分标准</w:t>
      </w:r>
    </w:p>
    <w:tbl>
      <w:tblPr>
        <w:tblStyle w:val="9"/>
        <w:tblW w:w="895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45"/>
        <w:gridCol w:w="20"/>
        <w:gridCol w:w="20"/>
        <w:gridCol w:w="5063"/>
        <w:gridCol w:w="228"/>
        <w:gridCol w:w="1755"/>
        <w:gridCol w:w="2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gridAfter w:val="1"/>
          <w:wAfter w:w="228" w:type="dxa"/>
          <w:trHeight w:val="1107" w:hRule="atLeast"/>
          <w:jc w:val="center"/>
        </w:trPr>
        <w:tc>
          <w:tcPr>
            <w:tcW w:w="1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(总分100分)</w:t>
            </w:r>
          </w:p>
        </w:tc>
        <w:tc>
          <w:tcPr>
            <w:tcW w:w="708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价格分值：</w:t>
            </w:r>
            <w:r>
              <w:rPr>
                <w:rFonts w:hint="eastAsia" w:ascii="宋体" w:hAnsi="宋体" w:eastAsia="宋体" w:cs="宋体"/>
                <w:color w:val="000000"/>
                <w:kern w:val="0"/>
                <w:sz w:val="24"/>
                <w:szCs w:val="24"/>
              </w:rPr>
              <w:t>  </w:t>
            </w:r>
            <w:r>
              <w:rPr>
                <w:rFonts w:hint="eastAsia" w:ascii="仿宋" w:hAnsi="仿宋" w:eastAsia="仿宋"/>
                <w:sz w:val="24"/>
                <w:szCs w:val="24"/>
              </w:rPr>
              <w:t>35</w:t>
            </w:r>
            <w:r>
              <w:rPr>
                <w:rFonts w:hint="eastAsia" w:ascii="仿宋" w:hAnsi="仿宋" w:eastAsia="仿宋" w:cs="仿宋"/>
                <w:color w:val="000000"/>
                <w:kern w:val="0"/>
                <w:sz w:val="24"/>
                <w:szCs w:val="24"/>
              </w:rPr>
              <w:t>分</w:t>
            </w:r>
          </w:p>
          <w:p>
            <w:pPr>
              <w:widowControl/>
              <w:spacing w:line="360" w:lineRule="atLeast"/>
              <w:ind w:firstLine="480"/>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商务部分：</w:t>
            </w:r>
            <w:r>
              <w:rPr>
                <w:rFonts w:hint="eastAsia" w:ascii="宋体" w:hAnsi="宋体" w:eastAsia="宋体" w:cs="宋体"/>
                <w:color w:val="000000"/>
                <w:kern w:val="0"/>
                <w:sz w:val="24"/>
                <w:szCs w:val="24"/>
              </w:rPr>
              <w:t>   30</w:t>
            </w:r>
            <w:r>
              <w:rPr>
                <w:rFonts w:hint="eastAsia" w:ascii="仿宋" w:hAnsi="仿宋" w:eastAsia="仿宋" w:cs="仿宋"/>
                <w:color w:val="000000"/>
                <w:kern w:val="0"/>
                <w:sz w:val="24"/>
                <w:szCs w:val="24"/>
              </w:rPr>
              <w:t>分</w:t>
            </w:r>
          </w:p>
          <w:p>
            <w:pPr>
              <w:widowControl/>
              <w:spacing w:line="360" w:lineRule="atLeast"/>
              <w:ind w:firstLine="480"/>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技术部分：</w:t>
            </w:r>
            <w:r>
              <w:rPr>
                <w:rFonts w:hint="eastAsia" w:ascii="宋体" w:hAnsi="宋体" w:eastAsia="宋体" w:cs="宋体"/>
                <w:color w:val="000000"/>
                <w:kern w:val="0"/>
                <w:sz w:val="24"/>
                <w:szCs w:val="24"/>
              </w:rPr>
              <w:t>  35</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8731"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一、价格部分（满分</w:t>
            </w:r>
            <w:r>
              <w:rPr>
                <w:rFonts w:hint="eastAsia" w:ascii="宋体" w:hAnsi="宋体" w:eastAsia="宋体" w:cs="宋体"/>
                <w:b/>
                <w:color w:val="000000"/>
                <w:kern w:val="0"/>
                <w:sz w:val="24"/>
                <w:szCs w:val="24"/>
              </w:rPr>
              <w:t>35</w:t>
            </w:r>
            <w:r>
              <w:rPr>
                <w:rFonts w:hint="eastAsia" w:ascii="仿宋" w:hAnsi="仿宋" w:eastAsia="仿宋"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评分因素</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评分标准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90"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投标报价</w:t>
            </w:r>
          </w:p>
          <w:p>
            <w:pPr>
              <w:widowControl/>
              <w:spacing w:line="9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评分标准</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eastAsia="宋体" w:cs="宋体"/>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90" w:lineRule="atLeast"/>
              <w:jc w:val="left"/>
              <w:rPr>
                <w:rFonts w:ascii="宋体" w:hAnsi="宋体" w:eastAsia="宋体" w:cs="宋体"/>
                <w:color w:val="000000"/>
                <w:kern w:val="0"/>
                <w:sz w:val="24"/>
                <w:szCs w:val="24"/>
              </w:rPr>
            </w:pPr>
            <w:r>
              <w:rPr>
                <w:rFonts w:hint="eastAsia" w:ascii="仿宋" w:hAnsi="仿宋" w:eastAsia="仿宋" w:cs="仿宋"/>
                <w:color w:val="000000"/>
                <w:kern w:val="0"/>
                <w:sz w:val="24"/>
                <w:szCs w:val="24"/>
              </w:rPr>
              <w:t>投标报价得分=（评标基准价/投标报价）×35</w:t>
            </w:r>
            <w:r>
              <w:rPr>
                <w:rFonts w:hint="eastAsia" w:ascii="宋体" w:hAnsi="宋体" w:eastAsia="宋体" w:cs="宋体"/>
                <w:color w:val="000000"/>
                <w:kern w:val="0"/>
                <w:sz w:val="24"/>
                <w:szCs w:val="24"/>
              </w:rPr>
              <w:t>  </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35</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8731"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二、商务部分（满分</w:t>
            </w:r>
            <w:r>
              <w:rPr>
                <w:rFonts w:hint="eastAsia" w:ascii="宋体" w:hAnsi="宋体" w:eastAsia="宋体" w:cs="宋体"/>
                <w:b/>
                <w:color w:val="000000"/>
                <w:kern w:val="0"/>
                <w:sz w:val="24"/>
                <w:szCs w:val="24"/>
              </w:rPr>
              <w:t>30</w:t>
            </w:r>
            <w:r>
              <w:rPr>
                <w:rFonts w:hint="eastAsia" w:ascii="仿宋" w:hAnsi="仿宋" w:eastAsia="仿宋"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评分因素</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评分标准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745"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企业实力</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ascii="仿宋" w:hAnsi="仿宋" w:eastAsia="仿宋"/>
                <w:sz w:val="24"/>
                <w:szCs w:val="24"/>
              </w:rPr>
            </w:pPr>
            <w:r>
              <w:rPr>
                <w:rFonts w:hint="eastAsia" w:ascii="仿宋" w:hAnsi="仿宋" w:eastAsia="仿宋"/>
                <w:sz w:val="24"/>
                <w:szCs w:val="24"/>
              </w:rPr>
              <w:t>1、投标人具有省级或以上工商局2016年以来颁发的“守合同重信用”企业证书的得4分。</w:t>
            </w:r>
          </w:p>
          <w:p>
            <w:pPr>
              <w:spacing w:line="360" w:lineRule="auto"/>
              <w:rPr>
                <w:rFonts w:ascii="仿宋" w:hAnsi="仿宋" w:eastAsia="仿宋"/>
                <w:sz w:val="24"/>
                <w:szCs w:val="24"/>
              </w:rPr>
            </w:pPr>
            <w:r>
              <w:rPr>
                <w:rFonts w:hint="eastAsia" w:ascii="仿宋" w:hAnsi="仿宋" w:eastAsia="仿宋"/>
                <w:sz w:val="24"/>
                <w:szCs w:val="24"/>
              </w:rPr>
              <w:t>2、投标人具有省级或以上质监局颁发的质量诚信体系建设A级或以上工业企业证书的得3分。</w:t>
            </w:r>
          </w:p>
          <w:p>
            <w:pPr>
              <w:spacing w:line="360" w:lineRule="auto"/>
              <w:rPr>
                <w:rFonts w:ascii="仿宋" w:hAnsi="仿宋" w:eastAsia="仿宋"/>
                <w:sz w:val="24"/>
                <w:szCs w:val="24"/>
              </w:rPr>
            </w:pPr>
            <w:r>
              <w:rPr>
                <w:rFonts w:hint="eastAsia" w:ascii="仿宋" w:hAnsi="仿宋" w:eastAsia="仿宋"/>
                <w:sz w:val="24"/>
                <w:szCs w:val="24"/>
              </w:rPr>
              <w:t>3、投标人</w:t>
            </w:r>
            <w:r>
              <w:rPr>
                <w:rFonts w:hint="eastAsia" w:ascii="仿宋" w:hAnsi="仿宋" w:eastAsia="仿宋"/>
                <w:sz w:val="24"/>
              </w:rPr>
              <w:t>公寓床产品通过</w:t>
            </w:r>
            <w:r>
              <w:rPr>
                <w:rFonts w:hint="eastAsia" w:ascii="仿宋" w:hAnsi="仿宋" w:eastAsia="仿宋"/>
                <w:sz w:val="24"/>
                <w:szCs w:val="24"/>
              </w:rPr>
              <w:t>中国环境标志产品认证证书的得3分。</w:t>
            </w:r>
          </w:p>
          <w:p>
            <w:pPr>
              <w:spacing w:line="360" w:lineRule="auto"/>
              <w:rPr>
                <w:rFonts w:ascii="仿宋" w:hAnsi="仿宋" w:eastAsia="仿宋"/>
                <w:sz w:val="24"/>
                <w:szCs w:val="24"/>
              </w:rPr>
            </w:pPr>
            <w:r>
              <w:rPr>
                <w:rFonts w:hint="eastAsia" w:ascii="仿宋" w:hAnsi="仿宋" w:eastAsia="仿宋"/>
                <w:sz w:val="24"/>
                <w:szCs w:val="24"/>
              </w:rPr>
              <w:t>4、</w:t>
            </w:r>
            <w:r>
              <w:rPr>
                <w:rFonts w:hint="eastAsia" w:ascii="仿宋" w:hAnsi="仿宋" w:eastAsia="仿宋" w:cs="Times New Roman"/>
                <w:sz w:val="24"/>
              </w:rPr>
              <w:t>投标人具有GB/T27922-2011《商品售后服务评价体系》的售后服务认证证书，五星得3分、四星得2分、3星得1分，满分3分。</w:t>
            </w:r>
          </w:p>
          <w:p>
            <w:pPr>
              <w:spacing w:line="360" w:lineRule="auto"/>
              <w:rPr>
                <w:rFonts w:ascii="仿宋" w:hAnsi="仿宋" w:eastAsia="仿宋"/>
                <w:sz w:val="24"/>
                <w:szCs w:val="24"/>
              </w:rPr>
            </w:pPr>
            <w:r>
              <w:rPr>
                <w:rFonts w:hint="eastAsia" w:ascii="仿宋" w:hAnsi="仿宋" w:eastAsia="仿宋"/>
                <w:sz w:val="24"/>
                <w:szCs w:val="24"/>
              </w:rPr>
              <w:t>5、投标人所投产品为保险公司承保产品，具有产品质量险、产品责任险、公众责任险（含保险证书、保单、发票），每具有一项得1分，满分3分。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16</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业绩</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ascii="仿宋" w:hAnsi="仿宋" w:eastAsia="仿宋"/>
                <w:sz w:val="24"/>
                <w:szCs w:val="24"/>
              </w:rPr>
            </w:pPr>
            <w:r>
              <w:rPr>
                <w:rFonts w:hint="eastAsia" w:ascii="仿宋" w:hAnsi="仿宋" w:eastAsia="仿宋"/>
                <w:sz w:val="24"/>
                <w:szCs w:val="24"/>
              </w:rPr>
              <w:t xml:space="preserve">    2017年1月1日以来具有公寓床类项目业绩，单项合同金额在200万元及以上的，（合同、中标通知书、</w:t>
            </w:r>
            <w:r>
              <w:rPr>
                <w:rFonts w:hint="eastAsia" w:ascii="仿宋" w:hAnsi="仿宋" w:eastAsia="仿宋" w:cs="仿宋"/>
                <w:kern w:val="0"/>
                <w:sz w:val="24"/>
              </w:rPr>
              <w:t>中标公告网页截图</w:t>
            </w:r>
            <w:r>
              <w:rPr>
                <w:rFonts w:hint="eastAsia" w:ascii="仿宋" w:hAnsi="仿宋" w:eastAsia="仿宋"/>
                <w:sz w:val="24"/>
                <w:szCs w:val="24"/>
              </w:rPr>
              <w:t>及验收报告齐全者），每提供一套得4分，满分12分（以合同时间为准）。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12</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40" w:lineRule="exact"/>
              <w:jc w:val="center"/>
            </w:pPr>
            <w:r>
              <w:rPr>
                <w:rFonts w:hint="eastAsia" w:ascii="仿宋" w:hAnsi="仿宋" w:eastAsia="仿宋"/>
                <w:sz w:val="24"/>
              </w:rPr>
              <w:t>投标文件规范程度</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exact"/>
              <w:rPr>
                <w:rFonts w:ascii="仿宋" w:hAnsi="仿宋" w:eastAsia="仿宋"/>
                <w:sz w:val="24"/>
              </w:rPr>
            </w:pPr>
            <w:r>
              <w:rPr>
                <w:rFonts w:hint="eastAsia" w:ascii="仿宋" w:hAnsi="仿宋" w:eastAsia="仿宋"/>
                <w:sz w:val="24"/>
              </w:rPr>
              <w:t>1、编制规范、文字清晰、无差错1分。</w:t>
            </w:r>
          </w:p>
          <w:p>
            <w:pPr>
              <w:widowControl/>
              <w:spacing w:line="360" w:lineRule="exact"/>
              <w:jc w:val="left"/>
            </w:pPr>
            <w:r>
              <w:rPr>
                <w:rFonts w:hint="eastAsia" w:ascii="仿宋" w:hAnsi="仿宋" w:eastAsia="仿宋"/>
                <w:sz w:val="24"/>
              </w:rPr>
              <w:t>2、所提供资料准确完整1分。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pPr>
            <w:r>
              <w:rPr>
                <w:rFonts w:hint="eastAsia" w:ascii="仿宋" w:hAnsi="仿宋" w:eastAsia="仿宋" w:cs="仿宋"/>
                <w:kern w:val="0"/>
                <w:sz w:val="24"/>
              </w:rPr>
              <w:t xml:space="preserve">   2分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623" w:hRule="atLeast"/>
          <w:jc w:val="center"/>
        </w:trPr>
        <w:tc>
          <w:tcPr>
            <w:tcW w:w="8731" w:type="dxa"/>
            <w:gridSpan w:val="6"/>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三、技术部分（满分</w:t>
            </w:r>
            <w:r>
              <w:rPr>
                <w:rFonts w:hint="eastAsia" w:ascii="宋体" w:hAnsi="宋体" w:eastAsia="宋体" w:cs="宋体"/>
                <w:b/>
                <w:color w:val="000000"/>
                <w:kern w:val="0"/>
                <w:sz w:val="24"/>
                <w:szCs w:val="24"/>
              </w:rPr>
              <w:t> </w:t>
            </w:r>
            <w:r>
              <w:rPr>
                <w:rFonts w:hint="eastAsia" w:ascii="仿宋" w:hAnsi="仿宋" w:eastAsia="仿宋"/>
                <w:b/>
                <w:sz w:val="30"/>
                <w:szCs w:val="30"/>
              </w:rPr>
              <w:t>35</w:t>
            </w:r>
            <w:r>
              <w:rPr>
                <w:rFonts w:hint="eastAsia" w:ascii="宋体" w:hAnsi="宋体" w:eastAsia="宋体" w:cs="宋体"/>
                <w:b/>
                <w:color w:val="000000"/>
                <w:kern w:val="0"/>
                <w:sz w:val="24"/>
                <w:szCs w:val="24"/>
              </w:rPr>
              <w:t> </w:t>
            </w:r>
            <w:r>
              <w:rPr>
                <w:rFonts w:hint="eastAsia" w:ascii="仿宋" w:hAnsi="仿宋" w:eastAsia="仿宋"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591"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评分因素</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评分标准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487"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对招标文件</w:t>
            </w:r>
          </w:p>
          <w:p>
            <w:pPr>
              <w:widowControl/>
              <w:spacing w:line="33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响应程度</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exact"/>
              <w:jc w:val="left"/>
              <w:rPr>
                <w:rFonts w:ascii="仿宋" w:hAnsi="仿宋" w:eastAsia="仿宋"/>
                <w:sz w:val="24"/>
              </w:rPr>
            </w:pPr>
            <w:r>
              <w:rPr>
                <w:rFonts w:hint="eastAsia" w:ascii="仿宋" w:hAnsi="仿宋" w:eastAsia="仿宋"/>
                <w:sz w:val="24"/>
              </w:rPr>
              <w:t>1、不满足招标文件技术指标要求和商务条款规定的为无效投标。</w:t>
            </w:r>
          </w:p>
          <w:p>
            <w:pPr>
              <w:rPr>
                <w:rFonts w:ascii="仿宋" w:hAnsi="仿宋" w:eastAsia="仿宋" w:cs="仿宋"/>
                <w:sz w:val="24"/>
              </w:rPr>
            </w:pPr>
            <w:r>
              <w:rPr>
                <w:rFonts w:hint="eastAsia" w:ascii="仿宋" w:hAnsi="仿宋" w:eastAsia="仿宋"/>
                <w:sz w:val="24"/>
                <w:szCs w:val="24"/>
              </w:rPr>
              <w:t>2、技术参数满分17分。</w:t>
            </w:r>
            <w:r>
              <w:rPr>
                <w:rFonts w:hint="eastAsia" w:ascii="仿宋" w:hAnsi="仿宋" w:eastAsia="仿宋" w:cs="仿宋"/>
                <w:sz w:val="24"/>
              </w:rPr>
              <w:t>满足招标文件技术参数要求的得基本分15分，加</w:t>
            </w:r>
            <w:r>
              <w:rPr>
                <w:rFonts w:hint="eastAsia" w:ascii="仿宋" w:hAnsi="仿宋" w:eastAsia="仿宋" w:cs="仿宋"/>
                <w:bCs/>
                <w:iCs/>
                <w:sz w:val="24"/>
              </w:rPr>
              <w:t>▲</w:t>
            </w:r>
            <w:r>
              <w:rPr>
                <w:rFonts w:hint="eastAsia" w:ascii="仿宋" w:hAnsi="仿宋" w:eastAsia="仿宋" w:cs="仿宋"/>
                <w:sz w:val="24"/>
              </w:rPr>
              <w:t>部分投标技术参数优于采购需求技术参数的每项得0.5分（最多得2分）。</w:t>
            </w:r>
          </w:p>
          <w:p>
            <w:r>
              <w:rPr>
                <w:rFonts w:hint="eastAsia" w:ascii="仿宋" w:hAnsi="仿宋" w:eastAsia="仿宋" w:cs="Times New Roman"/>
                <w:sz w:val="24"/>
              </w:rPr>
              <w:t>3、投标人提供具有环境影响评价资质的第三方机构出具的环境影响评估报告，报告内容应含厂址及周围环境情况、污染物排放及总量控制分析、评估结论。每项得1分，满分3分。</w:t>
            </w:r>
          </w:p>
          <w:p>
            <w:pPr>
              <w:widowControl/>
              <w:spacing w:line="360" w:lineRule="exact"/>
              <w:jc w:val="left"/>
              <w:rPr>
                <w:rFonts w:ascii="仿宋" w:hAnsi="仿宋" w:eastAsia="仿宋" w:cs="Times New Roman"/>
                <w:sz w:val="24"/>
              </w:rPr>
            </w:pPr>
            <w:r>
              <w:rPr>
                <w:rFonts w:hint="eastAsia" w:ascii="仿宋" w:hAnsi="仿宋" w:eastAsia="仿宋" w:cs="Times New Roman"/>
                <w:sz w:val="24"/>
              </w:rPr>
              <w:t>4、投标人提供“</w:t>
            </w:r>
            <w:r>
              <w:rPr>
                <w:rFonts w:hint="eastAsia" w:ascii="仿宋" w:hAnsi="仿宋" w:eastAsia="仿宋" w:cs="仿宋"/>
                <w:sz w:val="24"/>
              </w:rPr>
              <w:t>三套连体公寓床</w:t>
            </w:r>
            <w:r>
              <w:rPr>
                <w:rFonts w:hint="eastAsia" w:ascii="仿宋" w:hAnsi="仿宋" w:eastAsia="仿宋" w:cs="Times New Roman"/>
                <w:sz w:val="24"/>
              </w:rPr>
              <w:t>”实物照片（照片不小于7寸，包含正面、侧面及背面等不少于三个标准角度）及技术说明，照片清晰且符合要求的每项得1分，满分3分。</w:t>
            </w:r>
          </w:p>
          <w:p>
            <w:pPr>
              <w:widowControl/>
              <w:spacing w:line="360" w:lineRule="exact"/>
              <w:jc w:val="left"/>
              <w:rPr>
                <w:rFonts w:ascii="仿宋" w:hAnsi="仿宋" w:eastAsia="仿宋" w:cs="Times New Roman"/>
                <w:sz w:val="24"/>
              </w:rPr>
            </w:pPr>
            <w:r>
              <w:rPr>
                <w:rFonts w:hint="eastAsia" w:ascii="仿宋" w:hAnsi="仿宋" w:eastAsia="仿宋" w:cs="Times New Roman"/>
                <w:sz w:val="24"/>
              </w:rPr>
              <w:t>5、投标人提供用于本项目产品生产所需主要设备的证明资料，用途、简介及购置发票。齐全且完整的每项得0.5分，满分4分。</w:t>
            </w:r>
          </w:p>
          <w:p>
            <w:pPr>
              <w:spacing w:line="360" w:lineRule="auto"/>
              <w:rPr>
                <w:rFonts w:ascii="仿宋" w:hAnsi="仿宋" w:eastAsia="仿宋"/>
                <w:sz w:val="24"/>
                <w:szCs w:val="24"/>
              </w:rPr>
            </w:pPr>
            <w:r>
              <w:rPr>
                <w:rFonts w:hint="eastAsia" w:ascii="仿宋" w:hAnsi="仿宋" w:eastAsia="仿宋"/>
                <w:sz w:val="24"/>
                <w:szCs w:val="24"/>
              </w:rPr>
              <w:t>6、投标人具有市级及以上质检部门出具的“三套连体公寓床”合格检测报告，得3分。</w:t>
            </w:r>
          </w:p>
          <w:p>
            <w:pPr>
              <w:spacing w:line="360" w:lineRule="auto"/>
              <w:rPr>
                <w:rFonts w:ascii="仿宋" w:hAnsi="仿宋" w:eastAsia="仿宋"/>
                <w:sz w:val="24"/>
                <w:szCs w:val="24"/>
              </w:rPr>
            </w:pP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30</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28" w:type="dxa"/>
          <w:trHeight w:val="745" w:hRule="atLeast"/>
          <w:jc w:val="center"/>
        </w:trPr>
        <w:tc>
          <w:tcPr>
            <w:tcW w:w="16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售后服务承诺</w:t>
            </w:r>
          </w:p>
        </w:tc>
        <w:tc>
          <w:tcPr>
            <w:tcW w:w="510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仿宋" w:hAnsi="仿宋" w:eastAsia="仿宋"/>
                <w:sz w:val="24"/>
                <w:szCs w:val="24"/>
              </w:rPr>
            </w:pPr>
            <w:r>
              <w:rPr>
                <w:rFonts w:hint="eastAsia" w:ascii="宋体" w:hAnsi="宋体" w:eastAsia="宋体" w:cs="宋体"/>
                <w:color w:val="000000"/>
                <w:kern w:val="0"/>
                <w:sz w:val="24"/>
                <w:szCs w:val="24"/>
              </w:rPr>
              <w:t>1、</w:t>
            </w:r>
            <w:r>
              <w:rPr>
                <w:rFonts w:hint="eastAsia" w:ascii="仿宋" w:hAnsi="仿宋" w:eastAsia="仿宋"/>
                <w:sz w:val="24"/>
                <w:szCs w:val="24"/>
              </w:rPr>
              <w:t>免费质保时间以年为单位，满足2年质保得1分，增加1年得0.5分， 2年以下不得分，满分3分。</w:t>
            </w:r>
          </w:p>
          <w:p>
            <w:pPr>
              <w:widowControl/>
              <w:spacing w:line="360" w:lineRule="atLeast"/>
              <w:jc w:val="left"/>
              <w:rPr>
                <w:rFonts w:ascii="宋体" w:hAnsi="宋体" w:eastAsia="宋体" w:cs="宋体"/>
                <w:color w:val="000000"/>
                <w:kern w:val="0"/>
                <w:sz w:val="24"/>
                <w:szCs w:val="24"/>
              </w:rPr>
            </w:pPr>
            <w:r>
              <w:rPr>
                <w:rFonts w:hint="eastAsia" w:ascii="仿宋" w:hAnsi="仿宋" w:eastAsia="仿宋"/>
                <w:sz w:val="24"/>
                <w:szCs w:val="24"/>
              </w:rPr>
              <w:t>2、售后维修响应时间以小时为单位， 8小时以内得2分，24小时以内得1分,超过24小时不得分，满分2分。</w:t>
            </w:r>
          </w:p>
        </w:tc>
        <w:tc>
          <w:tcPr>
            <w:tcW w:w="19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5</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45" w:type="dxa"/>
            <w:tcBorders>
              <w:top w:val="nil"/>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20" w:type="dxa"/>
            <w:tcBorders>
              <w:top w:val="nil"/>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20" w:type="dxa"/>
            <w:tcBorders>
              <w:top w:val="nil"/>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5291" w:type="dxa"/>
            <w:gridSpan w:val="2"/>
            <w:tcBorders>
              <w:top w:val="nil"/>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1983" w:type="dxa"/>
            <w:gridSpan w:val="2"/>
            <w:tcBorders>
              <w:top w:val="nil"/>
              <w:left w:val="nil"/>
              <w:bottom w:val="nil"/>
              <w:right w:val="nil"/>
            </w:tcBorders>
            <w:shd w:val="clear" w:color="auto" w:fill="auto"/>
            <w:vAlign w:val="center"/>
          </w:tcPr>
          <w:p>
            <w:pPr>
              <w:widowControl/>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bl>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（一）支付方式：银行转账。</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（二）支付时间及条件：经验收合格后支付95%货款，剩余5%作为质量保证金，质保二年，期满付款。</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黑体" w:eastAsia="黑体" w:cs="Arial"/>
          <w:color w:val="000000"/>
          <w:kern w:val="0"/>
          <w:sz w:val="30"/>
          <w:szCs w:val="30"/>
          <w:shd w:val="clear" w:color="auto" w:fill="FFFFFF"/>
        </w:rPr>
        <w:t>七、联系方式</w:t>
      </w:r>
    </w:p>
    <w:p>
      <w:pPr>
        <w:widowControl/>
        <w:shd w:val="clear" w:color="auto" w:fill="FFFFFF"/>
        <w:spacing w:line="525" w:lineRule="atLeast"/>
        <w:ind w:firstLine="795"/>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联系人姓名：董亚伟</w:t>
      </w:r>
      <w:r>
        <w:rPr>
          <w:rFonts w:hint="eastAsia" w:ascii="宋体" w:hAnsi="宋体" w:eastAsia="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联系电话：0374-2270858</w:t>
      </w:r>
    </w:p>
    <w:p>
      <w:pPr>
        <w:widowControl/>
        <w:shd w:val="clear" w:color="auto" w:fill="FFFFFF"/>
        <w:spacing w:line="525" w:lineRule="atLeast"/>
        <w:ind w:firstLine="795"/>
        <w:jc w:val="left"/>
        <w:rPr>
          <w:rFonts w:ascii="Arial" w:hAnsi="Arial" w:eastAsia="宋体" w:cs="Arial"/>
          <w:color w:val="000000"/>
          <w:kern w:val="0"/>
          <w:szCs w:val="21"/>
        </w:rPr>
      </w:pPr>
      <w:r>
        <w:rPr>
          <w:rFonts w:hint="eastAsia" w:ascii="仿宋" w:hAnsi="仿宋" w:eastAsia="仿宋" w:cs="Arial"/>
          <w:color w:val="000000"/>
          <w:kern w:val="0"/>
          <w:sz w:val="30"/>
          <w:szCs w:val="30"/>
          <w:shd w:val="clear" w:color="auto" w:fill="FFFFFF"/>
        </w:rPr>
        <w:t>单位地址：许昌市新兴路4336号</w:t>
      </w:r>
    </w:p>
    <w:p>
      <w:pPr>
        <w:widowControl/>
        <w:shd w:val="clear" w:color="auto" w:fill="FFFFFF"/>
        <w:spacing w:line="525" w:lineRule="atLeast"/>
        <w:ind w:firstLine="795"/>
        <w:jc w:val="left"/>
        <w:rPr>
          <w:rFonts w:ascii="Arial" w:hAnsi="Arial" w:eastAsia="宋体" w:cs="Arial"/>
          <w:color w:val="000000"/>
          <w:kern w:val="0"/>
          <w:szCs w:val="21"/>
        </w:rPr>
      </w:pPr>
    </w:p>
    <w:p>
      <w:pPr>
        <w:widowControl/>
        <w:shd w:val="clear" w:color="auto" w:fill="FFFFFF"/>
        <w:spacing w:line="525" w:lineRule="atLeast"/>
        <w:ind w:firstLine="795"/>
        <w:jc w:val="left"/>
        <w:rPr>
          <w:rFonts w:ascii="Arial" w:hAnsi="Arial" w:eastAsia="宋体" w:cs="Arial"/>
          <w:color w:val="000000"/>
          <w:kern w:val="0"/>
          <w:szCs w:val="21"/>
        </w:rPr>
      </w:pPr>
    </w:p>
    <w:p>
      <w:pPr>
        <w:widowControl/>
        <w:shd w:val="clear" w:color="auto" w:fill="FFFFFF"/>
        <w:spacing w:line="525" w:lineRule="atLeast"/>
        <w:ind w:firstLine="795"/>
        <w:jc w:val="left"/>
        <w:rPr>
          <w:rFonts w:ascii="Arial" w:hAnsi="Arial" w:eastAsia="宋体" w:cs="Arial"/>
          <w:color w:val="000000"/>
          <w:kern w:val="0"/>
          <w:szCs w:val="21"/>
        </w:rPr>
      </w:pPr>
    </w:p>
    <w:p>
      <w:pPr>
        <w:widowControl/>
        <w:shd w:val="clear" w:color="auto" w:fill="FFFFFF"/>
        <w:spacing w:line="525" w:lineRule="atLeast"/>
        <w:ind w:firstLine="795"/>
        <w:jc w:val="left"/>
        <w:rPr>
          <w:rFonts w:ascii="Arial" w:hAnsi="Arial" w:eastAsia="宋体" w:cs="Arial"/>
          <w:color w:val="000000"/>
          <w:kern w:val="0"/>
          <w:szCs w:val="21"/>
        </w:rPr>
      </w:pPr>
    </w:p>
    <w:p>
      <w:pPr>
        <w:widowControl/>
        <w:shd w:val="clear" w:color="auto" w:fill="FFFFFF"/>
        <w:spacing w:line="525" w:lineRule="atLeast"/>
        <w:ind w:firstLine="795"/>
        <w:jc w:val="left"/>
        <w:rPr>
          <w:rFonts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 </w:t>
      </w:r>
      <w:r>
        <w:rPr>
          <w:rFonts w:hint="eastAsia" w:ascii="Arial" w:hAnsi="Arial" w:eastAsia="宋体" w:cs="Arial"/>
          <w:color w:val="000000"/>
          <w:kern w:val="0"/>
          <w:szCs w:val="21"/>
        </w:rPr>
        <w:t xml:space="preserve">                                     </w:t>
      </w:r>
      <w:r>
        <w:rPr>
          <w:rFonts w:hint="eastAsia" w:ascii="仿宋" w:hAnsi="仿宋" w:eastAsia="仿宋" w:cs="Arial"/>
          <w:color w:val="000000"/>
          <w:kern w:val="0"/>
          <w:sz w:val="30"/>
          <w:szCs w:val="30"/>
          <w:shd w:val="clear" w:color="auto" w:fill="FFFFFF"/>
        </w:rPr>
        <w:t>许昌职业技术学院</w:t>
      </w: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jc w:val="left"/>
        <w:rPr>
          <w:rFonts w:ascii="仿宋" w:hAnsi="仿宋" w:eastAsia="仿宋" w:cs="Arial"/>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2018年</w:t>
      </w:r>
      <w:r>
        <w:rPr>
          <w:rFonts w:hint="eastAsia" w:ascii="宋体" w:hAnsi="宋体" w:eastAsia="宋体" w:cs="宋体"/>
          <w:color w:val="000000"/>
          <w:kern w:val="0"/>
          <w:sz w:val="30"/>
          <w:szCs w:val="30"/>
          <w:shd w:val="clear" w:color="auto" w:fill="FFFFFF"/>
        </w:rPr>
        <w:t>5</w:t>
      </w:r>
      <w:r>
        <w:rPr>
          <w:rFonts w:hint="eastAsia" w:ascii="仿宋" w:hAnsi="仿宋" w:eastAsia="仿宋" w:cs="Arial"/>
          <w:color w:val="000000"/>
          <w:kern w:val="0"/>
          <w:sz w:val="30"/>
          <w:szCs w:val="30"/>
          <w:shd w:val="clear" w:color="auto" w:fill="FFFFFF"/>
        </w:rPr>
        <w:t>月22日</w:t>
      </w:r>
    </w:p>
    <w:sectPr>
      <w:pgSz w:w="11906" w:h="16838"/>
      <w:pgMar w:top="1304" w:right="1247" w:bottom="1304"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5B5"/>
    <w:rsid w:val="0000158C"/>
    <w:rsid w:val="00014086"/>
    <w:rsid w:val="000557E3"/>
    <w:rsid w:val="00055E13"/>
    <w:rsid w:val="000628D6"/>
    <w:rsid w:val="000D2451"/>
    <w:rsid w:val="000F0BBB"/>
    <w:rsid w:val="0012499F"/>
    <w:rsid w:val="00164B84"/>
    <w:rsid w:val="001B27C5"/>
    <w:rsid w:val="001C669C"/>
    <w:rsid w:val="001D4D80"/>
    <w:rsid w:val="002171C5"/>
    <w:rsid w:val="0022347B"/>
    <w:rsid w:val="00230DDA"/>
    <w:rsid w:val="00255E87"/>
    <w:rsid w:val="00266BB4"/>
    <w:rsid w:val="00281E26"/>
    <w:rsid w:val="002B5493"/>
    <w:rsid w:val="002C0C18"/>
    <w:rsid w:val="002D0298"/>
    <w:rsid w:val="002D1362"/>
    <w:rsid w:val="002D2C64"/>
    <w:rsid w:val="002F1C3E"/>
    <w:rsid w:val="003047E3"/>
    <w:rsid w:val="003234BC"/>
    <w:rsid w:val="00393838"/>
    <w:rsid w:val="00397025"/>
    <w:rsid w:val="003A3113"/>
    <w:rsid w:val="0041595D"/>
    <w:rsid w:val="00416D32"/>
    <w:rsid w:val="00463324"/>
    <w:rsid w:val="004702DF"/>
    <w:rsid w:val="004B70E0"/>
    <w:rsid w:val="004E43FD"/>
    <w:rsid w:val="005504BF"/>
    <w:rsid w:val="00567031"/>
    <w:rsid w:val="005758BE"/>
    <w:rsid w:val="005812A6"/>
    <w:rsid w:val="00586992"/>
    <w:rsid w:val="00587F98"/>
    <w:rsid w:val="0059456F"/>
    <w:rsid w:val="005C65B5"/>
    <w:rsid w:val="00613D27"/>
    <w:rsid w:val="00632596"/>
    <w:rsid w:val="006447A2"/>
    <w:rsid w:val="00663027"/>
    <w:rsid w:val="00697DC0"/>
    <w:rsid w:val="006A12F4"/>
    <w:rsid w:val="006B513D"/>
    <w:rsid w:val="007145C5"/>
    <w:rsid w:val="007425B4"/>
    <w:rsid w:val="0077156E"/>
    <w:rsid w:val="007921A9"/>
    <w:rsid w:val="007967C5"/>
    <w:rsid w:val="00802DDD"/>
    <w:rsid w:val="00856111"/>
    <w:rsid w:val="00866BAB"/>
    <w:rsid w:val="008B148C"/>
    <w:rsid w:val="008D2B48"/>
    <w:rsid w:val="008E5C65"/>
    <w:rsid w:val="009262B5"/>
    <w:rsid w:val="0093223A"/>
    <w:rsid w:val="00932C3F"/>
    <w:rsid w:val="00952B59"/>
    <w:rsid w:val="00993ACC"/>
    <w:rsid w:val="009F4BB8"/>
    <w:rsid w:val="00A872C8"/>
    <w:rsid w:val="00A95A45"/>
    <w:rsid w:val="00AB2D60"/>
    <w:rsid w:val="00AD5F22"/>
    <w:rsid w:val="00AD7BAC"/>
    <w:rsid w:val="00AF09FF"/>
    <w:rsid w:val="00B01ADE"/>
    <w:rsid w:val="00B751CB"/>
    <w:rsid w:val="00B77D45"/>
    <w:rsid w:val="00B86705"/>
    <w:rsid w:val="00B87CF4"/>
    <w:rsid w:val="00BB013F"/>
    <w:rsid w:val="00BF00A5"/>
    <w:rsid w:val="00BF27AB"/>
    <w:rsid w:val="00BF5616"/>
    <w:rsid w:val="00C171B6"/>
    <w:rsid w:val="00C20163"/>
    <w:rsid w:val="00C21821"/>
    <w:rsid w:val="00C611DA"/>
    <w:rsid w:val="00C655EC"/>
    <w:rsid w:val="00C7767B"/>
    <w:rsid w:val="00C818FA"/>
    <w:rsid w:val="00C90D8E"/>
    <w:rsid w:val="00C95BF9"/>
    <w:rsid w:val="00CA35A9"/>
    <w:rsid w:val="00CA72C9"/>
    <w:rsid w:val="00CE5B88"/>
    <w:rsid w:val="00CF5D26"/>
    <w:rsid w:val="00D14F5E"/>
    <w:rsid w:val="00D46A15"/>
    <w:rsid w:val="00D82F6C"/>
    <w:rsid w:val="00D86E63"/>
    <w:rsid w:val="00D87842"/>
    <w:rsid w:val="00D95F8E"/>
    <w:rsid w:val="00DA40E8"/>
    <w:rsid w:val="00DA7E71"/>
    <w:rsid w:val="00DC14A4"/>
    <w:rsid w:val="00DC2524"/>
    <w:rsid w:val="00E074E7"/>
    <w:rsid w:val="00E174E5"/>
    <w:rsid w:val="00E24DD1"/>
    <w:rsid w:val="00E70A37"/>
    <w:rsid w:val="00E72D43"/>
    <w:rsid w:val="00E74221"/>
    <w:rsid w:val="00E925BE"/>
    <w:rsid w:val="00E949D8"/>
    <w:rsid w:val="00EA11AB"/>
    <w:rsid w:val="00ED045A"/>
    <w:rsid w:val="00ED61A8"/>
    <w:rsid w:val="00F120C7"/>
    <w:rsid w:val="00F26FBD"/>
    <w:rsid w:val="00F6022D"/>
    <w:rsid w:val="00F76657"/>
    <w:rsid w:val="00FA26F8"/>
    <w:rsid w:val="00FA76B9"/>
    <w:rsid w:val="00FD310B"/>
    <w:rsid w:val="00FE1839"/>
    <w:rsid w:val="00FF3211"/>
    <w:rsid w:val="0D1E5490"/>
    <w:rsid w:val="6E86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3"/>
    <w:uiPriority w:val="0"/>
    <w:pPr>
      <w:ind w:firstLine="420"/>
    </w:pPr>
    <w:rPr>
      <w:rFonts w:eastAsia="宋体"/>
    </w:rPr>
  </w:style>
  <w:style w:type="paragraph" w:styleId="3">
    <w:name w:val="Date"/>
    <w:basedOn w:val="1"/>
    <w:next w:val="1"/>
    <w:link w:val="15"/>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8"/>
    <w:link w:val="6"/>
    <w:semiHidden/>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正文缩进 Char"/>
    <w:link w:val="2"/>
    <w:uiPriority w:val="0"/>
    <w:rPr>
      <w:rFonts w:eastAsia="宋体"/>
    </w:rPr>
  </w:style>
  <w:style w:type="character" w:customStyle="1" w:styleId="14">
    <w:name w:val="批注框文本 Char"/>
    <w:basedOn w:val="8"/>
    <w:link w:val="4"/>
    <w:semiHidden/>
    <w:uiPriority w:val="99"/>
    <w:rPr>
      <w:sz w:val="18"/>
      <w:szCs w:val="18"/>
    </w:rPr>
  </w:style>
  <w:style w:type="character" w:customStyle="1" w:styleId="15">
    <w:name w:val="日期 Char"/>
    <w:basedOn w:val="8"/>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7EB2B-E205-471E-932D-955CC568A1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480</Words>
  <Characters>2742</Characters>
  <Lines>22</Lines>
  <Paragraphs>6</Paragraphs>
  <ScaleCrop>false</ScaleCrop>
  <LinksUpToDate>false</LinksUpToDate>
  <CharactersWithSpaces>3216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2018-06-07T00:30:00Z</dcterms:created>
  <dc:creator>Microsoft</dc:creator>
  <cp:lastModifiedBy>许昌市公共资源交易中心:杨丹丹</cp:lastModifiedBy>
  <cp:lastPrinted>2018-06-13T00:42:00Z</cp:lastPrinted>
  <dcterms:modified xsi:type="dcterms:W3CDTF">2018-06-13T03:15:27Z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