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bidi w:val="0"/>
        <w:spacing w:line="400" w:lineRule="exact"/>
        <w:ind w:left="0" w:leftChars="0" w:right="0" w:rightChars="0"/>
        <w:jc w:val="center"/>
        <w:textAlignment w:val="auto"/>
        <w:outlineLvl w:val="9"/>
        <w:rPr>
          <w:rFonts w:hint="eastAsia" w:asciiTheme="majorEastAsia" w:hAnsiTheme="majorEastAsia" w:eastAsiaTheme="majorEastAsia" w:cstheme="majorEastAsia"/>
          <w:color w:val="000000"/>
          <w:sz w:val="28"/>
          <w:szCs w:val="28"/>
          <w:lang w:val="en-US" w:eastAsia="zh-CN"/>
        </w:rPr>
      </w:pPr>
    </w:p>
    <w:p>
      <w:pPr>
        <w:keepNext w:val="0"/>
        <w:keepLines w:val="0"/>
        <w:pageBreakBefore w:val="0"/>
        <w:kinsoku/>
        <w:wordWrap/>
        <w:overflowPunct/>
        <w:bidi w:val="0"/>
        <w:spacing w:line="400" w:lineRule="exact"/>
        <w:ind w:left="0" w:leftChars="0" w:right="0" w:rightChars="0"/>
        <w:jc w:val="center"/>
        <w:textAlignment w:val="auto"/>
        <w:outlineLvl w:val="9"/>
        <w:rPr>
          <w:rFonts w:hint="eastAsia" w:asciiTheme="majorEastAsia" w:hAnsiTheme="majorEastAsia" w:eastAsiaTheme="majorEastAsia" w:cstheme="majorEastAsia"/>
          <w:color w:val="000000"/>
          <w:sz w:val="36"/>
          <w:szCs w:val="36"/>
          <w:lang w:val="en-US" w:eastAsia="zh-CN"/>
        </w:rPr>
      </w:pPr>
      <w:r>
        <w:rPr>
          <w:rFonts w:hint="eastAsia" w:asciiTheme="majorEastAsia" w:hAnsiTheme="majorEastAsia" w:eastAsiaTheme="majorEastAsia" w:cstheme="majorEastAsia"/>
          <w:color w:val="000000"/>
          <w:sz w:val="36"/>
          <w:szCs w:val="36"/>
          <w:lang w:val="zh-CN" w:eastAsia="zh-CN"/>
        </w:rPr>
        <w:t>许昌市公安局高速公路区间测速系统</w:t>
      </w:r>
      <w:r>
        <w:rPr>
          <w:rFonts w:hint="eastAsia" w:asciiTheme="majorEastAsia" w:hAnsiTheme="majorEastAsia" w:eastAsiaTheme="majorEastAsia" w:cstheme="majorEastAsia"/>
          <w:color w:val="000000"/>
          <w:sz w:val="36"/>
          <w:szCs w:val="36"/>
          <w:lang w:val="en-US" w:eastAsia="zh-CN"/>
        </w:rPr>
        <w:t>需求和评标标准说明</w:t>
      </w:r>
    </w:p>
    <w:p>
      <w:pPr>
        <w:keepNext w:val="0"/>
        <w:keepLines w:val="0"/>
        <w:pageBreakBefore w:val="0"/>
        <w:kinsoku/>
        <w:wordWrap/>
        <w:overflowPunct/>
        <w:bidi w:val="0"/>
        <w:spacing w:line="400" w:lineRule="exact"/>
        <w:ind w:left="0" w:leftChars="0" w:right="0" w:rightChars="0" w:firstLine="560" w:firstLineChars="200"/>
        <w:jc w:val="left"/>
        <w:textAlignment w:val="auto"/>
        <w:outlineLvl w:val="9"/>
        <w:rPr>
          <w:rFonts w:ascii="仿宋" w:hAnsi="仿宋" w:eastAsia="仿宋" w:cs="宋体"/>
          <w:sz w:val="28"/>
          <w:szCs w:val="28"/>
          <w:lang w:val="zh-CN"/>
        </w:rPr>
      </w:pPr>
    </w:p>
    <w:p>
      <w:pPr>
        <w:keepNext w:val="0"/>
        <w:keepLines w:val="0"/>
        <w:pageBreakBefore w:val="0"/>
        <w:kinsoku/>
        <w:wordWrap/>
        <w:overflowPunct/>
        <w:bidi w:val="0"/>
        <w:spacing w:line="400" w:lineRule="exact"/>
        <w:ind w:left="0" w:leftChars="0" w:right="0" w:rightChars="0"/>
        <w:jc w:val="left"/>
        <w:textAlignment w:val="auto"/>
        <w:outlineLvl w:val="9"/>
        <w:rPr>
          <w:rFonts w:ascii="仿宋" w:hAnsi="仿宋" w:eastAsia="仿宋" w:cs="宋体"/>
          <w:sz w:val="28"/>
          <w:szCs w:val="28"/>
          <w:lang w:val="zh-CN"/>
        </w:rPr>
      </w:pPr>
      <w:r>
        <w:rPr>
          <w:rFonts w:hint="eastAsia" w:ascii="仿宋" w:hAnsi="仿宋" w:eastAsia="仿宋" w:cs="宋体"/>
          <w:sz w:val="28"/>
          <w:szCs w:val="28"/>
          <w:lang w:val="zh-CN"/>
        </w:rPr>
        <w:t xml:space="preserve">   </w:t>
      </w:r>
    </w:p>
    <w:p>
      <w:pPr>
        <w:keepNext w:val="0"/>
        <w:keepLines w:val="0"/>
        <w:pageBreakBefore w:val="0"/>
        <w:kinsoku/>
        <w:wordWrap/>
        <w:overflowPunct/>
        <w:topLinePunct/>
        <w:autoSpaceDE w:val="0"/>
        <w:autoSpaceDN w:val="0"/>
        <w:bidi w:val="0"/>
        <w:spacing w:line="400" w:lineRule="exact"/>
        <w:ind w:left="0" w:leftChars="0" w:right="0" w:rightChars="0" w:firstLine="480" w:firstLineChars="200"/>
        <w:textAlignment w:val="auto"/>
        <w:outlineLvl w:val="9"/>
        <w:rPr>
          <w:rFonts w:ascii="黑体" w:hAnsi="黑体" w:eastAsia="黑体" w:cs="宋体"/>
          <w:sz w:val="24"/>
          <w:szCs w:val="24"/>
          <w:lang w:val="zh-CN"/>
        </w:rPr>
      </w:pPr>
      <w:r>
        <w:rPr>
          <w:rFonts w:hint="eastAsia" w:ascii="黑体" w:hAnsi="黑体" w:eastAsia="黑体" w:cs="宋体"/>
          <w:sz w:val="24"/>
          <w:szCs w:val="24"/>
          <w:lang w:val="zh-CN"/>
        </w:rPr>
        <w:t>一、项目基本情况</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（一）项目名称：</w:t>
      </w:r>
      <w:r>
        <w:rPr>
          <w:rFonts w:hint="eastAsia" w:ascii="仿宋" w:hAnsi="仿宋" w:eastAsia="仿宋" w:cs="宋体"/>
          <w:sz w:val="24"/>
          <w:szCs w:val="24"/>
          <w:lang w:val="zh-CN"/>
        </w:rPr>
        <w:t>高速公路区间测速系统</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（二）采购方式：</w:t>
      </w:r>
      <w:r>
        <w:rPr>
          <w:rFonts w:hint="eastAsia" w:ascii="仿宋" w:hAnsi="仿宋" w:eastAsia="仿宋" w:cs="宋体"/>
          <w:color w:val="000000"/>
          <w:kern w:val="0"/>
          <w:sz w:val="24"/>
          <w:szCs w:val="24"/>
        </w:rPr>
        <w:t>公开招标      </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hint="eastAsia" w:ascii="仿宋" w:hAnsi="仿宋" w:eastAsia="仿宋" w:cs="宋体"/>
          <w:sz w:val="24"/>
          <w:szCs w:val="24"/>
          <w:lang w:val="zh-CN"/>
        </w:rPr>
      </w:pPr>
      <w:r>
        <w:rPr>
          <w:rFonts w:hint="eastAsia" w:ascii="仿宋" w:hAnsi="仿宋" w:eastAsia="仿宋" w:cs="宋体"/>
          <w:b/>
          <w:color w:val="000000"/>
          <w:kern w:val="0"/>
          <w:sz w:val="24"/>
          <w:szCs w:val="24"/>
        </w:rPr>
        <w:t>（三）主要内容、数量及要求：</w:t>
      </w:r>
      <w:r>
        <w:rPr>
          <w:rFonts w:hint="eastAsia" w:ascii="仿宋" w:hAnsi="仿宋" w:eastAsia="仿宋" w:cs="宋体"/>
          <w:color w:val="000000"/>
          <w:kern w:val="0"/>
          <w:sz w:val="24"/>
          <w:szCs w:val="24"/>
        </w:rPr>
        <w:t>本项目拟在许昌辖区高速路段</w:t>
      </w:r>
      <w:r>
        <w:rPr>
          <w:rFonts w:hint="eastAsia" w:ascii="仿宋" w:hAnsi="仿宋" w:eastAsia="仿宋" w:cs="宋体"/>
          <w:color w:val="000000"/>
          <w:kern w:val="0"/>
          <w:sz w:val="24"/>
          <w:szCs w:val="24"/>
          <w:lang w:eastAsia="zh-CN"/>
        </w:rPr>
        <w:t>上</w:t>
      </w:r>
      <w:r>
        <w:rPr>
          <w:rFonts w:hint="eastAsia" w:ascii="仿宋" w:hAnsi="仿宋" w:eastAsia="仿宋" w:cs="宋体"/>
          <w:color w:val="000000"/>
          <w:kern w:val="0"/>
          <w:sz w:val="24"/>
          <w:szCs w:val="24"/>
        </w:rPr>
        <w:t>利旧和新建“连续提示、实时抓拍、即时预警、现场拦截教育”的区间测速系统。采购内容包括：1、完成智能卡口、LED 可变信息标志、后台计算、存储等设备的采购和安装；2、跨路龙门架、固定提示标牌和电力、通信线缆敷设等附属设施建设；3、新建的智能卡口及视频接入许昌市交警支队现有专网管控平台及公安集成指挥平台，实现区间测速等公安交管执法和治安防控需求；4、通过LED 可变信息标志和信息发布平台，实时发布违法车辆、实时路况等信息；5、设备采购、运输、安装调试、软件研发、系统对接、竣工验收、</w:t>
      </w:r>
      <w:r>
        <w:rPr>
          <w:rFonts w:hint="eastAsia" w:ascii="仿宋" w:hAnsi="仿宋" w:eastAsia="仿宋" w:cs="宋体"/>
          <w:color w:val="000000"/>
          <w:kern w:val="0"/>
          <w:sz w:val="24"/>
          <w:szCs w:val="24"/>
          <w:lang w:eastAsia="zh-CN"/>
        </w:rPr>
        <w:t>前两年质保</w:t>
      </w:r>
      <w:r>
        <w:rPr>
          <w:rFonts w:hint="eastAsia" w:ascii="仿宋" w:hAnsi="仿宋" w:eastAsia="仿宋" w:cs="宋体"/>
          <w:color w:val="000000"/>
          <w:kern w:val="0"/>
          <w:sz w:val="24"/>
          <w:szCs w:val="24"/>
        </w:rPr>
        <w:t>服务和</w:t>
      </w:r>
      <w:r>
        <w:rPr>
          <w:rFonts w:hint="eastAsia" w:ascii="仿宋" w:hAnsi="仿宋" w:eastAsia="仿宋" w:cs="宋体"/>
          <w:color w:val="000000"/>
          <w:kern w:val="0"/>
          <w:sz w:val="24"/>
          <w:szCs w:val="24"/>
          <w:lang w:eastAsia="zh-CN"/>
        </w:rPr>
        <w:t>后</w:t>
      </w:r>
      <w:r>
        <w:rPr>
          <w:rFonts w:hint="eastAsia" w:ascii="仿宋" w:hAnsi="仿宋" w:eastAsia="仿宋" w:cs="宋体"/>
          <w:color w:val="000000"/>
          <w:kern w:val="0"/>
          <w:sz w:val="24"/>
          <w:szCs w:val="24"/>
        </w:rPr>
        <w:t>6年运维</w:t>
      </w:r>
      <w:r>
        <w:rPr>
          <w:rFonts w:hint="eastAsia" w:ascii="仿宋" w:hAnsi="仿宋" w:eastAsia="仿宋" w:cs="宋体"/>
          <w:color w:val="000000"/>
          <w:kern w:val="0"/>
          <w:sz w:val="24"/>
          <w:szCs w:val="24"/>
          <w:lang w:eastAsia="zh-CN"/>
        </w:rPr>
        <w:t>服务（含设备、配件更换、系统升级改造</w:t>
      </w:r>
      <w:r>
        <w:rPr>
          <w:rFonts w:hint="eastAsia" w:ascii="仿宋" w:hAnsi="仿宋" w:eastAsia="仿宋" w:cs="宋体"/>
          <w:color w:val="000000"/>
          <w:kern w:val="0"/>
          <w:sz w:val="24"/>
          <w:szCs w:val="24"/>
        </w:rPr>
        <w:t>等</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sz w:val="24"/>
          <w:szCs w:val="24"/>
          <w:lang w:val="en-US" w:eastAsia="zh-CN"/>
        </w:rPr>
        <w:t>该项目所有设备8年的电费。</w:t>
      </w:r>
    </w:p>
    <w:p>
      <w:pPr>
        <w:keepNext w:val="0"/>
        <w:keepLines w:val="0"/>
        <w:pageBreakBefore w:val="0"/>
        <w:widowControl/>
        <w:numPr>
          <w:ilvl w:val="0"/>
          <w:numId w:val="1"/>
        </w:numPr>
        <w:kinsoku/>
        <w:wordWrap/>
        <w:overflowPunct/>
        <w:bidi w:val="0"/>
        <w:spacing w:line="400" w:lineRule="exact"/>
        <w:ind w:left="0" w:leftChars="0" w:right="0" w:rightChars="0" w:firstLine="482" w:firstLineChars="200"/>
        <w:jc w:val="left"/>
        <w:textAlignment w:val="auto"/>
        <w:outlineLvl w:val="9"/>
        <w:rPr>
          <w:rFonts w:hint="eastAsia" w:ascii="仿宋" w:hAnsi="仿宋" w:eastAsia="仿宋" w:cs="宋体"/>
          <w:color w:val="000000"/>
          <w:kern w:val="0"/>
          <w:sz w:val="24"/>
          <w:szCs w:val="24"/>
        </w:rPr>
      </w:pPr>
      <w:r>
        <w:rPr>
          <w:rFonts w:hint="eastAsia" w:ascii="仿宋" w:hAnsi="仿宋" w:eastAsia="仿宋" w:cs="宋体"/>
          <w:b/>
          <w:color w:val="000000"/>
          <w:kern w:val="0"/>
          <w:sz w:val="24"/>
          <w:szCs w:val="24"/>
        </w:rPr>
        <w:t>预算金额：</w:t>
      </w:r>
      <w:r>
        <w:rPr>
          <w:rFonts w:hint="eastAsia" w:ascii="仿宋" w:hAnsi="仿宋" w:eastAsia="仿宋" w:cs="宋体"/>
          <w:sz w:val="24"/>
          <w:szCs w:val="24"/>
          <w:lang w:val="en-US" w:eastAsia="zh-CN"/>
        </w:rPr>
        <w:t>8602165.80</w:t>
      </w:r>
      <w:r>
        <w:rPr>
          <w:rFonts w:hint="eastAsia" w:ascii="仿宋" w:hAnsi="仿宋" w:eastAsia="仿宋" w:cs="宋体"/>
          <w:color w:val="000000"/>
          <w:kern w:val="0"/>
          <w:sz w:val="24"/>
          <w:szCs w:val="24"/>
        </w:rPr>
        <w:t>元；最高限价：</w:t>
      </w:r>
      <w:r>
        <w:rPr>
          <w:rFonts w:hint="eastAsia" w:ascii="仿宋" w:hAnsi="仿宋" w:eastAsia="仿宋" w:cs="宋体"/>
          <w:sz w:val="24"/>
          <w:szCs w:val="24"/>
          <w:lang w:val="en-US" w:eastAsia="zh-CN"/>
        </w:rPr>
        <w:t>8602165.80</w:t>
      </w:r>
      <w:r>
        <w:rPr>
          <w:rFonts w:hint="eastAsia" w:ascii="仿宋" w:hAnsi="仿宋" w:eastAsia="仿宋" w:cs="宋体"/>
          <w:color w:val="000000"/>
          <w:kern w:val="0"/>
          <w:sz w:val="24"/>
          <w:szCs w:val="24"/>
        </w:rPr>
        <w:t>元。</w:t>
      </w:r>
    </w:p>
    <w:p>
      <w:pPr>
        <w:keepNext w:val="0"/>
        <w:keepLines w:val="0"/>
        <w:pageBreakBefore w:val="0"/>
        <w:widowControl/>
        <w:numPr>
          <w:ilvl w:val="0"/>
          <w:numId w:val="1"/>
        </w:numPr>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（五）交付（服务、完工）时间：</w:t>
      </w:r>
      <w:r>
        <w:rPr>
          <w:rFonts w:hint="eastAsia" w:ascii="仿宋" w:hAnsi="仿宋" w:eastAsia="仿宋" w:cs="宋体"/>
          <w:color w:val="000000"/>
          <w:kern w:val="0"/>
          <w:sz w:val="24"/>
          <w:szCs w:val="24"/>
        </w:rPr>
        <w:t>自签订</w:t>
      </w:r>
      <w:r>
        <w:rPr>
          <w:rFonts w:hint="eastAsia" w:ascii="仿宋" w:hAnsi="仿宋" w:eastAsia="仿宋" w:cs="宋体"/>
          <w:sz w:val="24"/>
          <w:szCs w:val="24"/>
          <w:lang w:val="zh-CN"/>
        </w:rPr>
        <w:t>合同后</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0日历天</w:t>
      </w:r>
      <w:r>
        <w:rPr>
          <w:rFonts w:hint="eastAsia" w:ascii="仿宋" w:hAnsi="仿宋" w:eastAsia="仿宋" w:cs="宋体"/>
          <w:color w:val="000000"/>
          <w:kern w:val="0"/>
          <w:sz w:val="24"/>
          <w:szCs w:val="24"/>
        </w:rPr>
        <w:t>。</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（六）交付（服务、施工）地点：</w:t>
      </w:r>
      <w:r>
        <w:rPr>
          <w:rFonts w:hint="eastAsia" w:ascii="仿宋" w:hAnsi="仿宋" w:eastAsia="仿宋" w:cs="宋体"/>
          <w:color w:val="000000"/>
          <w:kern w:val="0"/>
          <w:sz w:val="24"/>
          <w:szCs w:val="24"/>
        </w:rPr>
        <w:t>许昌市辖区高速公路上。</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（七）进口产品：</w:t>
      </w:r>
      <w:r>
        <w:rPr>
          <w:rFonts w:hint="eastAsia" w:ascii="仿宋" w:hAnsi="仿宋" w:eastAsia="仿宋" w:cs="宋体"/>
          <w:color w:val="000000"/>
          <w:kern w:val="0"/>
          <w:sz w:val="24"/>
          <w:szCs w:val="24"/>
        </w:rPr>
        <w:t>不允许。</w:t>
      </w:r>
    </w:p>
    <w:p>
      <w:pPr>
        <w:keepNext w:val="0"/>
        <w:keepLines w:val="0"/>
        <w:pageBreakBefore w:val="0"/>
        <w:widowControl/>
        <w:kinsoku/>
        <w:wordWrap/>
        <w:overflowPunct/>
        <w:bidi w:val="0"/>
        <w:spacing w:line="400" w:lineRule="exact"/>
        <w:ind w:left="0" w:leftChars="0" w:right="0" w:rightChars="0" w:firstLine="482" w:firstLineChars="200"/>
        <w:jc w:val="left"/>
        <w:textAlignment w:val="auto"/>
        <w:outlineLvl w:val="9"/>
        <w:rPr>
          <w:rFonts w:ascii="仿宋" w:hAnsi="仿宋" w:eastAsia="仿宋" w:cs="宋体"/>
          <w:color w:val="000000"/>
          <w:kern w:val="0"/>
          <w:sz w:val="24"/>
          <w:szCs w:val="24"/>
        </w:rPr>
      </w:pPr>
      <w:r>
        <w:rPr>
          <w:rFonts w:hint="eastAsia" w:ascii="仿宋" w:hAnsi="仿宋" w:eastAsia="仿宋" w:cs="宋体"/>
          <w:b/>
          <w:color w:val="000000"/>
          <w:kern w:val="0"/>
          <w:sz w:val="24"/>
          <w:szCs w:val="24"/>
        </w:rPr>
        <w:t>（八）分包：</w:t>
      </w:r>
      <w:r>
        <w:rPr>
          <w:rFonts w:hint="eastAsia" w:ascii="仿宋" w:hAnsi="仿宋" w:eastAsia="仿宋" w:cs="宋体"/>
          <w:color w:val="000000"/>
          <w:kern w:val="0"/>
          <w:sz w:val="24"/>
          <w:szCs w:val="24"/>
        </w:rPr>
        <w:t>不允许。</w:t>
      </w:r>
    </w:p>
    <w:p>
      <w:pPr>
        <w:keepNext w:val="0"/>
        <w:keepLines w:val="0"/>
        <w:pageBreakBefore w:val="0"/>
        <w:widowControl/>
        <w:shd w:val="clear" w:color="auto" w:fill="FFFFFF"/>
        <w:kinsoku/>
        <w:wordWrap/>
        <w:overflowPunct/>
        <w:bidi w:val="0"/>
        <w:spacing w:line="400" w:lineRule="exact"/>
        <w:ind w:left="0" w:leftChars="0" w:right="0" w:rightChars="0" w:firstLine="480" w:firstLineChars="200"/>
        <w:contextualSpacing/>
        <w:jc w:val="left"/>
        <w:textAlignment w:val="auto"/>
        <w:outlineLvl w:val="9"/>
        <w:rPr>
          <w:rFonts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二、需要落实的政府采购政策</w:t>
      </w:r>
    </w:p>
    <w:p>
      <w:pPr>
        <w:keepNext w:val="0"/>
        <w:keepLines w:val="0"/>
        <w:pageBreakBefore w:val="0"/>
        <w:widowControl/>
        <w:shd w:val="clear" w:color="auto" w:fill="FFFFFF"/>
        <w:kinsoku/>
        <w:wordWrap/>
        <w:overflowPunct/>
        <w:bidi w:val="0"/>
        <w:spacing w:line="400" w:lineRule="exact"/>
        <w:ind w:left="0" w:leftChars="0" w:right="0" w:rightChars="0" w:firstLine="600"/>
        <w:jc w:val="left"/>
        <w:textAlignment w:val="auto"/>
        <w:outlineLvl w:val="9"/>
        <w:rPr>
          <w:rFonts w:ascii="宋体" w:hAnsi="宋体" w:eastAsia="宋体" w:cs="宋体"/>
          <w:color w:val="000000"/>
          <w:kern w:val="0"/>
          <w:sz w:val="24"/>
          <w:szCs w:val="24"/>
        </w:rPr>
      </w:pPr>
      <w:r>
        <w:rPr>
          <w:rFonts w:hint="eastAsia" w:ascii="仿宋" w:hAnsi="宋体" w:eastAsia="仿宋" w:cs="宋体"/>
          <w:color w:val="000000"/>
          <w:kern w:val="0"/>
          <w:sz w:val="24"/>
          <w:szCs w:val="24"/>
        </w:rPr>
        <w:t>本项目落实节能环保√、中小微型企业扶持√、支持监狱企业发展√、残疾人福利性单位扶持√等相关政府采购政策。</w:t>
      </w:r>
    </w:p>
    <w:p>
      <w:pPr>
        <w:keepNext w:val="0"/>
        <w:keepLines w:val="0"/>
        <w:pageBreakBefore w:val="0"/>
        <w:widowControl/>
        <w:shd w:val="clear" w:color="auto" w:fill="FFFFFF"/>
        <w:kinsoku/>
        <w:wordWrap/>
        <w:overflowPunct/>
        <w:bidi w:val="0"/>
        <w:spacing w:line="400" w:lineRule="exact"/>
        <w:ind w:left="0" w:leftChars="0" w:right="0" w:rightChars="0" w:firstLine="480" w:firstLineChars="200"/>
        <w:contextualSpacing/>
        <w:jc w:val="left"/>
        <w:textAlignment w:val="auto"/>
        <w:outlineLvl w:val="9"/>
        <w:rPr>
          <w:rFonts w:ascii="宋体" w:hAnsi="宋体" w:cs="宋体"/>
          <w:color w:val="000000"/>
          <w:kern w:val="0"/>
          <w:sz w:val="24"/>
          <w:szCs w:val="24"/>
        </w:rPr>
      </w:pPr>
      <w:r>
        <w:rPr>
          <w:rFonts w:hint="eastAsia" w:ascii="黑体" w:hAnsi="黑体" w:eastAsia="黑体" w:cs="黑体"/>
          <w:color w:val="000000"/>
          <w:kern w:val="0"/>
          <w:sz w:val="24"/>
          <w:szCs w:val="24"/>
          <w:lang w:val="zh-CN"/>
        </w:rPr>
        <w:t>三、</w:t>
      </w:r>
      <w:r>
        <w:rPr>
          <w:rFonts w:hint="eastAsia" w:ascii="黑体" w:hAnsi="黑体" w:eastAsia="黑体" w:cs="宋体"/>
          <w:color w:val="000000"/>
          <w:kern w:val="0"/>
          <w:sz w:val="24"/>
          <w:szCs w:val="24"/>
          <w:lang w:val="zh-CN"/>
        </w:rPr>
        <w:t>投标人资格要求</w:t>
      </w:r>
    </w:p>
    <w:p>
      <w:pPr>
        <w:keepNext w:val="0"/>
        <w:keepLines w:val="0"/>
        <w:pageBreakBefore w:val="0"/>
        <w:widowControl/>
        <w:shd w:val="clear" w:color="auto" w:fill="FFFFFF"/>
        <w:kinsoku/>
        <w:wordWrap/>
        <w:overflowPunct/>
        <w:bidi w:val="0"/>
        <w:spacing w:line="400" w:lineRule="exact"/>
        <w:ind w:left="0" w:leftChars="0" w:right="0" w:rightChars="0" w:firstLine="480" w:firstLineChars="200"/>
        <w:contextualSpacing/>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（一）具备《政府采购法》第二十二条第一款规定条件并提供相关材料。</w:t>
      </w:r>
    </w:p>
    <w:p>
      <w:pPr>
        <w:keepNext w:val="0"/>
        <w:keepLines w:val="0"/>
        <w:pageBreakBefore w:val="0"/>
        <w:widowControl/>
        <w:shd w:val="clear" w:color="auto" w:fill="FFFFFF"/>
        <w:kinsoku/>
        <w:wordWrap/>
        <w:overflowPunct/>
        <w:bidi w:val="0"/>
        <w:spacing w:line="400" w:lineRule="exact"/>
        <w:ind w:left="0" w:leftChars="0" w:right="0" w:rightChars="0" w:firstLine="480" w:firstLineChars="200"/>
        <w:contextualSpacing/>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（二）本次招标不接受联合体投标。</w:t>
      </w:r>
    </w:p>
    <w:p>
      <w:pPr>
        <w:keepNext w:val="0"/>
        <w:keepLines w:val="0"/>
        <w:pageBreakBefore w:val="0"/>
        <w:widowControl/>
        <w:kinsoku/>
        <w:wordWrap/>
        <w:overflowPunct/>
        <w:bidi w:val="0"/>
        <w:spacing w:line="400" w:lineRule="exact"/>
        <w:ind w:left="0" w:leftChars="0" w:right="0" w:rightChars="0" w:firstLine="795"/>
        <w:jc w:val="left"/>
        <w:textAlignment w:val="auto"/>
        <w:outlineLvl w:val="9"/>
        <w:rPr>
          <w:rFonts w:hint="eastAsia" w:ascii="黑体" w:hAnsi="黑体" w:eastAsia="黑体" w:cs="黑体"/>
          <w:color w:val="000000"/>
          <w:kern w:val="0"/>
          <w:sz w:val="24"/>
          <w:szCs w:val="24"/>
          <w:lang w:val="zh-CN" w:eastAsia="zh-CN"/>
        </w:rPr>
      </w:pPr>
      <w:r>
        <w:rPr>
          <w:rFonts w:hint="eastAsia" w:ascii="黑体" w:hAnsi="黑体" w:eastAsia="黑体" w:cs="宋体"/>
          <w:sz w:val="24"/>
          <w:szCs w:val="24"/>
          <w:lang w:val="zh-CN"/>
        </w:rPr>
        <w:t>四、</w:t>
      </w:r>
      <w:r>
        <w:rPr>
          <w:rFonts w:hint="eastAsia" w:ascii="黑体" w:hAnsi="黑体" w:eastAsia="黑体" w:cs="黑体"/>
          <w:color w:val="000000"/>
          <w:kern w:val="0"/>
          <w:sz w:val="24"/>
          <w:szCs w:val="24"/>
          <w:lang w:val="zh-CN"/>
        </w:rPr>
        <w:t xml:space="preserve"> </w:t>
      </w:r>
      <w:r>
        <w:rPr>
          <w:rFonts w:hint="eastAsia" w:ascii="黑体" w:hAnsi="黑体" w:eastAsia="黑体" w:cs="黑体"/>
          <w:color w:val="000000"/>
          <w:kern w:val="0"/>
          <w:sz w:val="24"/>
          <w:szCs w:val="24"/>
          <w:lang w:val="zh-CN" w:eastAsia="zh-CN"/>
        </w:rPr>
        <w:t>采购需求</w:t>
      </w:r>
    </w:p>
    <w:p>
      <w:pPr>
        <w:keepNext w:val="0"/>
        <w:keepLines w:val="0"/>
        <w:pageBreakBefore w:val="0"/>
        <w:tabs>
          <w:tab w:val="left" w:pos="540"/>
        </w:tabs>
        <w:kinsoku/>
        <w:wordWrap/>
        <w:overflowPunct/>
        <w:bidi w:val="0"/>
        <w:snapToGrid w:val="0"/>
        <w:spacing w:line="400" w:lineRule="exact"/>
        <w:ind w:left="0" w:leftChars="0" w:right="0" w:rightChars="0" w:firstLine="472" w:firstLineChars="196"/>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zh-CN" w:eastAsia="zh-CN"/>
        </w:rPr>
        <w:t>（一）</w:t>
      </w:r>
      <w:r>
        <w:rPr>
          <w:rFonts w:hint="eastAsia" w:asciiTheme="majorEastAsia" w:hAnsiTheme="majorEastAsia" w:eastAsiaTheme="majorEastAsia" w:cstheme="majorEastAsia"/>
          <w:b/>
          <w:bCs/>
          <w:sz w:val="24"/>
          <w:szCs w:val="24"/>
          <w:lang w:val="en-US" w:eastAsia="zh-CN"/>
        </w:rPr>
        <w:t>本项目需实现的功能或者目标：</w:t>
      </w:r>
    </w:p>
    <w:p>
      <w:pPr>
        <w:keepNext w:val="0"/>
        <w:keepLines w:val="0"/>
        <w:pageBreakBefore w:val="0"/>
        <w:widowControl/>
        <w:kinsoku/>
        <w:wordWrap/>
        <w:overflowPunct/>
        <w:bidi w:val="0"/>
        <w:spacing w:line="400" w:lineRule="exact"/>
        <w:ind w:left="0" w:leftChars="0" w:right="0" w:rightChars="0" w:firstLine="480" w:firstLineChars="200"/>
        <w:jc w:val="left"/>
        <w:textAlignment w:val="auto"/>
        <w:outlineLvl w:val="9"/>
        <w:rPr>
          <w:rFonts w:ascii="黑体" w:eastAsia="黑体" w:cs="黑体"/>
          <w:b/>
          <w:bCs/>
          <w:sz w:val="24"/>
          <w:szCs w:val="24"/>
          <w:lang w:val="zh-CN"/>
        </w:rPr>
      </w:pPr>
      <w:r>
        <w:rPr>
          <w:rFonts w:hint="eastAsia" w:ascii="仿宋" w:hAnsi="仿宋" w:eastAsia="仿宋" w:cs="宋体"/>
          <w:color w:val="000000"/>
          <w:kern w:val="0"/>
          <w:sz w:val="24"/>
          <w:szCs w:val="24"/>
        </w:rPr>
        <w:t>本项目拟在许昌辖区高速路段</w:t>
      </w:r>
      <w:r>
        <w:rPr>
          <w:rFonts w:hint="eastAsia" w:ascii="仿宋" w:hAnsi="仿宋" w:eastAsia="仿宋" w:cs="宋体"/>
          <w:color w:val="000000"/>
          <w:kern w:val="0"/>
          <w:sz w:val="24"/>
          <w:szCs w:val="24"/>
          <w:lang w:eastAsia="zh-CN"/>
        </w:rPr>
        <w:t>上</w:t>
      </w:r>
      <w:r>
        <w:rPr>
          <w:rFonts w:hint="eastAsia" w:ascii="仿宋" w:hAnsi="仿宋" w:eastAsia="仿宋" w:cs="宋体"/>
          <w:color w:val="000000"/>
          <w:kern w:val="0"/>
          <w:sz w:val="24"/>
          <w:szCs w:val="24"/>
        </w:rPr>
        <w:t>利旧和新建“连续提示、实时抓拍、即时预警、现场拦截教育”的区间测速系统。采购内容包括：1、完成智能卡口、LED 可变信息标志、后台计算、存储等设备的采购和安装；2、跨路龙门架、固定提示标牌和电力、通信线缆敷设等附属设施建设；3、新建的智能卡口及视频接入许昌市交警支队现有专网管控平台及公安集成指挥平台，实现区间测速等公安交管执法和治安防控需求；4、通过LED 可变信息标志和信息发布平台，实时发布违法车辆、实时路况等信息；5、设备采购、运输、安装调试、软件研发、系统对接、竣工验收、</w:t>
      </w:r>
      <w:r>
        <w:rPr>
          <w:rFonts w:hint="eastAsia" w:ascii="仿宋" w:hAnsi="仿宋" w:eastAsia="仿宋" w:cs="宋体"/>
          <w:color w:val="000000"/>
          <w:kern w:val="0"/>
          <w:sz w:val="24"/>
          <w:szCs w:val="24"/>
          <w:lang w:eastAsia="zh-CN"/>
        </w:rPr>
        <w:t>前两年质保</w:t>
      </w:r>
      <w:r>
        <w:rPr>
          <w:rFonts w:hint="eastAsia" w:ascii="仿宋" w:hAnsi="仿宋" w:eastAsia="仿宋" w:cs="宋体"/>
          <w:color w:val="000000"/>
          <w:kern w:val="0"/>
          <w:sz w:val="24"/>
          <w:szCs w:val="24"/>
        </w:rPr>
        <w:t>服务和</w:t>
      </w:r>
      <w:r>
        <w:rPr>
          <w:rFonts w:hint="eastAsia" w:ascii="仿宋" w:hAnsi="仿宋" w:eastAsia="仿宋" w:cs="宋体"/>
          <w:color w:val="000000"/>
          <w:kern w:val="0"/>
          <w:sz w:val="24"/>
          <w:szCs w:val="24"/>
          <w:lang w:eastAsia="zh-CN"/>
        </w:rPr>
        <w:t>后</w:t>
      </w:r>
      <w:r>
        <w:rPr>
          <w:rFonts w:hint="eastAsia" w:ascii="仿宋" w:hAnsi="仿宋" w:eastAsia="仿宋" w:cs="宋体"/>
          <w:color w:val="000000"/>
          <w:kern w:val="0"/>
          <w:sz w:val="24"/>
          <w:szCs w:val="24"/>
        </w:rPr>
        <w:t>6年运维</w:t>
      </w:r>
      <w:r>
        <w:rPr>
          <w:rFonts w:hint="eastAsia" w:ascii="仿宋" w:hAnsi="仿宋" w:eastAsia="仿宋" w:cs="宋体"/>
          <w:color w:val="000000"/>
          <w:kern w:val="0"/>
          <w:sz w:val="24"/>
          <w:szCs w:val="24"/>
          <w:lang w:eastAsia="zh-CN"/>
        </w:rPr>
        <w:t>服务（含设备、配件更换、系统升级改造</w:t>
      </w:r>
      <w:r>
        <w:rPr>
          <w:rFonts w:hint="eastAsia" w:ascii="仿宋" w:hAnsi="仿宋" w:eastAsia="仿宋" w:cs="宋体"/>
          <w:color w:val="000000"/>
          <w:kern w:val="0"/>
          <w:sz w:val="24"/>
          <w:szCs w:val="24"/>
        </w:rPr>
        <w:t>等</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sz w:val="24"/>
          <w:szCs w:val="24"/>
          <w:lang w:val="en-US" w:eastAsia="zh-CN"/>
        </w:rPr>
        <w:t xml:space="preserve">该项目所有设备8年的电费。    </w:t>
      </w:r>
      <w:r>
        <w:rPr>
          <w:rFonts w:hint="eastAsia" w:ascii="黑体" w:eastAsia="黑体" w:cs="黑体"/>
          <w:b/>
          <w:bCs/>
          <w:sz w:val="24"/>
          <w:szCs w:val="24"/>
          <w:lang w:val="zh-CN"/>
        </w:rPr>
        <w:t xml:space="preserve">              </w:t>
      </w:r>
    </w:p>
    <w:p>
      <w:pPr>
        <w:keepNext w:val="0"/>
        <w:keepLines w:val="0"/>
        <w:pageBreakBefore w:val="0"/>
        <w:tabs>
          <w:tab w:val="left" w:pos="540"/>
        </w:tabs>
        <w:kinsoku/>
        <w:wordWrap/>
        <w:overflowPunct/>
        <w:bidi w:val="0"/>
        <w:snapToGrid w:val="0"/>
        <w:spacing w:line="400" w:lineRule="exact"/>
        <w:ind w:left="0" w:leftChars="0" w:right="0" w:rightChars="0" w:firstLine="472" w:firstLineChars="196"/>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（二）</w:t>
      </w:r>
      <w:r>
        <w:rPr>
          <w:rFonts w:hint="eastAsia" w:asciiTheme="majorEastAsia" w:hAnsiTheme="majorEastAsia" w:eastAsiaTheme="majorEastAsia" w:cstheme="majorEastAsia"/>
          <w:b/>
          <w:bCs/>
          <w:sz w:val="24"/>
          <w:szCs w:val="24"/>
        </w:rPr>
        <w:t>项目需求</w:t>
      </w:r>
      <w:r>
        <w:rPr>
          <w:rFonts w:hint="eastAsia" w:asciiTheme="majorEastAsia" w:hAnsiTheme="majorEastAsia" w:eastAsiaTheme="majorEastAsia" w:cstheme="majorEastAsia"/>
          <w:b/>
          <w:bCs/>
          <w:sz w:val="24"/>
          <w:szCs w:val="24"/>
          <w:lang w:eastAsia="zh-CN"/>
        </w:rPr>
        <w:t>：</w:t>
      </w:r>
      <w:r>
        <w:rPr>
          <w:rFonts w:hint="eastAsia" w:ascii="仿宋" w:hAnsi="仿宋" w:eastAsia="仿宋" w:cs="宋体"/>
          <w:color w:val="000000"/>
          <w:kern w:val="0"/>
          <w:sz w:val="24"/>
          <w:szCs w:val="24"/>
        </w:rPr>
        <w:t>项目</w:t>
      </w:r>
      <w:r>
        <w:rPr>
          <w:rFonts w:hint="eastAsia" w:ascii="仿宋" w:hAnsi="仿宋" w:eastAsia="仿宋" w:cs="宋体"/>
          <w:color w:val="000000"/>
          <w:kern w:val="0"/>
          <w:sz w:val="24"/>
          <w:szCs w:val="24"/>
          <w:lang w:eastAsia="zh-CN"/>
        </w:rPr>
        <w:t>要实现</w:t>
      </w:r>
      <w:r>
        <w:rPr>
          <w:rFonts w:hint="eastAsia" w:ascii="仿宋" w:hAnsi="仿宋" w:eastAsia="仿宋" w:cs="宋体"/>
          <w:color w:val="000000"/>
          <w:kern w:val="0"/>
          <w:sz w:val="24"/>
          <w:szCs w:val="24"/>
        </w:rPr>
        <w:t>区间测速</w:t>
      </w:r>
      <w:r>
        <w:rPr>
          <w:rFonts w:hint="eastAsia" w:ascii="仿宋" w:hAnsi="仿宋" w:eastAsia="仿宋" w:cs="宋体"/>
          <w:color w:val="000000"/>
          <w:kern w:val="0"/>
          <w:sz w:val="24"/>
          <w:szCs w:val="24"/>
          <w:lang w:eastAsia="zh-CN"/>
        </w:rPr>
        <w:t>、定点测速、监控、卡口、流量统计、不系安全带、接打电话等交通违法行为的抓拍。</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 xml:space="preserve">   </w:t>
      </w:r>
      <w:r>
        <w:rPr>
          <w:rFonts w:hint="eastAsia" w:ascii="仿宋" w:hAnsi="仿宋" w:eastAsia="仿宋" w:cs="仿宋"/>
          <w:color w:val="000000"/>
          <w:kern w:val="0"/>
          <w:sz w:val="24"/>
          <w:szCs w:val="24"/>
          <w:lang w:val="en-US" w:eastAsia="zh-CN"/>
        </w:rPr>
        <w:t xml:space="preserve"> 1、</w:t>
      </w:r>
      <w:r>
        <w:rPr>
          <w:rFonts w:hint="eastAsia" w:ascii="仿宋" w:hAnsi="仿宋" w:eastAsia="仿宋" w:cs="仿宋"/>
          <w:color w:val="000000"/>
          <w:kern w:val="0"/>
          <w:sz w:val="24"/>
          <w:szCs w:val="24"/>
        </w:rPr>
        <w:t>区间卡口设备24h内计时误差不得超过1.0s；</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2、</w:t>
      </w:r>
      <w:r>
        <w:rPr>
          <w:rFonts w:hint="eastAsia" w:ascii="仿宋" w:hAnsi="仿宋" w:eastAsia="仿宋" w:cs="仿宋"/>
          <w:color w:val="000000"/>
          <w:kern w:val="0"/>
          <w:sz w:val="24"/>
          <w:szCs w:val="24"/>
        </w:rPr>
        <w:t>区间距离不允许有正误差，公里桩的采集应精确到米；</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3、</w:t>
      </w:r>
      <w:r>
        <w:rPr>
          <w:rFonts w:hint="eastAsia" w:ascii="仿宋" w:hAnsi="仿宋" w:eastAsia="仿宋" w:cs="仿宋"/>
          <w:color w:val="000000"/>
          <w:kern w:val="0"/>
          <w:sz w:val="24"/>
          <w:szCs w:val="24"/>
        </w:rPr>
        <w:t>平均速度误差应符合GA/T 959—2011《机动车区间测速技术规范》的要求；区间测速平台应在车辆经过区间测速终点卡口后，计算车辆的区间超速信息，并将超速结果发送到对应的LED可变信息标志的时间不得多于5秒；当发生单点超速的情况下，应自车辆经过区间测速终点卡口后3秒内显示结果。同时超速的信息向LED可变信息标志发布，则先发布到屏上的车牌信息的显示时间不小于2秒。</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4、</w:t>
      </w:r>
      <w:r>
        <w:rPr>
          <w:rFonts w:hint="eastAsia" w:ascii="仿宋" w:hAnsi="仿宋" w:eastAsia="仿宋" w:cs="仿宋"/>
          <w:color w:val="000000"/>
          <w:kern w:val="0"/>
          <w:sz w:val="24"/>
          <w:szCs w:val="24"/>
        </w:rPr>
        <w:t>系统可以判断车辆速度，未超速的行驶车辆应自动记录不少于1张过车图片，超速行驶的车辆应记录2张不同位置的图片用以反映车辆位移，并单独提取其车牌图片。图片能清晰反映路况信息、车辆特征信息，同时将车辆通过时间（精确到秒）、详细地点、车速、限速信息、通行方向、防伪码、违法代码等信息叠加在图片上。车辆图像捕获率≥99%。</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5、</w:t>
      </w:r>
      <w:r>
        <w:rPr>
          <w:rFonts w:hint="eastAsia" w:ascii="仿宋" w:hAnsi="仿宋" w:eastAsia="仿宋" w:cs="仿宋"/>
          <w:color w:val="000000"/>
          <w:kern w:val="0"/>
          <w:sz w:val="24"/>
          <w:szCs w:val="24"/>
        </w:rPr>
        <w:t>系统应支持前端缓存和断点续传。若网络中断，数据无法上传至管理中心时，可暂时将数据存储在前端主机中，待网络恢复后前端存储设备自动上传网络中断期间的数据至管理中心，防止数据丢失。</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6、</w:t>
      </w:r>
      <w:r>
        <w:rPr>
          <w:rFonts w:hint="eastAsia" w:ascii="仿宋" w:hAnsi="仿宋" w:eastAsia="仿宋" w:cs="仿宋"/>
          <w:color w:val="000000"/>
          <w:kern w:val="0"/>
          <w:sz w:val="24"/>
          <w:szCs w:val="24"/>
        </w:rPr>
        <w:t>采集的过车信息在生成时进行防篡改处理，保证源头加密，通过加入原始防伪信息，防止原始图片在传输、存储和校对过程中被人为篡改，保证数据的真实有效性。</w:t>
      </w:r>
      <w:bookmarkStart w:id="0" w:name="_Toc18954"/>
      <w:bookmarkStart w:id="1" w:name="_Toc19460"/>
      <w:bookmarkStart w:id="2" w:name="_Toc31656"/>
      <w:bookmarkStart w:id="3" w:name="_Toc19266"/>
      <w:r>
        <w:rPr>
          <w:rFonts w:hint="eastAsia" w:ascii="仿宋" w:hAnsi="仿宋" w:eastAsia="仿宋" w:cs="仿宋"/>
          <w:color w:val="000000"/>
          <w:kern w:val="0"/>
          <w:sz w:val="24"/>
          <w:szCs w:val="24"/>
        </w:rPr>
        <w:t>远程维护</w:t>
      </w:r>
      <w:bookmarkEnd w:id="0"/>
      <w:bookmarkEnd w:id="1"/>
      <w:bookmarkEnd w:id="2"/>
      <w:bookmarkEnd w:id="3"/>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7、</w:t>
      </w:r>
      <w:r>
        <w:rPr>
          <w:rFonts w:hint="eastAsia" w:ascii="仿宋" w:hAnsi="仿宋" w:eastAsia="仿宋" w:cs="仿宋"/>
          <w:color w:val="000000"/>
          <w:kern w:val="0"/>
          <w:sz w:val="24"/>
          <w:szCs w:val="24"/>
        </w:rPr>
        <w:t>系统应具备故障自动检测功能，能通过软硬件自动检测系统故障并恢复正常工作。具有断电自动重启动、自动侦错报错、自动监测摄像机单元运行状态，供电电路断电远程报警功能。</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8、</w:t>
      </w:r>
      <w:r>
        <w:rPr>
          <w:rFonts w:hint="eastAsia" w:ascii="仿宋" w:hAnsi="仿宋" w:eastAsia="仿宋" w:cs="仿宋"/>
          <w:color w:val="000000"/>
          <w:kern w:val="0"/>
          <w:sz w:val="24"/>
          <w:szCs w:val="24"/>
        </w:rPr>
        <w:t>卡口抓拍率、软件识别率、图片分辨率、补光效率应当达到标准规定，不得影响公安机关正常的执法和刑事、治安案件等执法办案需求。</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9、</w:t>
      </w:r>
      <w:r>
        <w:rPr>
          <w:rFonts w:hint="eastAsia" w:ascii="仿宋" w:hAnsi="仿宋" w:eastAsia="仿宋" w:cs="仿宋"/>
          <w:color w:val="000000"/>
          <w:kern w:val="0"/>
          <w:sz w:val="24"/>
          <w:szCs w:val="24"/>
        </w:rPr>
        <w:t>LED可变信息标志不得出现断电、黑屏、花屏和坏点现象，不得因灯珠发光频率、帧率过低而出现闪烁现象，不得出现文字显示与信息标志长、宽尺寸规格不协调现象，显示文字、图片等内容要结合高速公路车速，实现良好的视觉效果。应通过后台自动调控白天和夜间的显示亮度，不得出现白天亮度过低，晚上因亮度过高而影响驾驶员安全行驶。LED可变信息标志的发光光晕要达到规定标准，不得出现因光晕过多而影响高速公路安全行驶。LED可变信息标志需要防潮、防水等功能。应支持无线通讯及有线通讯两种模式。</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10、龙门架、悬臂型钢结构基础和铝合金固定提示标牌要</w:t>
      </w:r>
      <w:r>
        <w:rPr>
          <w:rFonts w:hint="eastAsia" w:ascii="仿宋" w:hAnsi="仿宋" w:eastAsia="仿宋" w:cs="仿宋"/>
          <w:color w:val="000000"/>
          <w:kern w:val="0"/>
          <w:sz w:val="24"/>
          <w:szCs w:val="24"/>
        </w:rPr>
        <w:t>严格按照钢结构和建筑施工标准建设龙门架、悬臂型钢结构、铝合金固定提示标志主体及基础工程，有足够的承重和抗风速能力，确保主体绝对坚固。严格按照第五章第五部分技术要求进行选材，钢结构主体要进行整体热镀锌处理，不得出现表面脱落、锈腐现象，铝合金固定提示标牌反光膜不得脱落，确保长期使用。</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11、</w:t>
      </w:r>
      <w:r>
        <w:rPr>
          <w:rFonts w:hint="eastAsia" w:ascii="仿宋" w:hAnsi="仿宋" w:eastAsia="仿宋" w:cs="仿宋"/>
          <w:color w:val="000000"/>
          <w:kern w:val="0"/>
          <w:sz w:val="24"/>
          <w:szCs w:val="24"/>
        </w:rPr>
        <w:t>区间测速</w:t>
      </w:r>
      <w:r>
        <w:rPr>
          <w:rFonts w:hint="eastAsia" w:ascii="仿宋" w:hAnsi="仿宋" w:eastAsia="仿宋" w:cs="仿宋"/>
          <w:color w:val="000000"/>
          <w:kern w:val="0"/>
          <w:sz w:val="24"/>
          <w:szCs w:val="24"/>
          <w:lang w:eastAsia="zh-CN"/>
        </w:rPr>
        <w:t>系统</w:t>
      </w:r>
      <w:r>
        <w:rPr>
          <w:rFonts w:hint="eastAsia" w:ascii="仿宋" w:hAnsi="仿宋" w:eastAsia="仿宋" w:cs="仿宋"/>
          <w:color w:val="000000"/>
          <w:kern w:val="0"/>
          <w:sz w:val="24"/>
          <w:szCs w:val="24"/>
        </w:rPr>
        <w:t>中</w:t>
      </w:r>
      <w:r>
        <w:rPr>
          <w:rFonts w:hint="eastAsia" w:ascii="仿宋" w:hAnsi="仿宋" w:eastAsia="仿宋" w:cs="仿宋"/>
          <w:color w:val="000000"/>
          <w:kern w:val="0"/>
          <w:sz w:val="24"/>
          <w:szCs w:val="24"/>
          <w:lang w:eastAsia="zh-CN"/>
        </w:rPr>
        <w:t>过车</w:t>
      </w:r>
      <w:r>
        <w:rPr>
          <w:rFonts w:hint="eastAsia" w:ascii="仿宋" w:hAnsi="仿宋" w:eastAsia="仿宋" w:cs="仿宋"/>
          <w:color w:val="000000"/>
          <w:kern w:val="0"/>
          <w:sz w:val="24"/>
          <w:szCs w:val="24"/>
        </w:rPr>
        <w:t>信息</w:t>
      </w:r>
      <w:r>
        <w:rPr>
          <w:rFonts w:hint="eastAsia" w:ascii="仿宋" w:hAnsi="仿宋" w:eastAsia="仿宋" w:cs="仿宋"/>
          <w:color w:val="000000"/>
          <w:kern w:val="0"/>
          <w:sz w:val="24"/>
          <w:szCs w:val="24"/>
          <w:lang w:eastAsia="zh-CN"/>
        </w:rPr>
        <w:t>、图片和视频按公安机关最新要求</w:t>
      </w:r>
      <w:r>
        <w:rPr>
          <w:rFonts w:hint="eastAsia" w:ascii="仿宋" w:hAnsi="仿宋" w:eastAsia="仿宋" w:cs="仿宋"/>
          <w:color w:val="000000"/>
          <w:kern w:val="0"/>
          <w:sz w:val="24"/>
          <w:szCs w:val="24"/>
        </w:rPr>
        <w:t>实时上传至公安交管综合应用平台</w:t>
      </w:r>
      <w:r>
        <w:rPr>
          <w:rFonts w:hint="eastAsia" w:ascii="仿宋" w:hAnsi="仿宋" w:eastAsia="仿宋" w:cs="仿宋"/>
          <w:color w:val="000000"/>
          <w:kern w:val="0"/>
          <w:sz w:val="24"/>
          <w:szCs w:val="24"/>
          <w:lang w:eastAsia="zh-CN"/>
        </w:rPr>
        <w:t>和其他指定的平台</w:t>
      </w:r>
      <w:r>
        <w:rPr>
          <w:rFonts w:hint="eastAsia" w:ascii="仿宋" w:hAnsi="仿宋" w:eastAsia="仿宋" w:cs="仿宋"/>
          <w:color w:val="000000"/>
          <w:kern w:val="0"/>
          <w:sz w:val="24"/>
          <w:szCs w:val="24"/>
        </w:rPr>
        <w:t>。</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12、终端管理设备</w:t>
      </w:r>
      <w:r>
        <w:rPr>
          <w:rFonts w:hint="eastAsia" w:ascii="仿宋" w:hAnsi="仿宋" w:eastAsia="仿宋" w:cs="仿宋"/>
          <w:color w:val="000000"/>
          <w:kern w:val="0"/>
          <w:sz w:val="24"/>
          <w:szCs w:val="24"/>
        </w:rPr>
        <w:t>。实现本项目新建和利旧卡口起点至终点区间测速前端运算，并将以业主单位定制形式结果实时推送到区间测速终点行驶方向500米处LED可变信息标志。</w:t>
      </w:r>
      <w:r>
        <w:rPr>
          <w:rFonts w:hint="eastAsia" w:ascii="仿宋" w:hAnsi="仿宋" w:eastAsia="仿宋" w:cs="仿宋"/>
          <w:color w:val="000000"/>
          <w:kern w:val="0"/>
          <w:sz w:val="24"/>
          <w:szCs w:val="24"/>
          <w:lang w:eastAsia="zh-CN"/>
        </w:rPr>
        <w:t>必要时增加前端交换机（免费），满足组网功能。</w:t>
      </w:r>
    </w:p>
    <w:p>
      <w:pPr>
        <w:keepNext w:val="0"/>
        <w:keepLines w:val="0"/>
        <w:pageBreakBefore w:val="0"/>
        <w:widowControl/>
        <w:shd w:val="clear" w:color="auto" w:fill="FFFFFF"/>
        <w:kinsoku/>
        <w:wordWrap/>
        <w:overflowPunct/>
        <w:bidi w:val="0"/>
        <w:spacing w:line="400" w:lineRule="exact"/>
        <w:ind w:left="0" w:leftChars="0" w:right="0" w:rightChars="0" w:firstLine="56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、应主动接受许昌市公安局对其运维服务工作的监督考核。</w:t>
      </w:r>
    </w:p>
    <w:p>
      <w:pPr>
        <w:keepNext w:val="0"/>
        <w:keepLines w:val="0"/>
        <w:pageBreakBefore w:val="0"/>
        <w:widowControl/>
        <w:shd w:val="clear" w:color="auto" w:fill="FFFFFF"/>
        <w:kinsoku/>
        <w:wordWrap/>
        <w:overflowPunct/>
        <w:bidi w:val="0"/>
        <w:spacing w:line="400" w:lineRule="exact"/>
        <w:ind w:left="0" w:leftChars="0" w:right="0" w:rightChars="0" w:firstLine="56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kern w:val="0"/>
          <w:sz w:val="24"/>
          <w:szCs w:val="24"/>
        </w:rPr>
        <w:t>、巡查发现问题或接到许昌市公安局工作人员故障通知后</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要在24小时内进行修复，情况复杂的48小时内修复。逾期未修复的以不合格纳入考核；如中标人针对以上响应服务时间承诺提出更高标准的，则按照较高的标准执行。</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15、</w:t>
      </w:r>
      <w:r>
        <w:rPr>
          <w:rFonts w:hint="eastAsia" w:ascii="仿宋" w:hAnsi="仿宋" w:eastAsia="仿宋" w:cs="仿宋"/>
          <w:color w:val="000000"/>
          <w:kern w:val="0"/>
          <w:sz w:val="24"/>
          <w:szCs w:val="24"/>
        </w:rPr>
        <w:t>应建立运维服务工作日志，详细记录每天巡查、故障发现、排除情况，维修时间、地点和人员姓名，更换配件的名称、规格、型号、数量和价格等。工作日志定期移交许昌市公安局备查。</w:t>
      </w:r>
    </w:p>
    <w:p>
      <w:pPr>
        <w:keepNext w:val="0"/>
        <w:keepLines w:val="0"/>
        <w:pageBreakBefore w:val="0"/>
        <w:widowControl/>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16</w:t>
      </w:r>
      <w:r>
        <w:rPr>
          <w:rFonts w:hint="eastAsia" w:ascii="仿宋" w:hAnsi="仿宋" w:eastAsia="仿宋" w:cs="仿宋"/>
          <w:color w:val="000000"/>
          <w:kern w:val="0"/>
          <w:sz w:val="24"/>
          <w:szCs w:val="24"/>
        </w:rPr>
        <w:t>、应加强对运维服务工作人员的保密教育，严防其利用工作之便窃取、泄露公安机关工作机密和公民个人信息。构成违法犯罪的移交司法机关处理，同时视情扣除事发当年的部分或全部运维费用。</w:t>
      </w:r>
    </w:p>
    <w:p>
      <w:pPr>
        <w:keepNext w:val="0"/>
        <w:keepLines w:val="0"/>
        <w:pageBreakBefore w:val="0"/>
        <w:widowControl/>
        <w:shd w:val="clear" w:color="auto" w:fill="FFFFFF"/>
        <w:kinsoku/>
        <w:wordWrap/>
        <w:overflowPunct/>
        <w:bidi w:val="0"/>
        <w:spacing w:line="400" w:lineRule="exact"/>
        <w:ind w:left="0" w:leftChars="0" w:right="0" w:rightChars="0" w:firstLine="48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17、</w:t>
      </w:r>
      <w:r>
        <w:rPr>
          <w:rFonts w:hint="eastAsia" w:ascii="仿宋" w:hAnsi="仿宋" w:eastAsia="仿宋" w:cs="仿宋"/>
          <w:color w:val="000000"/>
          <w:kern w:val="0"/>
          <w:sz w:val="24"/>
          <w:szCs w:val="24"/>
        </w:rPr>
        <w:t>应对运维服务工作人员进行安全教育，加强安全防护措施，严格按照相关国家规定和行业操作规范进行运维服务。项目中标人应对其安全方面的问题承担责任。</w:t>
      </w:r>
    </w:p>
    <w:p>
      <w:pPr>
        <w:keepNext w:val="0"/>
        <w:keepLines w:val="0"/>
        <w:pageBreakBefore w:val="0"/>
        <w:widowControl/>
        <w:shd w:val="clear" w:color="auto" w:fill="FFFFFF"/>
        <w:kinsoku/>
        <w:wordWrap/>
        <w:overflowPunct/>
        <w:bidi w:val="0"/>
        <w:spacing w:line="400" w:lineRule="exact"/>
        <w:ind w:left="0" w:leftChars="0" w:right="0" w:rightChars="0" w:firstLine="48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18、所有设备必须对外开放接口协议。后端平台等软件系统须根据需要无偿提供接口程序，无偿根据需要利用接口程序将新建系统数据导入到指定的现有系统中，不响应此项要求的为无效投标。</w:t>
      </w:r>
    </w:p>
    <w:p>
      <w:pPr>
        <w:keepNext w:val="0"/>
        <w:keepLines w:val="0"/>
        <w:pageBreakBefore w:val="0"/>
        <w:widowControl/>
        <w:shd w:val="clear" w:color="auto" w:fill="FFFFFF"/>
        <w:kinsoku/>
        <w:wordWrap/>
        <w:overflowPunct/>
        <w:bidi w:val="0"/>
        <w:spacing w:line="400" w:lineRule="exact"/>
        <w:ind w:left="0" w:leftChars="0" w:right="0" w:rightChars="0" w:firstLine="48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19、供应商应派两名技术人员常驻采购单位，随时提供技术服务。</w:t>
      </w:r>
    </w:p>
    <w:p>
      <w:pPr>
        <w:keepNext w:val="0"/>
        <w:keepLines w:val="0"/>
        <w:pageBreakBefore w:val="0"/>
        <w:widowControl/>
        <w:shd w:val="clear" w:color="auto" w:fill="FFFFFF"/>
        <w:kinsoku/>
        <w:wordWrap/>
        <w:overflowPunct/>
        <w:bidi w:val="0"/>
        <w:spacing w:line="400" w:lineRule="exact"/>
        <w:ind w:left="0" w:leftChars="0" w:right="0" w:rightChars="0" w:firstLine="48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20、本项目为交钥匙工程。供应商应对本项目前后、端设备所处工作环境可能存在的不足进行评估预判，并予以完善，确保本项目能够顺利实施和达到预期效果。</w:t>
      </w:r>
    </w:p>
    <w:p>
      <w:pPr>
        <w:keepNext w:val="0"/>
        <w:keepLines w:val="0"/>
        <w:pageBreakBefore w:val="0"/>
        <w:numPr>
          <w:ilvl w:val="0"/>
          <w:numId w:val="0"/>
        </w:numPr>
        <w:kinsoku/>
        <w:wordWrap/>
        <w:overflowPunct/>
        <w:bidi w:val="0"/>
        <w:spacing w:line="400" w:lineRule="exact"/>
        <w:ind w:leftChars="200" w:right="0" w:rightChars="0"/>
        <w:textAlignment w:val="auto"/>
        <w:outlineLvl w:val="9"/>
        <w:rPr>
          <w:rFonts w:hint="eastAsia"/>
          <w:lang w:eastAsia="zh-CN"/>
        </w:rPr>
      </w:pPr>
      <w:r>
        <w:rPr>
          <w:rFonts w:hint="eastAsia" w:ascii="仿宋" w:hAnsi="仿宋" w:eastAsia="仿宋" w:cs="仿宋"/>
          <w:b/>
          <w:bCs/>
          <w:color w:val="000000"/>
          <w:kern w:val="0"/>
          <w:sz w:val="24"/>
          <w:szCs w:val="24"/>
          <w:shd w:val="clear" w:color="080000" w:fill="FFFFFF"/>
          <w:lang w:eastAsia="zh-CN"/>
        </w:rPr>
        <w:t>（三）采购清单</w:t>
      </w:r>
    </w:p>
    <w:tbl>
      <w:tblPr>
        <w:tblStyle w:val="14"/>
        <w:tblW w:w="99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699"/>
        <w:gridCol w:w="173"/>
        <w:gridCol w:w="6828"/>
        <w:gridCol w:w="438"/>
        <w:gridCol w:w="67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9210" w:type="dxa"/>
            <w:gridSpan w:val="6"/>
            <w:tcBorders>
              <w:top w:val="single" w:color="auto" w:sz="6" w:space="0"/>
              <w:left w:val="single" w:color="auto" w:sz="6" w:space="0"/>
              <w:bottom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高速区间测速系统清单</w:t>
            </w:r>
          </w:p>
        </w:tc>
        <w:tc>
          <w:tcPr>
            <w:tcW w:w="750" w:type="dxa"/>
            <w:tcBorders>
              <w:top w:val="single" w:color="auto" w:sz="6" w:space="0"/>
              <w:left w:val="single" w:color="auto" w:sz="6" w:space="0"/>
              <w:bottom w:val="single" w:color="auto" w:sz="6" w:space="0"/>
              <w:right w:val="single" w:color="auto" w:sz="4"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97" w:type="dxa"/>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序号</w:t>
            </w:r>
          </w:p>
        </w:tc>
        <w:tc>
          <w:tcPr>
            <w:tcW w:w="699" w:type="dxa"/>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设备名称</w:t>
            </w:r>
          </w:p>
        </w:tc>
        <w:tc>
          <w:tcPr>
            <w:tcW w:w="7001" w:type="dxa"/>
            <w:gridSpan w:val="2"/>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技术参数</w:t>
            </w:r>
          </w:p>
        </w:tc>
        <w:tc>
          <w:tcPr>
            <w:tcW w:w="438" w:type="dxa"/>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单位</w:t>
            </w:r>
          </w:p>
        </w:tc>
        <w:tc>
          <w:tcPr>
            <w:tcW w:w="675" w:type="dxa"/>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数量</w:t>
            </w:r>
          </w:p>
        </w:tc>
        <w:tc>
          <w:tcPr>
            <w:tcW w:w="750" w:type="dxa"/>
            <w:tcBorders>
              <w:top w:val="single" w:color="auto" w:sz="6" w:space="0"/>
              <w:left w:val="single" w:color="auto" w:sz="6" w:space="0"/>
              <w:bottom w:val="nil"/>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b/>
                <w:color w:val="000000"/>
                <w:sz w:val="18"/>
                <w:szCs w:val="18"/>
                <w:lang w:eastAsia="zh-CN"/>
              </w:rPr>
            </w:pPr>
            <w:r>
              <w:rPr>
                <w:rFonts w:hint="eastAsia" w:ascii="宋体" w:hAnsi="宋体"/>
                <w:b/>
                <w:color w:val="000000"/>
                <w:sz w:val="15"/>
                <w:szCs w:val="15"/>
                <w:lang w:eastAsia="zh-CN"/>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b/>
                <w:color w:val="000000"/>
                <w:sz w:val="18"/>
                <w:szCs w:val="18"/>
              </w:rPr>
            </w:pPr>
            <w:r>
              <w:rPr>
                <w:rFonts w:hint="eastAsia" w:ascii="宋体" w:hAnsi="宋体"/>
                <w:b/>
                <w:color w:val="000000"/>
                <w:sz w:val="18"/>
                <w:szCs w:val="18"/>
              </w:rPr>
              <w:t>一、区间测速前端设备</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3" w:hRule="atLeast"/>
          <w:jc w:val="center"/>
        </w:trPr>
        <w:tc>
          <w:tcPr>
            <w:tcW w:w="397" w:type="dxa"/>
            <w:tcBorders>
              <w:top w:val="single" w:color="auto" w:sz="6" w:space="0"/>
              <w:left w:val="single" w:color="auto" w:sz="6" w:space="0"/>
              <w:bottom w:val="nil"/>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高清抓拍单元</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嵌入式一体化高清卡口抓拍单元包含1台300万像素高清一体化嵌入式摄像机、1个高清镜头、1个室外防护罩、1组防雷器、1个电源适配器，可管理3车道；图像传感器：≥1/1.8英寸图像传感器；</w:t>
            </w:r>
            <w:r>
              <w:rPr>
                <w:rFonts w:hint="eastAsia" w:ascii="宋体" w:hAnsi="宋体" w:eastAsia="宋体" w:cs="宋体"/>
                <w:color w:val="000000"/>
                <w:sz w:val="18"/>
                <w:szCs w:val="18"/>
              </w:rPr>
              <w:t>▲</w:t>
            </w:r>
            <w:r>
              <w:rPr>
                <w:rFonts w:hint="eastAsia" w:ascii="宋体" w:hAnsi="宋体"/>
                <w:color w:val="000000"/>
                <w:sz w:val="18"/>
                <w:szCs w:val="18"/>
              </w:rPr>
              <w:t>最大图像尺寸≥2048*1536像素，彩色分辨力≥1200 TVL，码率1-25帧可配置；镜头根据现场实际情况可选；最低照度：彩色≤0.005lx，黑白≤0.0008lx；电子快门：1/25秒至1/1,000,000秒；支持JPEG图片、H.264视频流同时输出；整机一体化交付，内置补光灯；支持地感线圈、视频触发、雷达触发等多种触发方式；支持三码流输出；接口：≥1个10M/100M/1000M自适应以太网RJ45接口或≥1个SFP接口，≥3个RS-485接口，≥1个RS-232接口，≥1个BNC接口，≥4个同步信号输出接口，≥5个同步信号控制接口；≥1个USB接口；内置偏振镜，有效滤除偏振光，支持自动切换功能；具有本地存储功能，可将图像信息存储在内置SD卡或存储芯片上；支持车牌矫正功能，可识别带有略微倾斜的车辆号牌；支持异地牌照检测，设备通过WEB界面设置当地车牌字符，启动异地牌照检测功能后，具有对非本地车牌字符（不包含特殊车牌）检测功能；支持白名单功能，支持白名单的批量导入、导出功能；可通过WEB界面在抓拍图片上叠加时间、地点、车道号、限速值、车速、车身颜色、车牌号码、防伪编码、车型、车标、方向、摄像机ID、自定义等信息；通过车辆图像记录功能，白天和晚上捕获率不小于95%；支持车牌识别功能，白天和晚上识别准确率不小于97%；支持不少于150种车标识别，白天识别准确率≥95%，晚上识别准确率≥92%；支持不少于2000种车辆子品牌识别，白天识别准确率≥95%，晚上识别准确率≥90%；支持不少于7种车型识别，白天识别率准确率≥95%，晚上识别准确率≥90%；支持不少于11种车身颜色识别功能，白天车身颜色识别准确率≥95%，晚上车身颜色识别准确率≥95%；超速违章白天、晚上捕获率≥95%，白天、晚上识别准确率≥95%；支持安全带检测功能，未系安全带检出率≥90%，系安全带误检率≤5%；支持主副驾驶员遮阳板状态识别功能，主驾驶打开遮阳板检出率≥95%，未打开遮阳板被误检率≤5%；副驾驶打开遮阳板检出率≥90%，未打开遮阳板被误检率≤5%；支持对驾驶员行驶时打电话识别功能，打电话检出率≥80%，未打电话误检率≤5%；支持驾驶员人脸抠图功能，视频检测驾乘人员位置并抠图叠加至抓拍图片或保存为独立图片文件，主驾驶抠图准确率率≥97%；针对电源接口、通讯接口、视频接口支持6KV防雷；防护等级不低于IP66；摄像机设计先进可靠，可稳定运行在-40℃~85℃；支持IP66防护等级；电源电压在AC220V±25%范围内变化时，设备应能正常工作。</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6"/>
                <w:szCs w:val="16"/>
              </w:rPr>
              <w:t>三维支架</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三维可调安装万向支架</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200万像素高清红外球机</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1080P球型网络摄像机，传感器尺寸≥1/2.8英寸CMOS Sensor；水平解像力可以达到1100线；支持光学宽动态，宽动态范围可以达到100dB；支持宽动态效果自动切换；支持光学透雾、支持强光抑制，支持白平衡自动/手工配置、支持图像亮度、饱和度、锐度进行调节、支持自动增益控制、支持3D降噪；支持IR-CUT，支持彩转黑功能；</w:t>
            </w:r>
            <w:r>
              <w:rPr>
                <w:rFonts w:hint="eastAsia" w:ascii="宋体" w:hAnsi="宋体" w:eastAsia="宋体" w:cs="宋体"/>
                <w:color w:val="000000"/>
                <w:sz w:val="18"/>
                <w:szCs w:val="18"/>
              </w:rPr>
              <w:t>▲</w:t>
            </w:r>
            <w:r>
              <w:rPr>
                <w:rFonts w:hint="eastAsia" w:ascii="宋体" w:hAnsi="宋体"/>
                <w:color w:val="000000"/>
                <w:sz w:val="18"/>
                <w:szCs w:val="18"/>
              </w:rPr>
              <w:t>镜头焦距范围不小于5.2～218mmm，支持不小于42倍电动变倍；1/6秒至1/8000秒电子快门速度；彩色最低照度≤0.001Lux；支持H.265、H.264、MJPEG视频编码协议；最大支持1080P 60fps图像编码能力；支持“1080P 30fps+1080P 30fps+D1 25fps”格式三码流套餐；G.711、AAC语音编码，支持48kHz语音采样；支持OSD字符叠加，OSD内容支持自定义；OSD大小可以设置为64*64像素或者96*96像素或者128*128像素等；支持360度水平连续旋转，水平预置点速度可达360°/s；支持-20°～+90度垂直旋转；支持不少于256个预置位设置；支持3D定位功能；支持断电状态记忆功能，上电后自动回到断电前的云台和镜头状态；支持网络自适应，15％丢包网络环境下图像效果良好；支持区域入侵、停车、越界入侵、人员聚集、进入区域、离开区域、快速移动、物品移除、物品遗留、徘徊等智能行为分析功能，当达到设定的阈值时，可联动告警输出；支持客流统计功能，可分别对在监视画面中进入和离开的人数进行统计，并可在监视画面上显示当前统计人数；支持声音异常检测功能，检测到环境声音异常后自动产生告警；支持关闭telnet端口、web弱密码校验、错误登录抑制等安全访问机制；支持摄像机捆绑网关的IP和MAC地址，防止MAC欺骗；支持SD卡前端缓存，最大支持128GB SD卡本地缓存，与中心平台配合支持缓存补录；不小于1个报警输入/1个输出口，满足环境告警需求；本地模拟BNC信号输出口，方便安装调节；支持音频输入/输出，支持双向语音对讲；摄像机提供100M以太网自适应电口，网口防雷达到6KV；AC24V、DC24V电源输入口满足长时间在±35％电压波动电网中工作；适用不小于-45～70℃温度环境工作；支持IP67防尘防水等级；支持标准ONVIF协议和GB/T 28181国家标准</w:t>
            </w:r>
            <w:r>
              <w:rPr>
                <w:rFonts w:hint="eastAsia" w:ascii="宋体" w:hAnsi="宋体"/>
                <w:color w:val="000000"/>
                <w:sz w:val="18"/>
                <w:szCs w:val="18"/>
                <w:lang w:eastAsia="zh-CN"/>
              </w:rPr>
              <w:t>。</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43</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3</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爆闪灯</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智能交通爆闪补光灯；支持光耦触发方式；补光距离19m-27m；在距离补光装置20m处，基准轴上的有效光照度应小于等于4000lx；有效光照度应大于等于基准轴上有效光照度的50%；连续两次补光之间的最小时间间隔应小于等于100ms，点亮时间应小于等于2ms；支持IP66防护等级；寿命不小于1000万次；支持AC220V±20%宽压变化；适用-20～70℃温度环境气候工作；</w:t>
            </w:r>
            <w:r>
              <w:rPr>
                <w:rFonts w:hint="eastAsia" w:ascii="宋体" w:hAnsi="宋体" w:eastAsia="宋体" w:cs="宋体"/>
                <w:color w:val="000000"/>
                <w:sz w:val="18"/>
                <w:szCs w:val="18"/>
              </w:rPr>
              <w:t>▲</w:t>
            </w:r>
            <w:r>
              <w:rPr>
                <w:rFonts w:hint="eastAsia" w:ascii="宋体" w:hAnsi="宋体"/>
                <w:color w:val="000000"/>
                <w:sz w:val="18"/>
                <w:szCs w:val="18"/>
              </w:rPr>
              <w:t>内置蜂窝光栅有效消除邻边车道光污染</w:t>
            </w:r>
            <w:r>
              <w:rPr>
                <w:rFonts w:hint="eastAsia" w:ascii="宋体" w:hAnsi="宋体"/>
                <w:color w:val="000000"/>
                <w:sz w:val="18"/>
                <w:szCs w:val="18"/>
                <w:lang w:eastAsia="zh-CN"/>
              </w:rPr>
              <w:t>。</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4</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LED补光灯</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采用白光LED，电平量触发方式，用于卡口、电子警察夜间环境同步补光；色温≥5000K；补光灯闪烁频率应＞50Hz，点亮时间最大值≤4ms；有效补光距离：17m～23m；防护等级IP66；设备寿命不小于50000小时；输入电压支持AC220V±20%宽压变化；工作环境温度：-20～70℃</w:t>
            </w:r>
            <w:r>
              <w:rPr>
                <w:rFonts w:hint="eastAsia" w:ascii="宋体" w:hAnsi="宋体"/>
                <w:color w:val="000000"/>
                <w:sz w:val="18"/>
                <w:szCs w:val="18"/>
                <w:lang w:eastAsia="zh-CN"/>
              </w:rPr>
              <w:t>。</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5</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雷达</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测速准确度≤±2km/h；触发一致性≤±0.5m；测速范围（5~235）km/h；安装高度：4~8m；实时车速检测精度≤±1km/h；单车道车辆捕获率≥99%；天线波束3dB宽度：6°×19°；微波发射功率&lt;5mW；工作中心频率24150±10MHz；1个RS485接口；电源DC12V；工作温度-30℃~70℃；工作湿度0-95%RH；防护等级IP66；检测性能不受风、雨、雾、雪等影响；</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6</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区间测速主机</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可接入卡口/电警/IPC数量不少于16路，图片接收性能不少于12张/秒；支持手动录像、定时录像、事件录像，具有在超出存储总容量时记录自动覆盖功能；具备数据直存功能，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后记录资料的留存；支持在图片上叠加车牌、车道、时间、地点等字符信息，支持图片的存储、检索、查看、导出等处理；支持区间测速；无缝融入现有平台管理，支持平台远程升级、配置、参数设置等操作；具备不少于4个光口，不少于3个电口，不少于3个RS-232，不少于3个RS-485串口，不少于2个USB接口，不少于4路告警输入接口，不少于4路告警输出接口；工作温度-10℃~55℃，支持4个硬盘槽位，本次配置含1块3T硬盘</w:t>
            </w:r>
            <w:r>
              <w:rPr>
                <w:rFonts w:hint="eastAsia" w:ascii="宋体" w:hAnsi="宋体"/>
                <w:color w:val="000000"/>
                <w:sz w:val="18"/>
                <w:szCs w:val="18"/>
                <w:lang w:eastAsia="zh-CN"/>
              </w:rPr>
              <w:t>。</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8"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7</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违法信息诱导屏1</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尺寸：1m*12m；点距：25mm；像素组成:2R1G；模组分辨率≥8×8；采用510正圆管芯，视角水平不小于120°，垂直不小于60°；亮度≥8500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模组底壳均带有安装和维护把手，面罩不反光，耐紫外线；高防护等级，屏体正面防水、防尘级可达IP65，适合户外全天候使用；</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违法信息诱导屏1</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尺寸：1m*8m；点距：25mm；像素组成:2R1G；模组分辨率≥8×8；采用510正圆管芯，视角水平不小于120°，垂直不小于60°；亮度≥8500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模组底壳均带有安装和维护把手，面罩不反光，耐紫外线；高防护等级，屏体正面防水、防尘级可达IP65，适合户外全天候使用；</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9</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网线</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超5类室外网线，305米木盘装，0.5mm无氧铜，PE护套防水，黑色</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23400</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10</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电源线</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RVV3*1.0</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10000</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11</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控制线</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RVVP2*0.5</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2000</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12</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光纤</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单模4芯</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5000</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13</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抱杆机柜</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复合控制单元抱杆机柜，含强电模板；含交换机；防护等级IP55</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5</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14</w:t>
            </w:r>
          </w:p>
        </w:tc>
        <w:tc>
          <w:tcPr>
            <w:tcW w:w="87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工程辅材</w:t>
            </w:r>
          </w:p>
        </w:tc>
        <w:tc>
          <w:tcPr>
            <w:tcW w:w="682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配套线缆、套管、各种接头、接地等</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批</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b/>
                <w:color w:val="000000"/>
                <w:sz w:val="18"/>
                <w:szCs w:val="18"/>
              </w:rPr>
            </w:pPr>
            <w:r>
              <w:rPr>
                <w:rFonts w:hint="eastAsia" w:ascii="宋体" w:hAnsi="宋体"/>
                <w:b/>
                <w:color w:val="000000"/>
                <w:sz w:val="18"/>
                <w:szCs w:val="18"/>
              </w:rPr>
              <w:t>二、存储系统</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5</w:t>
            </w:r>
          </w:p>
        </w:tc>
        <w:tc>
          <w:tcPr>
            <w:tcW w:w="699" w:type="dxa"/>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云存储主机</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单机柜高度≤4U,并满足≥48个硬盘槽位，支持硬盘前面板热插拔；主机自带不少于5个千兆网口，支持扩展，提供不少于1个PCI-E插槽；要求云存储节点支持SATA、SSD、SAS类型硬盘，支持1/2/3/4/5/6T等单盘容量硬盘；要求云存储节点电源、电池和风扇均为全冗余设计，支持在线热插拔更换；云存储节点PCI-E插槽需支持万兆、千兆以太网卡以及SAS 3.0卡；云存储节点应具备防护设施，在节点异常掉电时给节点缓存数据提供永久保护，掉电后存储节点数码管有显示缓存数据下刷的进度，重启动后数据无丢失；单台元数据管理服务器最大可以接入不小于2000台存储节点；支持不小于2000个客户端接入；业务可用有效空间利用率达到90%以上；云存储系统应支持容量及性能线性扩展；单盘损坏时，数据恢复时间小于10分钟/TB；支持NFS、CIFS、iSCSI、FTP、HTTP、REST、POSIX/Windows；支持按自定义文件类型批量导出或下载文件；云存储需支持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间支持数据的双份、多份存储冗余保护模式，系统最多可以允许一半的存储节点故障宕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需支持在线纠删码，存储节点间支持多种纠删码数据冗余和保护模式；云存储系统需支持云内和云间备份功能；系统在线增加管理节点、存储节点进行系统扩展，业务不中断；在线移除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需支持热备空间和热备盘两种方式预留给数据恢复使用；系统应支持蜂鸣、短信等不少于4种方式发出告警信息；与现有云存储系统无缝兼容，实现在线扩容，不影响当前业务；本次配置含48块4T磁阵专用硬盘</w:t>
            </w:r>
            <w:r>
              <w:rPr>
                <w:rFonts w:hint="eastAsia" w:ascii="宋体" w:hAnsi="宋体"/>
                <w:color w:val="000000"/>
                <w:sz w:val="18"/>
                <w:szCs w:val="18"/>
                <w:lang w:eastAsia="zh-CN"/>
              </w:rPr>
              <w:t>。</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8097" w:type="dxa"/>
            <w:gridSpan w:val="4"/>
            <w:tcBorders>
              <w:top w:val="single" w:color="auto" w:sz="6" w:space="0"/>
              <w:left w:val="single" w:color="auto" w:sz="6" w:space="0"/>
              <w:bottom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b/>
                <w:color w:val="000000"/>
                <w:sz w:val="18"/>
                <w:szCs w:val="18"/>
              </w:rPr>
            </w:pPr>
            <w:r>
              <w:rPr>
                <w:rFonts w:hint="eastAsia" w:ascii="宋体" w:hAnsi="宋体"/>
                <w:b/>
                <w:color w:val="000000"/>
                <w:sz w:val="18"/>
                <w:szCs w:val="18"/>
              </w:rPr>
              <w:t>三、平台及机房设备</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6</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6"/>
                <w:szCs w:val="16"/>
              </w:rPr>
              <w:t>视频接入许可</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100路视频接入许可，充分保障既有投入，基于现有平台无缝扩容，不影响当前业务。</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17</w:t>
            </w:r>
          </w:p>
        </w:tc>
        <w:tc>
          <w:tcPr>
            <w:tcW w:w="699" w:type="dxa"/>
            <w:tcBorders>
              <w:top w:val="single" w:color="auto" w:sz="6" w:space="0"/>
              <w:left w:val="single" w:color="auto" w:sz="6" w:space="0"/>
              <w:bottom w:val="single" w:color="auto" w:sz="6" w:space="0"/>
              <w:right w:val="single" w:color="auto" w:sz="6" w:space="0"/>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交通媒体服务器</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支持并发多条车辆信息/照片信息；支持图片、车辆信息的转发，能对车辆进行精确布防和模糊布控；支持区间测速、套牌分析；支持支持卡口、电警、违停球违章图片合成；单设备可管理300万像素相机450个车道，300万以上像素相机225车道；服务器规格:2U机架式，1-2颗英特尔至强或更高处理器 ，主频不小于3.9GHz；内存≥4GB；内置存储容量: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18</w:t>
            </w:r>
          </w:p>
        </w:tc>
        <w:tc>
          <w:tcPr>
            <w:tcW w:w="699" w:type="dxa"/>
            <w:tcBorders>
              <w:top w:val="single" w:color="auto" w:sz="6" w:space="0"/>
              <w:left w:val="single" w:color="auto" w:sz="6" w:space="0"/>
              <w:bottom w:val="single" w:color="auto" w:sz="6" w:space="0"/>
              <w:right w:val="nil"/>
              <w:tl2br w:val="nil"/>
              <w:tr2bl w:val="nil"/>
            </w:tcBorders>
            <w:shd w:val="solid" w:color="FFFF00" w:fill="auto"/>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b/>
                <w:color w:val="000000"/>
                <w:sz w:val="18"/>
                <w:szCs w:val="18"/>
              </w:rPr>
            </w:pPr>
            <w:r>
              <w:rPr>
                <w:rFonts w:hint="eastAsia" w:ascii="宋体" w:hAnsi="宋体"/>
                <w:b/>
                <w:color w:val="000000"/>
                <w:sz w:val="18"/>
                <w:szCs w:val="18"/>
              </w:rPr>
              <w:t>业务对接服务器</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软件功能：支持7×24小时稳定运行；支持与缉查布控、六合一处罚平台对接；支持接入第三方卡口、电警前端和第三方平台上传的图片数据；单个服务器接收车辆信息/照片最大并发量：≥50条/S,单个服务器支持不少于150个车道接入能力；服务器硬件规格：2U机架式；处理器：1-2颗CPU，英特尔四核至强或更高 ，主频不小于3.9GHz；内存：不小于8GB；内置存储容量： 1*1TB；可扩展至4块，支持RAID冗余；支持2个GE电口，可扩展4个GE电口或者2个10GE SFP+接口；电源：支持双电源冗余；高性能集成显卡，支持输出接口VGA/HDMI；工作温度及湿度：5°C~40°C，20%~80%（无冷凝）；含操作系统，含相应管理软件。</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19</w:t>
            </w:r>
          </w:p>
        </w:tc>
        <w:tc>
          <w:tcPr>
            <w:tcW w:w="699" w:type="dxa"/>
            <w:tcBorders>
              <w:top w:val="single" w:color="auto" w:sz="6" w:space="0"/>
              <w:left w:val="single" w:color="auto" w:sz="6" w:space="0"/>
              <w:bottom w:val="single" w:color="auto" w:sz="6" w:space="0"/>
              <w:right w:val="nil"/>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网线</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超五类网线，符合国标</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箱</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 xml:space="preserve">3 </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20</w:t>
            </w:r>
          </w:p>
        </w:tc>
        <w:tc>
          <w:tcPr>
            <w:tcW w:w="699" w:type="dxa"/>
            <w:tcBorders>
              <w:top w:val="single" w:color="auto" w:sz="6" w:space="0"/>
              <w:left w:val="single" w:color="auto" w:sz="6" w:space="0"/>
              <w:bottom w:val="single" w:color="auto" w:sz="6" w:space="0"/>
              <w:right w:val="nil"/>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6"/>
                <w:szCs w:val="16"/>
              </w:rPr>
              <w:t>电源线</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RVV3*1.0，符合国标</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 xml:space="preserve">1,000 </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21</w:t>
            </w:r>
          </w:p>
        </w:tc>
        <w:tc>
          <w:tcPr>
            <w:tcW w:w="699" w:type="dxa"/>
            <w:tcBorders>
              <w:top w:val="single" w:color="auto" w:sz="6" w:space="0"/>
              <w:left w:val="single" w:color="auto" w:sz="6" w:space="0"/>
              <w:bottom w:val="single" w:color="auto" w:sz="6" w:space="0"/>
              <w:right w:val="nil"/>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辅材</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含光纤检测工具、线槽、转接头、水晶头、工具箱等</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批</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 xml:space="preserve">1 </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b/>
                <w:color w:val="000000"/>
                <w:sz w:val="18"/>
                <w:szCs w:val="18"/>
              </w:rPr>
            </w:pPr>
            <w:r>
              <w:rPr>
                <w:rFonts w:hint="eastAsia" w:ascii="宋体" w:hAnsi="宋体"/>
                <w:b/>
                <w:color w:val="000000"/>
                <w:sz w:val="18"/>
                <w:szCs w:val="18"/>
              </w:rPr>
              <w:t>四、基础设施部分</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22</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龙门架</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7米三立柱 口径219，厚度10mm，横梁140，厚度5mm，跨度23m,单幅6车道</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23</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龙门架</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7米三立柱 口径219，厚度10mm，横梁140，厚度5mm，跨度15m，单幅3车道</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7</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24</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标识牌</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2*3米，3M超强级反光膜</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41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25</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立杆1</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7.5米 口径219，厚度7mm，4米两悬臂横梁114，厚度4mm</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根</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26</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立杆2</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320+220*5*12米</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27</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6"/>
                <w:szCs w:val="16"/>
              </w:rPr>
            </w:pPr>
            <w:r>
              <w:rPr>
                <w:rFonts w:hint="eastAsia" w:ascii="宋体" w:hAnsi="宋体"/>
                <w:color w:val="000000"/>
                <w:sz w:val="16"/>
                <w:szCs w:val="16"/>
              </w:rPr>
              <w:t>基坑</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2000mm*1500mm*1500mm</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个</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101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97" w:type="dxa"/>
            <w:tcBorders>
              <w:top w:val="nil"/>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28</w:t>
            </w:r>
          </w:p>
        </w:tc>
        <w:tc>
          <w:tcPr>
            <w:tcW w:w="69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5"/>
                <w:szCs w:val="15"/>
              </w:rPr>
            </w:pPr>
            <w:r>
              <w:rPr>
                <w:rFonts w:hint="eastAsia" w:ascii="宋体" w:hAnsi="宋体"/>
                <w:color w:val="000000"/>
                <w:sz w:val="15"/>
                <w:szCs w:val="15"/>
              </w:rPr>
              <w:t>混凝土</w:t>
            </w:r>
          </w:p>
        </w:tc>
        <w:tc>
          <w:tcPr>
            <w:tcW w:w="7001"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left"/>
              <w:textAlignment w:val="auto"/>
              <w:rPr>
                <w:rFonts w:hint="eastAsia" w:ascii="宋体" w:hAnsi="宋体"/>
                <w:color w:val="000000"/>
                <w:sz w:val="18"/>
                <w:szCs w:val="18"/>
              </w:rPr>
            </w:pPr>
            <w:r>
              <w:rPr>
                <w:rFonts w:hint="eastAsia" w:ascii="宋体" w:hAnsi="宋体"/>
                <w:color w:val="000000"/>
                <w:sz w:val="18"/>
                <w:szCs w:val="18"/>
              </w:rPr>
              <w:t>现场定制</w:t>
            </w:r>
            <w:r>
              <w:rPr>
                <w:rFonts w:hint="eastAsia" w:ascii="宋体" w:hAnsi="宋体"/>
                <w:color w:val="000000"/>
                <w:sz w:val="15"/>
                <w:szCs w:val="15"/>
              </w:rPr>
              <w:t>浇筑</w:t>
            </w:r>
            <w:r>
              <w:rPr>
                <w:rFonts w:hint="eastAsia" w:ascii="宋体" w:hAnsi="宋体"/>
                <w:color w:val="000000"/>
                <w:sz w:val="18"/>
                <w:szCs w:val="18"/>
              </w:rPr>
              <w:t>，C30，符合标准</w:t>
            </w:r>
          </w:p>
        </w:tc>
        <w:tc>
          <w:tcPr>
            <w:tcW w:w="438"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rPr>
              <w:t>101</w:t>
            </w:r>
          </w:p>
        </w:tc>
        <w:tc>
          <w:tcPr>
            <w:tcW w:w="7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bidi w:val="0"/>
              <w:spacing w:beforeLines="0" w:afterLines="0" w:line="400" w:lineRule="exact"/>
              <w:ind w:left="0" w:leftChars="0" w:right="0" w:rightChars="0"/>
              <w:jc w:val="center"/>
              <w:textAlignment w:val="auto"/>
              <w:rPr>
                <w:rFonts w:hint="eastAsia" w:ascii="宋体" w:hAnsi="宋体"/>
                <w:color w:val="000000"/>
                <w:sz w:val="18"/>
                <w:szCs w:val="18"/>
              </w:rPr>
            </w:pPr>
            <w:r>
              <w:rPr>
                <w:rFonts w:hint="eastAsia" w:ascii="宋体" w:hAnsi="宋体"/>
                <w:color w:val="000000"/>
                <w:sz w:val="18"/>
                <w:szCs w:val="18"/>
                <w:lang w:eastAsia="zh-CN"/>
              </w:rPr>
              <w:t>否</w:t>
            </w:r>
          </w:p>
        </w:tc>
      </w:tr>
    </w:tbl>
    <w:p>
      <w:pPr>
        <w:keepNext w:val="0"/>
        <w:keepLines w:val="0"/>
        <w:pageBreakBefore w:val="0"/>
        <w:kinsoku/>
        <w:wordWrap/>
        <w:overflowPunct/>
        <w:bidi w:val="0"/>
        <w:spacing w:line="400" w:lineRule="exact"/>
        <w:ind w:left="0" w:leftChars="0" w:right="0" w:rightChars="0" w:firstLine="482" w:firstLineChars="200"/>
        <w:textAlignment w:val="auto"/>
        <w:outlineLvl w:val="9"/>
        <w:rPr>
          <w:rFonts w:hint="eastAsia" w:ascii="仿宋" w:hAnsi="仿宋" w:eastAsia="仿宋" w:cs="仿宋"/>
          <w:b/>
          <w:bCs/>
          <w:color w:val="000000"/>
          <w:kern w:val="0"/>
          <w:sz w:val="24"/>
          <w:szCs w:val="24"/>
          <w:shd w:val="clear" w:color="080000" w:fill="FFFFFF"/>
        </w:rPr>
      </w:pPr>
      <w:r>
        <w:rPr>
          <w:rFonts w:hint="eastAsia" w:ascii="仿宋" w:hAnsi="仿宋" w:eastAsia="仿宋" w:cs="仿宋"/>
          <w:b/>
          <w:bCs/>
          <w:color w:val="000000"/>
          <w:kern w:val="0"/>
          <w:sz w:val="24"/>
          <w:szCs w:val="24"/>
          <w:shd w:val="clear" w:color="080000" w:fill="FFFFFF"/>
          <w:lang w:eastAsia="zh-CN"/>
        </w:rPr>
        <w:t>（四）系统建设和</w:t>
      </w:r>
      <w:r>
        <w:rPr>
          <w:rFonts w:hint="eastAsia" w:ascii="仿宋" w:hAnsi="仿宋" w:eastAsia="仿宋" w:cs="仿宋"/>
          <w:b/>
          <w:bCs/>
          <w:color w:val="000000"/>
          <w:kern w:val="0"/>
          <w:sz w:val="24"/>
          <w:szCs w:val="24"/>
          <w:shd w:val="clear" w:color="080000" w:fill="FFFFFF"/>
        </w:rPr>
        <w:t>运维依据：</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w:t>
      </w:r>
      <w:r>
        <w:rPr>
          <w:rFonts w:hint="eastAsia" w:ascii="仿宋" w:hAnsi="仿宋" w:eastAsia="仿宋" w:cs="仿宋"/>
          <w:color w:val="000000"/>
          <w:kern w:val="0"/>
          <w:sz w:val="24"/>
          <w:szCs w:val="24"/>
          <w:lang w:eastAsia="zh-CN"/>
        </w:rPr>
        <w:t>建设和</w:t>
      </w:r>
      <w:r>
        <w:rPr>
          <w:rFonts w:hint="eastAsia" w:ascii="仿宋" w:hAnsi="仿宋" w:eastAsia="仿宋" w:cs="仿宋"/>
          <w:color w:val="000000"/>
          <w:kern w:val="0"/>
          <w:sz w:val="24"/>
          <w:szCs w:val="24"/>
        </w:rPr>
        <w:t>运维</w:t>
      </w:r>
      <w:r>
        <w:rPr>
          <w:rFonts w:hint="eastAsia" w:ascii="仿宋" w:hAnsi="仿宋" w:eastAsia="仿宋" w:cs="仿宋"/>
          <w:color w:val="000000"/>
          <w:kern w:val="0"/>
          <w:sz w:val="24"/>
          <w:szCs w:val="24"/>
          <w:lang w:eastAsia="zh-CN"/>
        </w:rPr>
        <w:t>必须</w:t>
      </w:r>
      <w:r>
        <w:rPr>
          <w:rFonts w:hint="eastAsia" w:ascii="仿宋" w:hAnsi="仿宋" w:eastAsia="仿宋" w:cs="仿宋"/>
          <w:color w:val="000000"/>
          <w:kern w:val="0"/>
          <w:sz w:val="24"/>
          <w:szCs w:val="24"/>
        </w:rPr>
        <w:t>依据国家和部、委的相关标准和规范实施。</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GAT 832—2014道路交通安全违法行为图像取证技术规范</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GAT 833—2016机动车号牌图像自动识别技术规范</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GBT 21255-2007机动车测速仪</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rPr>
      </w:pPr>
      <w:r>
        <w:rPr>
          <w:rFonts w:hint="eastAsia" w:ascii="仿宋" w:hAnsi="仿宋" w:eastAsia="仿宋" w:cs="仿宋"/>
          <w:kern w:val="0"/>
          <w:sz w:val="24"/>
          <w:szCs w:val="24"/>
        </w:rPr>
        <w:t>GAT959-2011机动车区间测速技术规范</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《道路交通安全违法行为图像取证技术规范》GAT832-2014</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《公路车辆智能检测记录系统通用技术条件》GA497-2016</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《公路交通安全设施设计技术规范》JTJ D81-2006</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 xml:space="preserve">《软件文档管理指南》GB/T 16680-1996 </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公安部《公安交通集成指挥平台技术实施方案》</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《公安部交通管理研究所“十三五”发展规划》</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公安部、建设部《城市道路交通管理评价指标体系》(2005年版)</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《民用闭路监视电视系统工程技术规范》</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国家技术监督局《测量、控制和试验室用电气设备安全要求》</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国家技术监督局《信息技术设备的安全》</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行业标准 GA 308—2001《安全防范系统验收规则》</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《系统接地的型式及安全技术要求》GB14050-2008</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《风险等级和防护级别的规定》GA/T38-2004</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《电力工程电缆设计规范》GB50217-2007</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《电气装置安装工程电缆线路施工及验收规范》GB50168-2016</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《安全防范工程程序与要求》GA/T75-94</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《安全防范系统通用图形符号》GA/T74-2000</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《通用用电设备配电设计规范》GB50055-2011</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《交流电气装置的接地设计规范》GB/T 50065-2011</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《计算机信息系统安全》GA 216.1－1999</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《计算机信息系统雷电电磁脉冲安全防护规范》GA 267－2000</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《城市报警与监控系统建设指导性技术文件》</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《中华人民共和国道路交通安全法》</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《交通电视监视系统工程验收规范》GA/T514-2004</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《视频安防监控系统技术要求》GA/T 367-2001</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《电子计算机机房施工及验收规范》SJ/T 30003-93</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《城市道路交通管理评价指标体系》公安部交通管理局、建设部城市建设司</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《中华人民共和国公共安全行业标准》GA38-2015</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《电气装置安装工程施工及验收规范》 GB50254-96、GB50255-96、GB50256-96、GB50257-96</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《全国道路交通管理信息数据库规范 第3部分：交通违章管理信息数据库规范》GA 329.3-2006</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《全国道路交通管理系统数据交换格式 第3部分：交通违章数据交换格式》GA 409.3-2003</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《机动车测速仪通用技术条件》GA297-2001</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《道路交通标志和标线》</w:t>
      </w:r>
      <w:r>
        <w:rPr>
          <w:rFonts w:hint="eastAsia" w:ascii="仿宋" w:hAnsi="仿宋" w:eastAsia="仿宋" w:cs="仿宋"/>
          <w:kern w:val="0"/>
          <w:sz w:val="24"/>
          <w:szCs w:val="24"/>
          <w:lang w:val="en-US" w:eastAsia="zh-CN"/>
        </w:rPr>
        <w:t>GB5768-2009</w:t>
      </w:r>
    </w:p>
    <w:p>
      <w:pPr>
        <w:keepNext w:val="0"/>
        <w:keepLines w:val="0"/>
        <w:pageBreakBefore w:val="0"/>
        <w:kinsoku/>
        <w:wordWrap/>
        <w:overflowPunct/>
        <w:bidi w:val="0"/>
        <w:spacing w:line="40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公安部"金盾工程"的有关规定</w:t>
      </w:r>
    </w:p>
    <w:p>
      <w:pPr>
        <w:keepNext w:val="0"/>
        <w:keepLines w:val="0"/>
        <w:pageBreakBefore w:val="0"/>
        <w:kinsoku/>
        <w:wordWrap/>
        <w:overflowPunct/>
        <w:autoSpaceDE w:val="0"/>
        <w:autoSpaceDN w:val="0"/>
        <w:bidi w:val="0"/>
        <w:adjustRightInd w:val="0"/>
        <w:spacing w:line="400" w:lineRule="exact"/>
        <w:ind w:left="0" w:leftChars="0" w:right="0" w:rightChars="0" w:firstLine="48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以上标准是该项目设计、招标、建设、验收等阶段的重要依据，中标承建单位不得低于以上标准。该项目建设所需其他国家及行业标准</w:t>
      </w:r>
      <w:r>
        <w:rPr>
          <w:rFonts w:hint="eastAsia" w:ascii="仿宋" w:hAnsi="仿宋" w:eastAsia="仿宋" w:cs="仿宋"/>
          <w:kern w:val="0"/>
          <w:sz w:val="24"/>
          <w:szCs w:val="24"/>
          <w:lang w:eastAsia="zh-CN"/>
        </w:rPr>
        <w:t>、上述标准有最新版本的</w:t>
      </w:r>
      <w:r>
        <w:rPr>
          <w:rFonts w:hint="eastAsia" w:ascii="仿宋" w:hAnsi="仿宋" w:eastAsia="仿宋" w:cs="仿宋"/>
          <w:kern w:val="0"/>
          <w:sz w:val="24"/>
          <w:szCs w:val="24"/>
        </w:rPr>
        <w:t>，中标建设单位要严格执行。对未执行国家及行业标准的，造成的一切后果由中标承建单位承担，与业主单位无关。</w:t>
      </w:r>
    </w:p>
    <w:p>
      <w:pPr>
        <w:keepNext w:val="0"/>
        <w:keepLines w:val="0"/>
        <w:pageBreakBefore w:val="0"/>
        <w:kinsoku/>
        <w:wordWrap/>
        <w:overflowPunct/>
        <w:autoSpaceDE w:val="0"/>
        <w:autoSpaceDN w:val="0"/>
        <w:bidi w:val="0"/>
        <w:adjustRightInd w:val="0"/>
        <w:spacing w:line="400" w:lineRule="exact"/>
        <w:ind w:left="0" w:leftChars="0" w:right="0" w:rightChars="0" w:firstLine="480"/>
        <w:textAlignment w:val="auto"/>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（五）验收标准：</w:t>
      </w:r>
      <w:r>
        <w:rPr>
          <w:rFonts w:hint="eastAsia" w:ascii="仿宋" w:hAnsi="仿宋" w:eastAsia="仿宋" w:cs="仿宋"/>
          <w:kern w:val="0"/>
          <w:sz w:val="24"/>
          <w:szCs w:val="24"/>
          <w:lang w:eastAsia="zh-CN"/>
        </w:rPr>
        <w:t>项目建设竣工后由采购人组织相关人员按照有关国家标准和行业标准进行验收。质保期和运维期间</w:t>
      </w:r>
      <w:r>
        <w:rPr>
          <w:rFonts w:hint="eastAsia" w:ascii="仿宋" w:hAnsi="仿宋" w:eastAsia="仿宋" w:cs="仿宋"/>
          <w:color w:val="000000"/>
          <w:kern w:val="0"/>
          <w:sz w:val="24"/>
          <w:szCs w:val="24"/>
          <w:lang w:eastAsia="zh-CN"/>
        </w:rPr>
        <w:t>，供应商应</w:t>
      </w:r>
      <w:r>
        <w:rPr>
          <w:rFonts w:hint="eastAsia" w:ascii="仿宋" w:hAnsi="仿宋" w:eastAsia="仿宋" w:cs="仿宋"/>
          <w:color w:val="000000"/>
          <w:kern w:val="0"/>
          <w:sz w:val="24"/>
          <w:szCs w:val="24"/>
        </w:rPr>
        <w:t>确保所有</w:t>
      </w:r>
      <w:bookmarkStart w:id="4" w:name="_GoBack"/>
      <w:bookmarkEnd w:id="4"/>
      <w:r>
        <w:rPr>
          <w:rFonts w:hint="eastAsia" w:ascii="仿宋" w:hAnsi="仿宋" w:eastAsia="仿宋" w:cs="仿宋"/>
          <w:color w:val="000000"/>
          <w:kern w:val="0"/>
          <w:sz w:val="24"/>
          <w:szCs w:val="24"/>
        </w:rPr>
        <w:t>设备完好率</w:t>
      </w:r>
      <w:r>
        <w:rPr>
          <w:rFonts w:hint="eastAsia" w:ascii="仿宋" w:hAnsi="仿宋" w:eastAsia="仿宋" w:cs="仿宋"/>
          <w:color w:val="000000"/>
          <w:kern w:val="0"/>
          <w:sz w:val="24"/>
          <w:szCs w:val="24"/>
          <w:lang w:eastAsia="zh-CN"/>
        </w:rPr>
        <w:t>（包括设备在线率、图片上传率和上传图片合格率）为</w:t>
      </w:r>
      <w:r>
        <w:rPr>
          <w:rFonts w:hint="eastAsia" w:ascii="仿宋" w:hAnsi="仿宋" w:eastAsia="仿宋" w:cs="仿宋"/>
          <w:color w:val="000000"/>
          <w:kern w:val="0"/>
          <w:sz w:val="24"/>
          <w:szCs w:val="24"/>
          <w:lang w:val="en-US" w:eastAsia="zh-CN"/>
        </w:rPr>
        <w:t>100%</w:t>
      </w:r>
      <w:r>
        <w:rPr>
          <w:rFonts w:hint="eastAsia" w:ascii="仿宋" w:hAnsi="仿宋" w:eastAsia="仿宋" w:cs="仿宋"/>
          <w:color w:val="000000"/>
          <w:kern w:val="0"/>
          <w:sz w:val="24"/>
          <w:szCs w:val="24"/>
        </w:rPr>
        <w:t>。</w:t>
      </w:r>
    </w:p>
    <w:p>
      <w:pPr>
        <w:keepNext w:val="0"/>
        <w:keepLines w:val="0"/>
        <w:pageBreakBefore w:val="0"/>
        <w:widowControl/>
        <w:numPr>
          <w:ilvl w:val="0"/>
          <w:numId w:val="0"/>
        </w:numPr>
        <w:shd w:val="clear" w:color="auto" w:fill="FFFFFF"/>
        <w:kinsoku/>
        <w:wordWrap/>
        <w:overflowPunct/>
        <w:bidi w:val="0"/>
        <w:spacing w:line="400" w:lineRule="exact"/>
        <w:ind w:left="0" w:leftChars="0" w:right="0" w:rightChars="0"/>
        <w:jc w:val="left"/>
        <w:textAlignment w:val="auto"/>
        <w:outlineLvl w:val="9"/>
        <w:rPr>
          <w:rFonts w:hint="eastAsia" w:ascii="黑体" w:hAnsi="黑体" w:eastAsia="黑体" w:cs="黑体"/>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黑体" w:hAnsi="黑体" w:eastAsia="黑体" w:cs="黑体"/>
          <w:kern w:val="0"/>
          <w:sz w:val="24"/>
          <w:szCs w:val="24"/>
          <w:lang w:eastAsia="zh-CN"/>
        </w:rPr>
        <w:t>五、评表方法和评标标准</w:t>
      </w:r>
    </w:p>
    <w:tbl>
      <w:tblPr>
        <w:tblStyle w:val="14"/>
        <w:tblW w:w="96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12"/>
        <w:gridCol w:w="8483"/>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因素</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评分标准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一、价格部分30分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投标报价</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评标基准价：满足招标文件要求的有效投标报价中，最低的投标报价为评标基准价。投标报价得分=（评标基准价/投标报价）×30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二、商务部分（满分15分）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信誉</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根据投标人在本项目以前社会对其认可度以及行政主管部门、工商、银行、行业部门颁发的荣誉证书等情况评定，基本分1分，每提供一份荣誉证书加1分，满分5分。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2"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业绩</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投标人提供2014年1月1日以来，卡口或视频监控建设项目单个合同金额860万以上的，每项得2分。每项均须提供中标通知书、合同、验收报告等材料的复印件加盖公章。满分10分。（缺项、转包、分包者不得分）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三、技术部分（满分51分）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8" w:hRule="atLeast"/>
          <w:jc w:val="center"/>
        </w:trPr>
        <w:tc>
          <w:tcPr>
            <w:tcW w:w="5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技术部分</w:t>
            </w: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准确区分相关单位（设备运维公司、电力部门、网络服务公司等）的责任，提升运维服务效率，在故障发生时能够准确判断故障原因，其中用时≦2个小时得3分；≦4个小时得2分；≦8个小时得1分；&gt;8小时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为提升运维服务效率，保证采购人正常工作需求，自故障发生时间起，解决时间≦12小时得3分，≦24小时得2分，≦36小时得1分；&gt;36小时不得分。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为确保项目建设和运维工作及时高效，有详细项目建设和运维方案的得1分。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为方便采购人实际工作，“300万卡口抓拍单元” 需具备未识别车辆处理功能，支持对未识别车辆进行过滤，可选是否生成通行记录、违章记录。此项技术功能有国家安全防范报警系统产品质量监督检验中心出具的检测报告的得3分。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为保障设备接入的安全性，“200万像素星光级高清红外球机”需支持网关绑定功能，限制不同网段客户端非法访问设备，此项技术功能有国家安全防范报警系统产品质量监督检验中心出具的检测报告的得3分。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投标人具有ITSS信息技术服务认证二级以上资质的得2分，三级的得1分。（提供加盖公章的复印件，不提供者不得分）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满足招标文件设备技术参数要求的得17分。核心产品带</w:t>
            </w: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的参数</w:t>
            </w:r>
            <w:r>
              <w:rPr>
                <w:rFonts w:hint="eastAsia" w:ascii="仿宋" w:hAnsi="仿宋" w:eastAsia="仿宋" w:cs="仿宋"/>
                <w:i w:val="0"/>
                <w:color w:val="000000"/>
                <w:kern w:val="0"/>
                <w:sz w:val="22"/>
                <w:szCs w:val="22"/>
                <w:u w:val="none"/>
                <w:lang w:val="en-US" w:eastAsia="zh-CN" w:bidi="ar"/>
              </w:rPr>
              <w:t>高于招标文件要求的有一项得1分，满分3分。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项目包含多个子系统，且多个子系统间需具备实时性较强的联动性，要求信息发布平台制造商具备较高软件集成能力，平台制造商须具备CMMI软件能力成熟度模型集成证书，5级者得3分，4级者得2.5分,3级者得2分，2级及其以下的不得分，提供证书复印件和认证官网截图（(加盖厂家公章或项目授权章）。</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设备清单序号为1、2、3、4、6、15的产品应提供国家安全防范报警系统产品质量监督检验中心或公安部交通安全产品质量监督检测中心的系统检测报告，加盖厂家公章或项目授权章，有一项得1分，满分6分。 </w:t>
            </w:r>
          </w:p>
        </w:tc>
        <w:tc>
          <w:tcPr>
            <w:tcW w:w="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设备清单序号为1的产品生产厂家提供近三年内无被省级或以上公安机关通报安全事件的声明函，加盖厂家公章或项目授权章，提供者得3分，不提供的不得分。</w:t>
            </w:r>
          </w:p>
        </w:tc>
        <w:tc>
          <w:tcPr>
            <w:tcW w:w="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3"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投标人所投设备清单序号为1的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加盖厂家公章或项目授权章）得3分，不提供的不得分。</w:t>
            </w:r>
          </w:p>
        </w:tc>
        <w:tc>
          <w:tcPr>
            <w:tcW w:w="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51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有实现区间测速功能的技术方案、途径、方法（须制作拓扑图）得1分。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四、其他（满分4分）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标书装订规范、文字清晰、无差错的得1分；所提供资料准确完整的得1分。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照《中华人民共和国安全生产法》、《中华人民共和国公路法》、《中华人民共和国道路交通安全法》、《河南省高速公路条例》等规定，严格履行安全生产主体责任，对建设、质保和运维期限内发生的安全生产事故独立承担责任的（出具承诺书）得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总分</w:t>
            </w: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r>
    </w:tbl>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黑体" w:hAnsi="黑体" w:eastAsia="黑体" w:cs="黑体"/>
          <w:kern w:val="0"/>
          <w:sz w:val="24"/>
          <w:szCs w:val="24"/>
          <w:lang w:val="zh-CN" w:eastAsia="zh-CN"/>
        </w:rPr>
      </w:pPr>
      <w:r>
        <w:rPr>
          <w:rFonts w:hint="eastAsia" w:ascii="仿宋" w:hAnsi="仿宋" w:eastAsia="仿宋" w:cs="仿宋"/>
          <w:b/>
          <w:bCs/>
          <w:kern w:val="0"/>
          <w:sz w:val="24"/>
          <w:szCs w:val="24"/>
          <w:lang w:val="en-US" w:eastAsia="zh-CN"/>
        </w:rPr>
        <w:t xml:space="preserve"> </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lang w:val="zh-CN" w:eastAsia="zh-CN"/>
        </w:rPr>
        <w:t>六、支付方式</w:t>
      </w: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仿宋" w:hAnsi="仿宋" w:eastAsia="仿宋" w:cs="仿宋"/>
          <w:kern w:val="0"/>
          <w:sz w:val="24"/>
          <w:szCs w:val="24"/>
          <w:lang w:val="zh-CN" w:eastAsia="zh-CN"/>
        </w:rPr>
      </w:pPr>
      <w:r>
        <w:rPr>
          <w:rFonts w:hint="eastAsia" w:ascii="黑体" w:hAnsi="黑体" w:eastAsia="黑体" w:cs="黑体"/>
          <w:kern w:val="0"/>
          <w:sz w:val="24"/>
          <w:szCs w:val="24"/>
          <w:lang w:val="en-US" w:eastAsia="zh-CN"/>
        </w:rPr>
        <w:t xml:space="preserve">    1、</w:t>
      </w:r>
      <w:r>
        <w:rPr>
          <w:rFonts w:hint="eastAsia" w:ascii="仿宋" w:hAnsi="仿宋" w:eastAsia="仿宋" w:cs="仿宋"/>
          <w:kern w:val="0"/>
          <w:sz w:val="24"/>
          <w:szCs w:val="24"/>
          <w:lang w:val="zh-CN" w:eastAsia="zh-CN"/>
        </w:rPr>
        <w:t>付款方式：银行转账</w:t>
      </w: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黑体" w:hAnsi="黑体" w:eastAsia="黑体" w:cs="黑体"/>
          <w:kern w:val="0"/>
          <w:sz w:val="24"/>
          <w:szCs w:val="24"/>
          <w:lang w:val="zh-CN" w:eastAsia="zh-CN"/>
        </w:rPr>
      </w:pPr>
      <w:r>
        <w:rPr>
          <w:rFonts w:hint="eastAsia" w:ascii="仿宋" w:hAnsi="仿宋" w:eastAsia="仿宋" w:cs="仿宋"/>
          <w:kern w:val="0"/>
          <w:sz w:val="24"/>
          <w:szCs w:val="24"/>
          <w:lang w:val="en-US" w:eastAsia="zh-CN"/>
        </w:rPr>
        <w:t xml:space="preserve">    2</w:t>
      </w:r>
      <w:r>
        <w:rPr>
          <w:rFonts w:hint="eastAsia" w:ascii="仿宋" w:hAnsi="仿宋" w:eastAsia="仿宋" w:cs="仿宋"/>
          <w:kern w:val="0"/>
          <w:sz w:val="24"/>
          <w:szCs w:val="24"/>
          <w:lang w:val="zh-CN" w:eastAsia="zh-CN"/>
        </w:rPr>
        <w:t>、付款条件：项目建成终验合格后付合同总价的</w:t>
      </w:r>
      <w:r>
        <w:rPr>
          <w:rFonts w:hint="eastAsia" w:ascii="仿宋" w:hAnsi="仿宋" w:eastAsia="仿宋" w:cs="仿宋"/>
          <w:kern w:val="0"/>
          <w:sz w:val="24"/>
          <w:szCs w:val="24"/>
          <w:lang w:val="en-US" w:eastAsia="zh-CN"/>
        </w:rPr>
        <w:t>50%。验收合格满一年至八年，应付款</w:t>
      </w:r>
    </w:p>
    <w:p>
      <w:pPr>
        <w:keepNext w:val="0"/>
        <w:keepLines w:val="0"/>
        <w:pageBreakBefore w:val="0"/>
        <w:widowControl/>
        <w:numPr>
          <w:ilvl w:val="0"/>
          <w:numId w:val="0"/>
        </w:numPr>
        <w:shd w:val="clear" w:color="auto" w:fill="FFFFFF"/>
        <w:kinsoku/>
        <w:wordWrap/>
        <w:overflowPunct/>
        <w:bidi w:val="0"/>
        <w:spacing w:line="400" w:lineRule="exact"/>
        <w:ind w:left="0" w:leftChars="0" w:right="0" w:rightChars="0"/>
        <w:jc w:val="left"/>
        <w:textAlignment w:val="auto"/>
        <w:outlineLvl w:val="9"/>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金额分别为合同总价的5%、5%、5%、5%、5%、5%、10%、10%，实付款金额依据验收标准考核后据实支付。</w:t>
      </w:r>
    </w:p>
    <w:p>
      <w:pPr>
        <w:keepNext w:val="0"/>
        <w:keepLines w:val="0"/>
        <w:pageBreakBefore w:val="0"/>
        <w:widowControl/>
        <w:numPr>
          <w:ilvl w:val="0"/>
          <w:numId w:val="0"/>
        </w:numPr>
        <w:shd w:val="clear" w:color="auto" w:fill="FFFFFF"/>
        <w:kinsoku/>
        <w:wordWrap/>
        <w:overflowPunct/>
        <w:bidi w:val="0"/>
        <w:spacing w:line="400" w:lineRule="exact"/>
        <w:ind w:left="0" w:leftChars="0" w:right="0" w:rightChars="0"/>
        <w:jc w:val="left"/>
        <w:textAlignment w:val="auto"/>
        <w:outlineLvl w:val="9"/>
        <w:rPr>
          <w:rFonts w:hint="eastAsia"/>
          <w:sz w:val="24"/>
          <w:szCs w:val="24"/>
          <w:lang w:val="zh-CN" w:eastAsia="zh-CN"/>
        </w:rPr>
      </w:pP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lang w:val="zh-CN" w:eastAsia="zh-CN"/>
        </w:rPr>
        <w:t>七、联系方式</w:t>
      </w: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eastAsia="zh-CN"/>
        </w:rPr>
        <w:t>联系人姓名：范建立</w:t>
      </w:r>
      <w:r>
        <w:rPr>
          <w:rFonts w:hint="eastAsia" w:ascii="仿宋" w:hAnsi="仿宋" w:eastAsia="仿宋" w:cs="仿宋"/>
          <w:kern w:val="0"/>
          <w:sz w:val="24"/>
          <w:szCs w:val="24"/>
          <w:lang w:val="en-US" w:eastAsia="zh-CN"/>
        </w:rPr>
        <w:t xml:space="preserve">       电话：18637460960</w:t>
      </w: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eastAsia="zh-CN"/>
        </w:rPr>
        <w:t>单位地址：许昌市魏都区许由路许昌市公安局</w:t>
      </w: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仿宋" w:hAnsi="仿宋" w:eastAsia="仿宋" w:cs="仿宋"/>
          <w:kern w:val="0"/>
          <w:sz w:val="24"/>
          <w:szCs w:val="24"/>
          <w:lang w:val="zh-CN" w:eastAsia="zh-CN"/>
        </w:rPr>
      </w:pPr>
    </w:p>
    <w:p>
      <w:pPr>
        <w:keepNext w:val="0"/>
        <w:keepLines w:val="0"/>
        <w:pageBreakBefore w:val="0"/>
        <w:widowControl/>
        <w:numPr>
          <w:ilvl w:val="0"/>
          <w:numId w:val="0"/>
        </w:numPr>
        <w:shd w:val="clear" w:color="auto" w:fill="FFFFFF"/>
        <w:kinsoku/>
        <w:wordWrap/>
        <w:overflowPunct/>
        <w:bidi w:val="0"/>
        <w:spacing w:line="400" w:lineRule="exact"/>
        <w:ind w:left="-2147483648" w:leftChars="0" w:right="0" w:rightChars="0" w:hanging="-2147483648" w:firstLineChars="1000000100"/>
        <w:jc w:val="left"/>
        <w:textAlignment w:val="auto"/>
        <w:outlineLvl w:val="9"/>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 xml:space="preserve">                                                        </w:t>
      </w:r>
    </w:p>
    <w:sectPr>
      <w:headerReference r:id="rId3" w:type="default"/>
      <w:footerReference r:id="rId4" w:type="default"/>
      <w:pgSz w:w="12240" w:h="15840"/>
      <w:pgMar w:top="1134" w:right="1021" w:bottom="113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6DE57"/>
    <w:multiLevelType w:val="singleLevel"/>
    <w:tmpl w:val="5AC6DE5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106DF"/>
    <w:rsid w:val="00012AB7"/>
    <w:rsid w:val="000231EA"/>
    <w:rsid w:val="000236AB"/>
    <w:rsid w:val="00024106"/>
    <w:rsid w:val="000307BA"/>
    <w:rsid w:val="000374A1"/>
    <w:rsid w:val="00043B8C"/>
    <w:rsid w:val="000608F1"/>
    <w:rsid w:val="0006136E"/>
    <w:rsid w:val="000625A4"/>
    <w:rsid w:val="0006430A"/>
    <w:rsid w:val="00072DBC"/>
    <w:rsid w:val="000754F8"/>
    <w:rsid w:val="00076965"/>
    <w:rsid w:val="00076C54"/>
    <w:rsid w:val="000812DA"/>
    <w:rsid w:val="00083F56"/>
    <w:rsid w:val="00084616"/>
    <w:rsid w:val="00084FF2"/>
    <w:rsid w:val="00086EE5"/>
    <w:rsid w:val="0008793E"/>
    <w:rsid w:val="00093DCE"/>
    <w:rsid w:val="00096B8B"/>
    <w:rsid w:val="00097C65"/>
    <w:rsid w:val="000A09DC"/>
    <w:rsid w:val="000A5403"/>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87074"/>
    <w:rsid w:val="00191119"/>
    <w:rsid w:val="001A4EAC"/>
    <w:rsid w:val="001A6253"/>
    <w:rsid w:val="001B0B45"/>
    <w:rsid w:val="001B12BC"/>
    <w:rsid w:val="001B5255"/>
    <w:rsid w:val="001C2736"/>
    <w:rsid w:val="001C33AF"/>
    <w:rsid w:val="001D35E4"/>
    <w:rsid w:val="001D3DF6"/>
    <w:rsid w:val="001E0C9E"/>
    <w:rsid w:val="001E2A45"/>
    <w:rsid w:val="001F5A8C"/>
    <w:rsid w:val="001F6EC0"/>
    <w:rsid w:val="00201A37"/>
    <w:rsid w:val="0021143D"/>
    <w:rsid w:val="00240ACA"/>
    <w:rsid w:val="0024294B"/>
    <w:rsid w:val="002478A4"/>
    <w:rsid w:val="0026787A"/>
    <w:rsid w:val="002713D6"/>
    <w:rsid w:val="00283185"/>
    <w:rsid w:val="002A5ADC"/>
    <w:rsid w:val="002B395F"/>
    <w:rsid w:val="002C1383"/>
    <w:rsid w:val="002C7D81"/>
    <w:rsid w:val="002D48C4"/>
    <w:rsid w:val="002E626F"/>
    <w:rsid w:val="003116BC"/>
    <w:rsid w:val="00315CE3"/>
    <w:rsid w:val="00317F3F"/>
    <w:rsid w:val="00330451"/>
    <w:rsid w:val="00346506"/>
    <w:rsid w:val="00354605"/>
    <w:rsid w:val="00355BE9"/>
    <w:rsid w:val="00364780"/>
    <w:rsid w:val="00367AB2"/>
    <w:rsid w:val="003726E9"/>
    <w:rsid w:val="003745BC"/>
    <w:rsid w:val="003775E7"/>
    <w:rsid w:val="003808E2"/>
    <w:rsid w:val="003845E4"/>
    <w:rsid w:val="00393AC5"/>
    <w:rsid w:val="00393B9D"/>
    <w:rsid w:val="003A2084"/>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51E4E"/>
    <w:rsid w:val="00482632"/>
    <w:rsid w:val="004829D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3625E"/>
    <w:rsid w:val="00563A7B"/>
    <w:rsid w:val="00563B9F"/>
    <w:rsid w:val="0056673E"/>
    <w:rsid w:val="00591F35"/>
    <w:rsid w:val="005A00F7"/>
    <w:rsid w:val="005A3AEA"/>
    <w:rsid w:val="005A5391"/>
    <w:rsid w:val="005A5600"/>
    <w:rsid w:val="005B0D2A"/>
    <w:rsid w:val="005C1E19"/>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5B0B"/>
    <w:rsid w:val="00687F8F"/>
    <w:rsid w:val="006906EF"/>
    <w:rsid w:val="006B2601"/>
    <w:rsid w:val="006B355A"/>
    <w:rsid w:val="006C231C"/>
    <w:rsid w:val="006C5849"/>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1EA6"/>
    <w:rsid w:val="00775DEE"/>
    <w:rsid w:val="00777BAA"/>
    <w:rsid w:val="00786008"/>
    <w:rsid w:val="00791B55"/>
    <w:rsid w:val="00794B36"/>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12F2"/>
    <w:rsid w:val="008371CA"/>
    <w:rsid w:val="00843C1B"/>
    <w:rsid w:val="0084716C"/>
    <w:rsid w:val="00851ADC"/>
    <w:rsid w:val="00864CDB"/>
    <w:rsid w:val="00867B09"/>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B73E9"/>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47F3"/>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8C5"/>
    <w:rsid w:val="00B86D58"/>
    <w:rsid w:val="00B86F34"/>
    <w:rsid w:val="00B90C78"/>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A7432"/>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86F57"/>
    <w:rsid w:val="00D904B0"/>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66C"/>
    <w:rsid w:val="00EC1C74"/>
    <w:rsid w:val="00EE5C25"/>
    <w:rsid w:val="00EF029B"/>
    <w:rsid w:val="00EF106E"/>
    <w:rsid w:val="00EF3FC7"/>
    <w:rsid w:val="00EF4A9F"/>
    <w:rsid w:val="00F00DD1"/>
    <w:rsid w:val="00F04F25"/>
    <w:rsid w:val="00F14D55"/>
    <w:rsid w:val="00F27501"/>
    <w:rsid w:val="00F35C85"/>
    <w:rsid w:val="00F40B74"/>
    <w:rsid w:val="00F73BDA"/>
    <w:rsid w:val="00F937BB"/>
    <w:rsid w:val="00F958E0"/>
    <w:rsid w:val="00FB3961"/>
    <w:rsid w:val="00FD034C"/>
    <w:rsid w:val="00FD1387"/>
    <w:rsid w:val="00FF1F28"/>
    <w:rsid w:val="02471ADD"/>
    <w:rsid w:val="06354A4B"/>
    <w:rsid w:val="0747771A"/>
    <w:rsid w:val="079D0D7A"/>
    <w:rsid w:val="091266FA"/>
    <w:rsid w:val="095B65F9"/>
    <w:rsid w:val="0D53480A"/>
    <w:rsid w:val="0FBF488B"/>
    <w:rsid w:val="13026CE9"/>
    <w:rsid w:val="13717EFE"/>
    <w:rsid w:val="14087615"/>
    <w:rsid w:val="16F60CA0"/>
    <w:rsid w:val="16FB3089"/>
    <w:rsid w:val="18787932"/>
    <w:rsid w:val="1A930175"/>
    <w:rsid w:val="1E924897"/>
    <w:rsid w:val="22C029C3"/>
    <w:rsid w:val="238C4275"/>
    <w:rsid w:val="263B5FAD"/>
    <w:rsid w:val="26A10F99"/>
    <w:rsid w:val="2BC12DE2"/>
    <w:rsid w:val="2D0830EF"/>
    <w:rsid w:val="35A02390"/>
    <w:rsid w:val="450927FD"/>
    <w:rsid w:val="45A637BF"/>
    <w:rsid w:val="47916194"/>
    <w:rsid w:val="47B60D0F"/>
    <w:rsid w:val="47D01D0C"/>
    <w:rsid w:val="4EA22D84"/>
    <w:rsid w:val="519B0765"/>
    <w:rsid w:val="54E1392B"/>
    <w:rsid w:val="567E0003"/>
    <w:rsid w:val="650E1911"/>
    <w:rsid w:val="674314A4"/>
    <w:rsid w:val="685D5651"/>
    <w:rsid w:val="6B1F00A8"/>
    <w:rsid w:val="6FB21AA2"/>
    <w:rsid w:val="70A14132"/>
    <w:rsid w:val="72ED19B1"/>
    <w:rsid w:val="75B51A52"/>
    <w:rsid w:val="7A1F3505"/>
    <w:rsid w:val="7C210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17"/>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ind w:firstLine="420" w:firstLineChars="200"/>
    </w:pPr>
    <w:rPr>
      <w:rFonts w:ascii="Calibri" w:hAnsi="Calibri"/>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basedOn w:val="10"/>
    <w:uiPriority w:val="0"/>
    <w:rPr>
      <w:color w:val="000000"/>
      <w:u w:val="none"/>
    </w:rPr>
  </w:style>
  <w:style w:type="character" w:styleId="12">
    <w:name w:val="Emphasis"/>
    <w:basedOn w:val="10"/>
    <w:qFormat/>
    <w:uiPriority w:val="0"/>
  </w:style>
  <w:style w:type="character" w:styleId="13">
    <w:name w:val="Hyperlink"/>
    <w:basedOn w:val="10"/>
    <w:qFormat/>
    <w:uiPriority w:val="0"/>
    <w:rPr>
      <w:rFonts w:cs="Times New Roman"/>
      <w:color w:val="0000FF"/>
      <w:u w:val="single"/>
    </w:rPr>
  </w:style>
  <w:style w:type="paragraph" w:customStyle="1" w:styleId="15">
    <w:name w:val="_Style 1"/>
    <w:basedOn w:val="1"/>
    <w:qFormat/>
    <w:uiPriority w:val="0"/>
    <w:pPr>
      <w:ind w:firstLine="420" w:firstLineChars="200"/>
    </w:pPr>
    <w:rPr>
      <w:rFonts w:ascii="Calibri" w:hAnsi="Calibri"/>
      <w:szCs w:val="22"/>
    </w:rPr>
  </w:style>
  <w:style w:type="paragraph" w:customStyle="1" w:styleId="16">
    <w:name w:val="List Paragraph"/>
    <w:basedOn w:val="1"/>
    <w:unhideWhenUsed/>
    <w:qFormat/>
    <w:uiPriority w:val="99"/>
    <w:pPr>
      <w:ind w:firstLine="420" w:firstLineChars="200"/>
    </w:pPr>
  </w:style>
  <w:style w:type="character" w:customStyle="1" w:styleId="17">
    <w:name w:val="纯文本 Char"/>
    <w:basedOn w:val="10"/>
    <w:link w:val="6"/>
    <w:qFormat/>
    <w:uiPriority w:val="99"/>
    <w:rPr>
      <w:rFonts w:ascii="宋体" w:hAnsi="Courier New" w:cs="Courier New"/>
      <w:kern w:val="2"/>
      <w:sz w:val="21"/>
      <w:szCs w:val="21"/>
    </w:rPr>
  </w:style>
  <w:style w:type="paragraph" w:customStyle="1" w:styleId="18">
    <w:name w:val="文档正文"/>
    <w:basedOn w:val="1"/>
    <w:qFormat/>
    <w:uiPriority w:val="0"/>
    <w:pPr>
      <w:adjustRightInd w:val="0"/>
      <w:spacing w:line="480" w:lineRule="atLeast"/>
      <w:ind w:firstLine="567"/>
      <w:textAlignment w:val="baseline"/>
    </w:pPr>
    <w:rPr>
      <w:rFonts w:ascii="Ari" w:hAnsi="宋体" w:eastAsia="Ari" w:cs="黑体"/>
      <w:kern w:val="0"/>
      <w:sz w:val="28"/>
      <w:szCs w:val="20"/>
    </w:rPr>
  </w:style>
  <w:style w:type="paragraph" w:customStyle="1" w:styleId="19">
    <w:name w:val="工段落"/>
    <w:basedOn w:val="8"/>
    <w:next w:val="1"/>
    <w:qFormat/>
    <w:uiPriority w:val="0"/>
    <w:pPr>
      <w:spacing w:after="0" w:line="440" w:lineRule="exact"/>
      <w:ind w:left="0" w:leftChars="0" w:firstLine="560"/>
      <w:jc w:val="left"/>
    </w:pPr>
    <w:rPr>
      <w:rFonts w:cs="Calibri"/>
      <w:sz w:val="28"/>
      <w:szCs w:val="21"/>
    </w:rPr>
  </w:style>
  <w:style w:type="character" w:customStyle="1" w:styleId="20">
    <w:name w:val="font21"/>
    <w:basedOn w:val="10"/>
    <w:qFormat/>
    <w:uiPriority w:val="0"/>
    <w:rPr>
      <w:rFonts w:ascii="仿宋" w:hAnsi="仿宋" w:eastAsia="仿宋" w:cs="仿宋"/>
      <w:color w:val="000000"/>
      <w:sz w:val="24"/>
      <w:szCs w:val="24"/>
      <w:u w:val="none"/>
    </w:rPr>
  </w:style>
  <w:style w:type="character" w:customStyle="1" w:styleId="21">
    <w:name w:val="font31"/>
    <w:basedOn w:val="10"/>
    <w:uiPriority w:val="0"/>
    <w:rPr>
      <w:rFonts w:hint="default" w:ascii="Arial" w:hAnsi="Arial" w:cs="Arial"/>
      <w:color w:val="000000"/>
      <w:sz w:val="24"/>
      <w:szCs w:val="24"/>
      <w:u w:val="none"/>
    </w:rPr>
  </w:style>
  <w:style w:type="character" w:customStyle="1" w:styleId="22">
    <w:name w:val="font61"/>
    <w:basedOn w:val="10"/>
    <w:uiPriority w:val="0"/>
    <w:rPr>
      <w:rFonts w:hint="eastAsia" w:ascii="宋体" w:hAnsi="宋体" w:eastAsia="宋体" w:cs="宋体"/>
      <w:color w:val="000000"/>
      <w:sz w:val="24"/>
      <w:szCs w:val="24"/>
      <w:u w:val="none"/>
    </w:rPr>
  </w:style>
  <w:style w:type="character" w:customStyle="1" w:styleId="23">
    <w:name w:val="red"/>
    <w:basedOn w:val="10"/>
    <w:uiPriority w:val="0"/>
    <w:rPr>
      <w:color w:val="FF0000"/>
      <w:sz w:val="18"/>
      <w:szCs w:val="18"/>
    </w:rPr>
  </w:style>
  <w:style w:type="character" w:customStyle="1" w:styleId="24">
    <w:name w:val="red1"/>
    <w:basedOn w:val="10"/>
    <w:uiPriority w:val="0"/>
    <w:rPr>
      <w:color w:val="FF0000"/>
    </w:rPr>
  </w:style>
  <w:style w:type="character" w:customStyle="1" w:styleId="25">
    <w:name w:val="green"/>
    <w:basedOn w:val="10"/>
    <w:uiPriority w:val="0"/>
    <w:rPr>
      <w:color w:val="66AE00"/>
      <w:sz w:val="18"/>
      <w:szCs w:val="18"/>
    </w:rPr>
  </w:style>
  <w:style w:type="character" w:customStyle="1" w:styleId="26">
    <w:name w:val="green1"/>
    <w:basedOn w:val="10"/>
    <w:uiPriority w:val="0"/>
    <w:rPr>
      <w:color w:val="FF0000"/>
      <w:sz w:val="18"/>
      <w:szCs w:val="18"/>
    </w:rPr>
  </w:style>
  <w:style w:type="character" w:customStyle="1" w:styleId="27">
    <w:name w:val="hover25"/>
    <w:basedOn w:val="10"/>
    <w:uiPriority w:val="0"/>
  </w:style>
  <w:style w:type="character" w:customStyle="1" w:styleId="28">
    <w:name w:val="blue"/>
    <w:basedOn w:val="10"/>
    <w:uiPriority w:val="0"/>
    <w:rPr>
      <w:color w:val="0371C6"/>
      <w:sz w:val="21"/>
      <w:szCs w:val="21"/>
    </w:rPr>
  </w:style>
  <w:style w:type="character" w:customStyle="1" w:styleId="29">
    <w:name w:val="gb-jt"/>
    <w:basedOn w:val="10"/>
    <w:uiPriority w:val="0"/>
  </w:style>
  <w:style w:type="character" w:customStyle="1" w:styleId="30">
    <w:name w:val="right"/>
    <w:basedOn w:val="10"/>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21228-DEFF-457A-BEDA-DE731953C2C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3241</Words>
  <Characters>18474</Characters>
  <Lines>153</Lines>
  <Paragraphs>43</Paragraphs>
  <ScaleCrop>false</ScaleCrop>
  <LinksUpToDate>false</LinksUpToDate>
  <CharactersWithSpaces>21672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2018-03-21T08:29:00Z</dcterms:created>
  <dc:creator>田泳杰</dc:creator>
  <cp:lastModifiedBy>许昌市公共资源交易中心:杨丹丹</cp:lastModifiedBy>
  <cp:lastPrinted>2018-06-01T10:03:00Z</cp:lastPrinted>
  <dcterms:modified xsi:type="dcterms:W3CDTF">2018-06-04T07:47:05Z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