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960"/>
        <w:jc w:val="center"/>
        <w:rPr>
          <w:rFonts w:ascii="Times New Roman" w:hAnsi="Times New Roman" w:eastAsia="宋体" w:cs="Times New Roman"/>
          <w:color w:val="000000"/>
          <w:kern w:val="0"/>
          <w:sz w:val="30"/>
          <w:szCs w:val="30"/>
          <w:shd w:val="clear" w:color="auto" w:fill="FFFFFF"/>
        </w:rPr>
      </w:pPr>
    </w:p>
    <w:p>
      <w:pPr>
        <w:widowControl/>
        <w:shd w:val="clear" w:color="auto" w:fill="FFFFFF"/>
        <w:spacing w:line="360" w:lineRule="atLeast"/>
        <w:ind w:firstLine="960"/>
        <w:jc w:val="center"/>
        <w:rPr>
          <w:rFonts w:ascii="Times New Roman" w:hAnsi="Times New Roman" w:eastAsia="宋体" w:cs="Times New Roman"/>
          <w:color w:val="000000"/>
          <w:kern w:val="0"/>
          <w:sz w:val="30"/>
          <w:szCs w:val="30"/>
          <w:shd w:val="clear" w:color="auto" w:fill="FFFFFF"/>
        </w:rPr>
      </w:pPr>
    </w:p>
    <w:p>
      <w:pPr>
        <w:widowControl/>
        <w:shd w:val="clear" w:color="auto" w:fill="FFFFFF"/>
        <w:spacing w:line="360" w:lineRule="atLeast"/>
        <w:ind w:firstLine="315" w:firstLineChars="98"/>
        <w:jc w:val="left"/>
        <w:rPr>
          <w:rFonts w:ascii="Arial" w:hAnsi="Arial" w:eastAsia="宋体" w:cs="Arial"/>
          <w:color w:val="000000"/>
          <w:kern w:val="0"/>
          <w:sz w:val="17"/>
          <w:szCs w:val="17"/>
        </w:rPr>
      </w:pPr>
      <w:r>
        <w:rPr>
          <w:rFonts w:hint="eastAsia" w:ascii="仿宋_GB2312" w:hAnsi="Calibri" w:eastAsia="仿宋_GB2312" w:cs="Calibri"/>
          <w:b/>
          <w:bCs/>
          <w:color w:val="000000"/>
          <w:kern w:val="0"/>
          <w:sz w:val="32"/>
          <w:szCs w:val="32"/>
          <w:u w:val="single"/>
          <w:shd w:val="clear" w:color="auto" w:fill="FFFFFF"/>
        </w:rPr>
        <w:t>许昌市公安局市区3年交通设施维护项目</w:t>
      </w:r>
      <w:r>
        <w:rPr>
          <w:rFonts w:hint="eastAsia" w:ascii="仿宋_GB2312" w:hAnsi="Calibri" w:eastAsia="仿宋_GB2312" w:cs="Calibri"/>
          <w:b/>
          <w:bCs/>
          <w:color w:val="000000"/>
          <w:kern w:val="0"/>
          <w:sz w:val="32"/>
          <w:szCs w:val="32"/>
          <w:shd w:val="clear" w:color="auto" w:fill="FFFFFF"/>
        </w:rPr>
        <w:t>采购需求、评标标准等说明</w:t>
      </w:r>
    </w:p>
    <w:p>
      <w:pPr>
        <w:widowControl/>
        <w:shd w:val="clear" w:color="auto" w:fill="FFFFFF"/>
        <w:spacing w:line="360" w:lineRule="atLeast"/>
        <w:ind w:firstLine="600"/>
        <w:jc w:val="left"/>
        <w:rPr>
          <w:rFonts w:ascii="宋体" w:hAnsi="宋体" w:eastAsia="宋体" w:cs="Arial"/>
          <w:color w:val="000000"/>
          <w:kern w:val="0"/>
          <w:sz w:val="30"/>
          <w:szCs w:val="30"/>
          <w:shd w:val="clear" w:color="auto" w:fill="FFFFFF"/>
        </w:rPr>
      </w:pP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黑体" w:hAnsi="黑体" w:eastAsia="黑体" w:cs="Arial"/>
          <w:color w:val="000000"/>
          <w:kern w:val="0"/>
          <w:sz w:val="30"/>
          <w:szCs w:val="30"/>
          <w:shd w:val="clear" w:color="auto" w:fill="FFFFFF"/>
        </w:rPr>
        <w:t>一、项目概况</w:t>
      </w:r>
    </w:p>
    <w:p>
      <w:pPr>
        <w:widowControl/>
        <w:shd w:val="clear" w:color="auto" w:fill="FFFFFF"/>
        <w:spacing w:line="360" w:lineRule="atLeast"/>
        <w:ind w:firstLine="600" w:firstLineChars="200"/>
        <w:jc w:val="left"/>
        <w:rPr>
          <w:rFonts w:ascii="Arial" w:hAnsi="Arial" w:eastAsia="宋体" w:cs="Arial"/>
          <w:color w:val="000000"/>
          <w:kern w:val="0"/>
          <w:sz w:val="17"/>
          <w:szCs w:val="17"/>
        </w:rPr>
      </w:pPr>
      <w:r>
        <w:rPr>
          <w:rFonts w:hint="eastAsia" w:ascii="仿宋" w:hAnsi="仿宋" w:eastAsia="仿宋" w:cs="Arial"/>
          <w:color w:val="000000"/>
          <w:kern w:val="0"/>
          <w:sz w:val="30"/>
          <w:szCs w:val="30"/>
          <w:shd w:val="clear" w:color="auto" w:fill="FFFFFF"/>
        </w:rPr>
        <w:t>（一）项目名称：</w:t>
      </w:r>
      <w:r>
        <w:rPr>
          <w:rFonts w:hint="eastAsia" w:ascii="仿宋" w:hAnsi="仿宋" w:eastAsia="仿宋" w:cs="宋体"/>
          <w:color w:val="000000"/>
          <w:kern w:val="0"/>
          <w:sz w:val="32"/>
          <w:szCs w:val="32"/>
        </w:rPr>
        <w:t>许昌市公安局市区3年交通设施维护项目</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仿宋" w:hAnsi="仿宋" w:eastAsia="仿宋" w:cs="Arial"/>
          <w:color w:val="000000"/>
          <w:kern w:val="0"/>
          <w:sz w:val="30"/>
          <w:szCs w:val="30"/>
          <w:shd w:val="clear" w:color="auto" w:fill="FFFFFF"/>
        </w:rPr>
        <w:t>（二）采购方式</w:t>
      </w:r>
      <w:r>
        <w:rPr>
          <w:rFonts w:hint="eastAsia" w:ascii="仿宋" w:hAnsi="仿宋" w:eastAsia="仿宋" w:cs="宋体"/>
          <w:color w:val="000000"/>
          <w:kern w:val="0"/>
          <w:sz w:val="32"/>
          <w:szCs w:val="32"/>
        </w:rPr>
        <w:t>：公开招标</w:t>
      </w:r>
    </w:p>
    <w:p>
      <w:pPr>
        <w:widowControl/>
        <w:spacing w:line="403" w:lineRule="atLeast"/>
        <w:ind w:firstLine="645"/>
        <w:jc w:val="left"/>
        <w:rPr>
          <w:rFonts w:ascii="仿宋" w:hAnsi="仿宋" w:eastAsia="仿宋" w:cs="Arial"/>
          <w:color w:val="000000"/>
          <w:kern w:val="0"/>
          <w:sz w:val="30"/>
          <w:szCs w:val="30"/>
          <w:shd w:val="clear" w:color="auto" w:fill="FFFFFF"/>
        </w:rPr>
      </w:pPr>
      <w:r>
        <w:rPr>
          <w:rFonts w:hint="eastAsia" w:ascii="仿宋" w:hAnsi="仿宋" w:eastAsia="仿宋" w:cs="Arial"/>
          <w:color w:val="000000"/>
          <w:kern w:val="0"/>
          <w:sz w:val="30"/>
          <w:szCs w:val="30"/>
          <w:shd w:val="clear" w:color="auto" w:fill="FFFFFF"/>
        </w:rPr>
        <w:t>（三）主要内容、数量及要求：市区3年的交通标志、标线、交通信号灯、交通护栏等设施的维修及巡查维护服务等。</w:t>
      </w:r>
    </w:p>
    <w:p>
      <w:pPr>
        <w:widowControl/>
        <w:shd w:val="clear" w:color="auto" w:fill="FFFFFF"/>
        <w:spacing w:line="360" w:lineRule="atLeast"/>
        <w:ind w:firstLine="600"/>
        <w:jc w:val="left"/>
        <w:rPr>
          <w:rFonts w:ascii="仿宋" w:hAnsi="仿宋" w:eastAsia="仿宋" w:cs="宋体"/>
          <w:color w:val="000000"/>
          <w:kern w:val="0"/>
          <w:sz w:val="32"/>
          <w:szCs w:val="32"/>
        </w:rPr>
      </w:pPr>
      <w:r>
        <w:rPr>
          <w:rFonts w:hint="eastAsia" w:ascii="仿宋" w:hAnsi="仿宋" w:eastAsia="仿宋" w:cs="Arial"/>
          <w:color w:val="000000"/>
          <w:kern w:val="0"/>
          <w:sz w:val="30"/>
          <w:szCs w:val="30"/>
          <w:shd w:val="clear" w:color="auto" w:fill="FFFFFF"/>
        </w:rPr>
        <w:t>（四）预算金额：</w:t>
      </w:r>
      <w:r>
        <w:rPr>
          <w:rFonts w:hint="eastAsia" w:ascii="仿宋" w:hAnsi="仿宋" w:eastAsia="仿宋" w:cs="宋体"/>
          <w:color w:val="000000"/>
          <w:kern w:val="0"/>
          <w:sz w:val="32"/>
          <w:szCs w:val="32"/>
        </w:rPr>
        <w:t>642.4998万元</w:t>
      </w:r>
      <w:r>
        <w:rPr>
          <w:rFonts w:hint="eastAsia" w:ascii="仿宋" w:hAnsi="仿宋" w:eastAsia="仿宋" w:cs="Arial"/>
          <w:color w:val="000000"/>
          <w:kern w:val="0"/>
          <w:sz w:val="30"/>
          <w:szCs w:val="30"/>
          <w:shd w:val="clear" w:color="auto" w:fill="FFFFFF"/>
        </w:rPr>
        <w:t>；最高限价：</w:t>
      </w:r>
      <w:r>
        <w:rPr>
          <w:rFonts w:hint="eastAsia" w:ascii="仿宋" w:hAnsi="仿宋" w:eastAsia="仿宋" w:cs="宋体"/>
          <w:color w:val="000000"/>
          <w:kern w:val="0"/>
          <w:sz w:val="32"/>
          <w:szCs w:val="32"/>
        </w:rPr>
        <w:t>642.4998万元</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仿宋" w:hAnsi="仿宋" w:eastAsia="仿宋" w:cs="Arial"/>
          <w:color w:val="000000"/>
          <w:kern w:val="0"/>
          <w:sz w:val="30"/>
          <w:szCs w:val="30"/>
          <w:shd w:val="clear" w:color="auto" w:fill="FFFFFF"/>
        </w:rPr>
        <w:t>（五）交付（服务、完工）时间：2021年8月底前</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仿宋" w:hAnsi="仿宋" w:eastAsia="仿宋" w:cs="Arial"/>
          <w:color w:val="000000"/>
          <w:kern w:val="0"/>
          <w:sz w:val="30"/>
          <w:szCs w:val="30"/>
          <w:shd w:val="clear" w:color="auto" w:fill="FFFFFF"/>
        </w:rPr>
        <w:t>（六）交付（服务、施工）地点：许昌市区</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仿宋" w:hAnsi="仿宋" w:eastAsia="仿宋" w:cs="Arial"/>
          <w:color w:val="000000"/>
          <w:kern w:val="0"/>
          <w:sz w:val="30"/>
          <w:szCs w:val="30"/>
          <w:shd w:val="clear" w:color="auto" w:fill="FFFFFF"/>
        </w:rPr>
        <w:t>（七）分包：不允许。</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黑体" w:hAnsi="黑体" w:eastAsia="黑体" w:cs="Arial"/>
          <w:color w:val="000000"/>
          <w:kern w:val="0"/>
          <w:sz w:val="30"/>
          <w:szCs w:val="30"/>
          <w:shd w:val="clear" w:color="auto" w:fill="FFFFFF"/>
        </w:rPr>
        <w:t>二、需要落实的政府采购政策</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仿宋" w:hAnsi="仿宋" w:eastAsia="仿宋" w:cs="Arial"/>
          <w:color w:val="000000"/>
          <w:kern w:val="0"/>
          <w:sz w:val="30"/>
          <w:szCs w:val="30"/>
          <w:shd w:val="clear" w:color="auto" w:fill="FFFFFF"/>
        </w:rPr>
        <w:t>本项目落实节能环保</w:t>
      </w:r>
      <w:r>
        <w:rPr>
          <w:rFonts w:hint="eastAsia" w:ascii="楷体" w:hAnsi="楷体" w:eastAsia="楷体" w:cs="Arial"/>
          <w:color w:val="000000"/>
          <w:kern w:val="0"/>
          <w:sz w:val="28"/>
          <w:szCs w:val="28"/>
        </w:rPr>
        <w:t>√</w:t>
      </w:r>
      <w:r>
        <w:rPr>
          <w:rFonts w:hint="eastAsia" w:ascii="仿宋" w:hAnsi="仿宋" w:eastAsia="仿宋" w:cs="Arial"/>
          <w:color w:val="000000"/>
          <w:kern w:val="0"/>
          <w:sz w:val="30"/>
          <w:szCs w:val="30"/>
          <w:shd w:val="clear" w:color="auto" w:fill="FFFFFF"/>
        </w:rPr>
        <w:t>、中小微型企业扶持</w:t>
      </w:r>
      <w:r>
        <w:rPr>
          <w:rFonts w:hint="eastAsia" w:ascii="楷体" w:hAnsi="楷体" w:eastAsia="楷体" w:cs="Arial"/>
          <w:color w:val="000000"/>
          <w:kern w:val="0"/>
          <w:sz w:val="28"/>
          <w:szCs w:val="28"/>
        </w:rPr>
        <w:t>√</w:t>
      </w:r>
      <w:r>
        <w:rPr>
          <w:rFonts w:hint="eastAsia" w:ascii="仿宋" w:hAnsi="仿宋" w:eastAsia="仿宋" w:cs="Arial"/>
          <w:color w:val="000000"/>
          <w:kern w:val="0"/>
          <w:sz w:val="30"/>
          <w:szCs w:val="30"/>
          <w:shd w:val="clear" w:color="auto" w:fill="FFFFFF"/>
        </w:rPr>
        <w:t>、残疾人福利性单位扶持</w:t>
      </w:r>
      <w:r>
        <w:rPr>
          <w:rFonts w:hint="eastAsia" w:ascii="楷体" w:hAnsi="楷体" w:eastAsia="楷体" w:cs="Arial"/>
          <w:color w:val="000000"/>
          <w:kern w:val="0"/>
          <w:sz w:val="28"/>
          <w:szCs w:val="28"/>
        </w:rPr>
        <w:t>√</w:t>
      </w:r>
      <w:r>
        <w:rPr>
          <w:rFonts w:hint="eastAsia" w:ascii="仿宋" w:hAnsi="仿宋" w:eastAsia="仿宋" w:cs="Arial"/>
          <w:color w:val="000000"/>
          <w:kern w:val="0"/>
          <w:sz w:val="30"/>
          <w:szCs w:val="30"/>
          <w:shd w:val="clear" w:color="auto" w:fill="FFFFFF"/>
        </w:rPr>
        <w:t>等相关政府采购政策。</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黑体" w:hAnsi="黑体" w:eastAsia="黑体" w:cs="Arial"/>
          <w:color w:val="000000"/>
          <w:kern w:val="0"/>
          <w:sz w:val="30"/>
          <w:szCs w:val="30"/>
          <w:shd w:val="clear" w:color="auto" w:fill="FFFFFF"/>
        </w:rPr>
        <w:t>三、投标人资格要求</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仿宋" w:hAnsi="仿宋" w:eastAsia="仿宋" w:cs="Arial"/>
          <w:color w:val="000000"/>
          <w:kern w:val="0"/>
          <w:sz w:val="30"/>
          <w:szCs w:val="30"/>
          <w:shd w:val="clear" w:color="auto" w:fill="FFFFFF"/>
        </w:rPr>
        <w:t>（一）具备《政府采购法》第二十二条第一款规定条件并提供相关材料。</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仿宋" w:hAnsi="仿宋" w:eastAsia="仿宋" w:cs="Arial"/>
          <w:color w:val="000000"/>
          <w:kern w:val="0"/>
          <w:sz w:val="30"/>
          <w:szCs w:val="30"/>
          <w:shd w:val="clear" w:color="auto" w:fill="FFFFFF"/>
        </w:rPr>
        <w:t>（二）本次招标不接受联合体投标。</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仿宋" w:hAnsi="仿宋" w:eastAsia="仿宋" w:cs="Arial"/>
          <w:color w:val="000000"/>
          <w:kern w:val="0"/>
          <w:sz w:val="30"/>
          <w:szCs w:val="30"/>
          <w:shd w:val="clear" w:color="auto" w:fill="FFFFFF"/>
        </w:rPr>
        <w:t>（三）根据采购项目特殊要求，规定投标人的特定条件（无）。</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黑体" w:hAnsi="黑体" w:eastAsia="黑体" w:cs="Arial"/>
          <w:color w:val="000000"/>
          <w:kern w:val="0"/>
          <w:sz w:val="30"/>
          <w:szCs w:val="30"/>
          <w:shd w:val="clear" w:color="auto" w:fill="FFFFFF"/>
        </w:rPr>
        <w:t>四、采购需求</w:t>
      </w:r>
    </w:p>
    <w:p>
      <w:pPr>
        <w:widowControl/>
        <w:spacing w:line="360" w:lineRule="auto"/>
        <w:ind w:firstLine="588" w:firstLineChars="196"/>
        <w:jc w:val="left"/>
        <w:textAlignment w:val="center"/>
        <w:rPr>
          <w:rFonts w:hint="eastAsia" w:ascii="仿宋" w:hAnsi="仿宋" w:eastAsia="仿宋" w:cs="Arial"/>
          <w:color w:val="000000"/>
          <w:kern w:val="0"/>
          <w:sz w:val="30"/>
          <w:szCs w:val="30"/>
          <w:shd w:val="clear" w:color="auto" w:fill="FFFFFF"/>
          <w:lang w:val="en-US"/>
        </w:rPr>
      </w:pPr>
      <w:r>
        <w:rPr>
          <w:rFonts w:hint="eastAsia" w:ascii="仿宋" w:hAnsi="仿宋" w:eastAsia="仿宋" w:cs="Arial"/>
          <w:color w:val="000000"/>
          <w:kern w:val="0"/>
          <w:sz w:val="30"/>
          <w:szCs w:val="30"/>
          <w:shd w:val="clear" w:color="auto" w:fill="FFFFFF"/>
        </w:rPr>
        <w:t>（一）</w:t>
      </w:r>
      <w:r>
        <w:rPr>
          <w:rFonts w:hint="eastAsia" w:ascii="宋体" w:hAnsi="宋体" w:cs="宋体"/>
          <w:b/>
          <w:bCs/>
          <w:sz w:val="24"/>
        </w:rPr>
        <w:t>本项目为市区3年交通设维护项目，</w:t>
      </w:r>
      <w:r>
        <w:rPr>
          <w:rFonts w:hint="eastAsia" w:ascii="仿宋" w:hAnsi="仿宋" w:eastAsia="仿宋" w:cs="Arial"/>
          <w:color w:val="000000"/>
          <w:kern w:val="0"/>
          <w:sz w:val="30"/>
          <w:szCs w:val="30"/>
          <w:shd w:val="clear" w:color="auto" w:fill="FFFFFF"/>
        </w:rPr>
        <w:t>本项目招标完成后至2021年8月底持续供货(合同金额内)。根据实际工作需要，实际施工过程中，可能有具体维护更换设施数量与本次招标不一致的情况，投标人需承诺允许在中标总价范围内根据采购人实际需要、按照本项目中标各品种单价对设施的品种、数量进行调整。</w:t>
      </w:r>
      <w:r>
        <w:rPr>
          <w:rFonts w:hint="eastAsia" w:ascii="仿宋" w:hAnsi="仿宋" w:eastAsia="仿宋" w:cs="Arial"/>
          <w:color w:val="000000"/>
          <w:kern w:val="0"/>
          <w:sz w:val="30"/>
          <w:szCs w:val="30"/>
          <w:shd w:val="clear" w:color="auto" w:fill="FFFFFF"/>
          <w:lang w:eastAsia="zh-CN"/>
        </w:rPr>
        <w:t>投标人应对采购清单中所列工程量报出总价及单价，供采购人据实结算。</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仿宋" w:hAnsi="仿宋" w:eastAsia="仿宋" w:cs="Arial"/>
          <w:color w:val="000000"/>
          <w:kern w:val="0"/>
          <w:sz w:val="30"/>
          <w:szCs w:val="30"/>
          <w:shd w:val="clear" w:color="auto" w:fill="FFFFFF"/>
        </w:rPr>
        <w:t>（二）采购清单</w:t>
      </w:r>
    </w:p>
    <w:tbl>
      <w:tblPr>
        <w:tblStyle w:val="8"/>
        <w:tblW w:w="89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0"/>
        <w:gridCol w:w="1260"/>
        <w:gridCol w:w="1080"/>
        <w:gridCol w:w="1600"/>
        <w:gridCol w:w="2640"/>
        <w:gridCol w:w="1000"/>
        <w:gridCol w:w="8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6" w:hRule="atLeast"/>
        </w:trPr>
        <w:tc>
          <w:tcPr>
            <w:tcW w:w="8900" w:type="dxa"/>
            <w:gridSpan w:val="7"/>
          </w:tcPr>
          <w:p>
            <w:pPr>
              <w:widowControl/>
              <w:ind w:firstLine="472" w:firstLineChars="196"/>
              <w:jc w:val="left"/>
              <w:rPr>
                <w:rFonts w:ascii="宋体" w:hAnsi="宋体" w:eastAsia="宋体" w:cs="宋体"/>
                <w:b/>
                <w:color w:val="000000"/>
                <w:kern w:val="0"/>
                <w:sz w:val="24"/>
                <w:szCs w:val="20"/>
              </w:rPr>
            </w:pPr>
            <w:r>
              <w:rPr>
                <w:rFonts w:hint="eastAsia" w:ascii="宋体" w:hAnsi="宋体" w:eastAsia="宋体" w:cs="宋体"/>
                <w:b/>
                <w:color w:val="000000"/>
                <w:kern w:val="0"/>
                <w:sz w:val="24"/>
                <w:szCs w:val="20"/>
              </w:rPr>
              <w:t>以下工程量是市区交通设施维护1年的预计量，本项目包含3年的市区交通设施维护。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1" w:hRule="atLeast"/>
        </w:trPr>
        <w:tc>
          <w:tcPr>
            <w:tcW w:w="48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26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名称</w:t>
            </w:r>
          </w:p>
        </w:tc>
        <w:tc>
          <w:tcPr>
            <w:tcW w:w="2680" w:type="dxa"/>
            <w:gridSpan w:val="2"/>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规格型号</w:t>
            </w:r>
          </w:p>
        </w:tc>
        <w:tc>
          <w:tcPr>
            <w:tcW w:w="26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技术参数</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年预算数量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59" w:hRule="atLeast"/>
        </w:trPr>
        <w:tc>
          <w:tcPr>
            <w:tcW w:w="48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6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道路标线清除</w:t>
            </w:r>
          </w:p>
        </w:tc>
        <w:tc>
          <w:tcPr>
            <w:tcW w:w="268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机械除掉道路标线</w:t>
            </w: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宽150-200mm 厚度1.5</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1"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用灰漆涂掉道路标线</w:t>
            </w: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厚度0.075</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1"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高压水除线</w:t>
            </w:r>
          </w:p>
        </w:tc>
        <w:tc>
          <w:tcPr>
            <w:tcW w:w="2640" w:type="dxa"/>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00" w:hRule="atLeast"/>
        </w:trPr>
        <w:tc>
          <w:tcPr>
            <w:tcW w:w="48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26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减速振动标线</w:t>
            </w:r>
          </w:p>
        </w:tc>
        <w:tc>
          <w:tcPr>
            <w:tcW w:w="268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标线标准：GB5768.3-2009        材料标准：JT/T280-2004          标线质量：GB/T16311-2009</w:t>
            </w: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厚度1.5-2mm(非凸起部分），涂料中含18%-25%的玻璃珠，施工时涂布涂层后立即将玻璃珠撒布在其表面</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19" w:hRule="atLeast"/>
        </w:trPr>
        <w:tc>
          <w:tcPr>
            <w:tcW w:w="48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26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道路标线</w:t>
            </w:r>
          </w:p>
        </w:tc>
        <w:tc>
          <w:tcPr>
            <w:tcW w:w="2680" w:type="dxa"/>
            <w:gridSpan w:val="2"/>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标线标准：GB5768.3-2009             材料标准：JT/T280-2004               标线质量：GB/T16311-2009</w:t>
            </w: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热熔普通型  厚度1.5-2mm,涂料中不含玻璃珠，施工时也不撒布玻璃珠</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19"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热熔反光型  厚度1.5-2mm，涂料中含18%-25%的玻璃珠，施工时涂布涂层后立即将玻璃珠撒布在其表面</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80"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常温普通型  厚度0.12-0.2mm，涂料中不含玻璃珠，施工时也不撒布玻璃珠</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99"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常温反光型  厚度0.12-0.2mm，涂料中不含玻璃珠，施工时涂布涂层后立即将玻璃珠撒布在其表面</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0"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双组份普通型  厚度1.5-2mm,涂料中不含玻璃珠，施工时也不撒布玻璃珠</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99"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双组份反光型  厚度1.5-2mm,涂料中不含（或含18%-25%）玻璃珠，施工时涂布涂层后立即将玻璃珠撒布在其表面</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21" w:hRule="atLeast"/>
        </w:trPr>
        <w:tc>
          <w:tcPr>
            <w:tcW w:w="48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26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停车位线</w:t>
            </w:r>
          </w:p>
        </w:tc>
        <w:tc>
          <w:tcPr>
            <w:tcW w:w="2680" w:type="dxa"/>
            <w:gridSpan w:val="2"/>
            <w:vMerge w:val="restart"/>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标线标准：GB5768.3-2009                材料标准：JT/T280-2004                 标线质量：GB/T16311-2009          2500-3000mm 5000-6000mm (含编号）</w:t>
            </w: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热熔普通型  厚度1.5-2mm，涂料中不含玻璃珠，施工时也不撒布玻璃珠</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80"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热熔反光型  厚度1.5-2mm，涂料中含18%-26%的玻璃珠，施工时涂布涂层后立即将玻璃珠撒布在其表面</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80"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常温普通型  厚度0.12-0.2mm，涂料中不含玻璃珠，施工时也不撒布玻璃珠</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1"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常温反光型  厚度0.12-0.2mm，涂料中不含玻璃珠，施工时涂布涂层后立即将玻璃珠撒布在其表面</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21" w:hRule="atLeast"/>
        </w:trPr>
        <w:tc>
          <w:tcPr>
            <w:tcW w:w="48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26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导向标线</w:t>
            </w:r>
          </w:p>
        </w:tc>
        <w:tc>
          <w:tcPr>
            <w:tcW w:w="2680" w:type="dxa"/>
            <w:gridSpan w:val="2"/>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标线标准：GB5768.3-2009               材料标准：JT/T280-2004              标线质量：GB/T16311-2009      </w:t>
            </w: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热熔普通型     直行箭头  厚度1.5-2mm   长6米宽0.9米，涂料中不含玻璃珠，施工时也不撒布玻璃珠</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19"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热熔反光型     直行箭头  厚度1.5-2mm   长6米宽0.9米，涂料中含18%-25%的玻璃珠，施工时涂布涂层后立即将玻璃珠撒布在其表面</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60"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热熔普通型     复合型箭头  厚度1.5-2mm  长6米宽1.5米，涂料中不含玻璃珠，施工时也不撒布玻璃珠</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01"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热熔反光型     复合型箭头  厚度1.5-2mm  长6米宽1.5米，涂料中含18%-25%的玻璃珠，施工时涂布涂层后立即将玻璃珠撒布在其表面</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1"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常温普通型         直行箭头 厚度0.12-0.2mm  长6米宽0.9米，涂料中不含玻璃珠，施工时也不撒布玻璃珠</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19"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常温反光型         直行箭头 厚度0.12-0.2mm  长6米宽0.10米，涂料中不含玻璃珠，施工时涂布涂层后立即将玻璃珠撒布在其表面</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19"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常温普通型         复合箭头       厚度0.12-0.2mm   长6米宽1.5米，涂料中不含玻璃珠，施工时也不撒布玻璃珠</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61"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常温反光型         复合箭头       厚度0.12-0.2mm   长6米宽1.5米，涂料中不含玻璃珠，施工时涂布涂层后立即将玻璃珠撒布在其表面</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41" w:hRule="atLeast"/>
        </w:trPr>
        <w:tc>
          <w:tcPr>
            <w:tcW w:w="48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26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预告标线</w:t>
            </w:r>
          </w:p>
        </w:tc>
        <w:tc>
          <w:tcPr>
            <w:tcW w:w="2680" w:type="dxa"/>
            <w:gridSpan w:val="2"/>
            <w:vMerge w:val="restart"/>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标线标准：GB5768.3-2009               材料标准：JT/T280-2004              标线质量：GB/T16311-2009      </w:t>
            </w: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热熔普通型  厚度1.5-2mm  1*2米，涂料中不含玻璃珠，施工时也不撒布玻璃珠</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61"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热熔反光型  厚度1.5-2mm  1*2米，涂料中含18%-25%的玻璃珠，施工时涂布涂层后立即将玻璃珠撒布在其表面</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40"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常温普通型  厚度0.12-0.2mm 长6米宽0.9米，涂料中不含玻璃珠，施工时也不撒布玻璃珠</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1"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常温反光型  厚度0.12-0.2mm 长6米宽0.9米，涂料中不含玻璃珠，施工时涂布涂层后立即将玻璃珠撒不在其表面</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5" w:hRule="atLeast"/>
        </w:trPr>
        <w:tc>
          <w:tcPr>
            <w:tcW w:w="48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26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自行车图案标线</w:t>
            </w:r>
          </w:p>
        </w:tc>
        <w:tc>
          <w:tcPr>
            <w:tcW w:w="2680" w:type="dxa"/>
            <w:gridSpan w:val="2"/>
            <w:vMerge w:val="restart"/>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标线标准：GB5768.3-2009               材料标准：JT/T280-2004              标线质量：GB/T16311-2009      </w:t>
            </w:r>
          </w:p>
        </w:tc>
        <w:tc>
          <w:tcPr>
            <w:tcW w:w="2640" w:type="dxa"/>
            <w:vMerge w:val="restart"/>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热熔普通型  厚度1.5-2mm，涂料中不含玻璃珠，施工时也不撒布玻璃珠</w:t>
            </w:r>
          </w:p>
        </w:tc>
        <w:tc>
          <w:tcPr>
            <w:tcW w:w="100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21"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vMerge w:val="continue"/>
          </w:tcPr>
          <w:p>
            <w:pPr>
              <w:widowControl/>
              <w:jc w:val="left"/>
              <w:rPr>
                <w:rFonts w:ascii="宋体" w:hAnsi="宋体" w:eastAsia="宋体" w:cs="宋体"/>
                <w:color w:val="000000"/>
                <w:kern w:val="0"/>
                <w:sz w:val="20"/>
                <w:szCs w:val="20"/>
              </w:rPr>
            </w:pPr>
          </w:p>
        </w:tc>
        <w:tc>
          <w:tcPr>
            <w:tcW w:w="1000" w:type="dxa"/>
            <w:vMerge w:val="continue"/>
          </w:tcPr>
          <w:p>
            <w:pPr>
              <w:widowControl/>
              <w:jc w:val="left"/>
              <w:rPr>
                <w:rFonts w:ascii="宋体" w:hAnsi="宋体" w:eastAsia="宋体" w:cs="宋体"/>
                <w:color w:val="000000"/>
                <w:kern w:val="0"/>
                <w:sz w:val="20"/>
                <w:szCs w:val="20"/>
              </w:rPr>
            </w:pPr>
          </w:p>
        </w:tc>
        <w:tc>
          <w:tcPr>
            <w:tcW w:w="840" w:type="dxa"/>
            <w:vMerge w:val="continue"/>
          </w:tcPr>
          <w:p>
            <w:pPr>
              <w:widowControl/>
              <w:jc w:val="left"/>
              <w:rPr>
                <w:rFonts w:ascii="宋体" w:hAnsi="宋体" w:eastAsia="宋体" w:cs="宋体"/>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vMerge w:val="restart"/>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热熔反光型  厚度1.5-2mm，涂料中含18%-25%的玻璃珠，施工时涂布涂层后立即将玻璃珠撒布在其表面</w:t>
            </w:r>
          </w:p>
        </w:tc>
        <w:tc>
          <w:tcPr>
            <w:tcW w:w="100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vMerge w:val="continue"/>
          </w:tcPr>
          <w:p>
            <w:pPr>
              <w:widowControl/>
              <w:jc w:val="left"/>
              <w:rPr>
                <w:rFonts w:ascii="宋体" w:hAnsi="宋体" w:eastAsia="宋体" w:cs="宋体"/>
                <w:color w:val="000000"/>
                <w:kern w:val="0"/>
                <w:sz w:val="20"/>
                <w:szCs w:val="20"/>
              </w:rPr>
            </w:pPr>
          </w:p>
        </w:tc>
        <w:tc>
          <w:tcPr>
            <w:tcW w:w="1000" w:type="dxa"/>
            <w:vMerge w:val="continue"/>
          </w:tcPr>
          <w:p>
            <w:pPr>
              <w:widowControl/>
              <w:jc w:val="left"/>
              <w:rPr>
                <w:rFonts w:ascii="宋体" w:hAnsi="宋体" w:eastAsia="宋体" w:cs="宋体"/>
                <w:color w:val="000000"/>
                <w:kern w:val="0"/>
                <w:sz w:val="20"/>
                <w:szCs w:val="20"/>
              </w:rPr>
            </w:pPr>
          </w:p>
        </w:tc>
        <w:tc>
          <w:tcPr>
            <w:tcW w:w="840" w:type="dxa"/>
            <w:vMerge w:val="continue"/>
          </w:tcPr>
          <w:p>
            <w:pPr>
              <w:widowControl/>
              <w:jc w:val="left"/>
              <w:rPr>
                <w:rFonts w:ascii="宋体" w:hAnsi="宋体" w:eastAsia="宋体" w:cs="宋体"/>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20"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常温普通型  厚度0.12-0.2mm，涂料中不含玻璃珠，施工时也不撒布玻璃珠</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1"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常温反光型  厚度0.12-0.2mm，涂料中不含玻璃珠，施工时涂布涂层后立即将玻璃珠撒布在其表面</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61" w:hRule="atLeast"/>
        </w:trPr>
        <w:tc>
          <w:tcPr>
            <w:tcW w:w="48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26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网格线</w:t>
            </w:r>
          </w:p>
        </w:tc>
        <w:tc>
          <w:tcPr>
            <w:tcW w:w="2680" w:type="dxa"/>
            <w:gridSpan w:val="2"/>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标线标准：GB5768.3-2009               材料标准：JT/T280-2004              标线质量：GB/T16311-2009      </w:t>
            </w: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热熔普通型  厚度1.5-2mm 面积长*宽/2，涂料中不含玻璃珠，施工时也不撒布玻璃珠</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61"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热熔反光型  厚度1.5-2mm 面积长*宽/2，涂料中含18%-25%的玻璃珠，施工时涂布涂层后立即将玻璃珠撒布在其表面</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61"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常温普通型  厚度0.12-0.2mm面积长*宽/2，涂料中不含玻璃珠，施工时也不撒布玻璃珠</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00"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常温反光型  厚度0.12-0.2mm面积长*宽/2，涂料中不含玻璃珠，施工时涂布涂层后立即将玻璃珠撒布在其表面</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20" w:hRule="atLeast"/>
        </w:trPr>
        <w:tc>
          <w:tcPr>
            <w:tcW w:w="48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26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导流线</w:t>
            </w:r>
          </w:p>
        </w:tc>
        <w:tc>
          <w:tcPr>
            <w:tcW w:w="2680" w:type="dxa"/>
            <w:gridSpan w:val="2"/>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标线标准：GB5768.3-2009               材料标准：JT/T280-2004              标线质量：GB/T16311-2009      </w:t>
            </w: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热熔普通型  厚度1.5-2mm 面积/2，涂料中不含玻璃珠，施工时也不撒布玻璃珠</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00"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热熔反光型  厚度1.5-2mm 面积/2，涂料中含18%-25%的玻璃珠，施工时涂布涂层后立即将玻璃珠撒布在其表面</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01"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常温普通型  厚度0.12-0.2mm面积/2，涂料中不含玻璃珠，施工时也不撒布玻璃珠</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59"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vMerge w:val="continue"/>
          </w:tcPr>
          <w:p>
            <w:pPr>
              <w:widowControl/>
              <w:jc w:val="left"/>
              <w:rPr>
                <w:rFonts w:ascii="宋体" w:hAnsi="宋体" w:eastAsia="宋体" w:cs="宋体"/>
                <w:color w:val="000000"/>
                <w:kern w:val="0"/>
                <w:sz w:val="20"/>
                <w:szCs w:val="20"/>
              </w:rPr>
            </w:pP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常温反光型  厚度0.12-0.2mm面积/2，涂料中不含玻璃珠，施工时涂布涂层后立即将玻璃珠撒布在其表面</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39" w:hRule="atLeast"/>
        </w:trPr>
        <w:tc>
          <w:tcPr>
            <w:tcW w:w="48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26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方标志牌</w:t>
            </w:r>
          </w:p>
        </w:tc>
        <w:tc>
          <w:tcPr>
            <w:tcW w:w="268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2平方米以上标志</w:t>
            </w: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IV类反光膜           铝板厚度2mm 含滑动槽铝、螺栓、抱箍、安装费用等</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61"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268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2平方米以下标志</w:t>
            </w: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IV类反光膜           铝板厚度1.5mm 含滑动槽铝、螺栓、抱箍、安装费用等</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79"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26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三角形标志</w:t>
            </w:r>
          </w:p>
        </w:tc>
        <w:tc>
          <w:tcPr>
            <w:tcW w:w="268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边长1.1米以下</w:t>
            </w: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IV类反光膜           铝板厚度1.5mm 含滑动槽铝、螺栓、抱箍、安装费用等</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块</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40"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26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圆形标志</w:t>
            </w:r>
          </w:p>
        </w:tc>
        <w:tc>
          <w:tcPr>
            <w:tcW w:w="268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ø1米以下</w:t>
            </w: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IV类反光膜    铝板厚度1.5mm 含滑动槽铝、螺栓、抱箍、安装费用等</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块</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70"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26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太阳能自发光标志</w:t>
            </w:r>
          </w:p>
        </w:tc>
        <w:tc>
          <w:tcPr>
            <w:tcW w:w="268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按平方米计算</w:t>
            </w: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IV类反光膜铝板厚度1.5mm 含滑动槽铝、螺栓、抱箍、太阳能板、电池、主控板、防水设施、安装费用等</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840" w:type="dxa"/>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61"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26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检查站点标志</w:t>
            </w:r>
          </w:p>
        </w:tc>
        <w:tc>
          <w:tcPr>
            <w:tcW w:w="268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按平方米计算</w:t>
            </w: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IV类反光膜         铝板厚度1.5mm             Φ33钢管×3 镀锌二次喷涂，</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840" w:type="dxa"/>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19"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26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活动式标志牌</w:t>
            </w:r>
          </w:p>
        </w:tc>
        <w:tc>
          <w:tcPr>
            <w:tcW w:w="268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双面500×500mm  </w:t>
            </w:r>
          </w:p>
        </w:tc>
        <w:tc>
          <w:tcPr>
            <w:tcW w:w="264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IV类反光膜 Φ22管×4400      Φ60管×4×2000mm  镀锌二次喷涂 含安装费用</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00" w:hRule="atLeast"/>
        </w:trPr>
        <w:tc>
          <w:tcPr>
            <w:tcW w:w="480" w:type="dxa"/>
            <w:vMerge w:val="restart"/>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26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护栏端头警示柱</w:t>
            </w:r>
          </w:p>
        </w:tc>
        <w:tc>
          <w:tcPr>
            <w:tcW w:w="5320" w:type="dxa"/>
            <w:gridSpan w:val="3"/>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IV类反光膜立柱Φ165×5×1000方管80×60×3.5×900连接钢板 170*220 *10*2膨胀丝 法兰Φ380×1/2×15热镀锌二次喷涂、（含安装费）</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trPr>
        <w:tc>
          <w:tcPr>
            <w:tcW w:w="480" w:type="dxa"/>
            <w:vMerge w:val="continue"/>
          </w:tcPr>
          <w:p>
            <w:pPr>
              <w:widowControl/>
              <w:jc w:val="left"/>
              <w:rPr>
                <w:rFonts w:ascii="宋体" w:hAnsi="宋体" w:eastAsia="宋体" w:cs="宋体"/>
                <w:color w:val="000000"/>
                <w:kern w:val="0"/>
                <w:sz w:val="18"/>
                <w:szCs w:val="18"/>
              </w:rPr>
            </w:pPr>
          </w:p>
        </w:tc>
        <w:tc>
          <w:tcPr>
            <w:tcW w:w="1260" w:type="dxa"/>
            <w:vMerge w:val="continue"/>
          </w:tcPr>
          <w:p>
            <w:pPr>
              <w:widowControl/>
              <w:jc w:val="left"/>
              <w:rPr>
                <w:rFonts w:ascii="宋体" w:hAnsi="宋体" w:eastAsia="宋体" w:cs="宋体"/>
                <w:color w:val="000000"/>
                <w:kern w:val="0"/>
                <w:sz w:val="20"/>
                <w:szCs w:val="20"/>
              </w:rPr>
            </w:pPr>
          </w:p>
        </w:tc>
        <w:tc>
          <w:tcPr>
            <w:tcW w:w="5320" w:type="dxa"/>
            <w:gridSpan w:val="3"/>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配套800mm高京式护栏（含安装费）</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39"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26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标柱</w:t>
            </w:r>
          </w:p>
        </w:tc>
        <w:tc>
          <w:tcPr>
            <w:tcW w:w="5320" w:type="dxa"/>
            <w:gridSpan w:val="3"/>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Φ89×1200×5热镀锌二次喷涂                              GB/T-18833（上80CM下埋40CM）含取孔、螺栓、安装费等</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根</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0"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26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标柱维护更新</w:t>
            </w:r>
          </w:p>
        </w:tc>
        <w:tc>
          <w:tcPr>
            <w:tcW w:w="5320" w:type="dxa"/>
            <w:gridSpan w:val="3"/>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贴IV类0.3平方米反光膜 GB/T-18833</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根</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26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防撞桶维护更新</w:t>
            </w:r>
          </w:p>
        </w:tc>
        <w:tc>
          <w:tcPr>
            <w:tcW w:w="5320" w:type="dxa"/>
            <w:gridSpan w:val="3"/>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贴IV类1.5平方米反光膜 GB/T-18833</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80"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26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橡胶减速带</w:t>
            </w:r>
          </w:p>
        </w:tc>
        <w:tc>
          <w:tcPr>
            <w:tcW w:w="5320" w:type="dxa"/>
            <w:gridSpan w:val="3"/>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500*350*50      1000*350*50          170*350*50    含螺栓、安装费等</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0"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26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锥形标</w:t>
            </w:r>
          </w:p>
        </w:tc>
        <w:tc>
          <w:tcPr>
            <w:tcW w:w="5320" w:type="dxa"/>
            <w:gridSpan w:val="3"/>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680*380*380     软橡胶        </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0"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126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路障</w:t>
            </w:r>
          </w:p>
        </w:tc>
        <w:tc>
          <w:tcPr>
            <w:tcW w:w="5320" w:type="dxa"/>
            <w:gridSpan w:val="3"/>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3*1.2米，IV类反光膜</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0"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126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路桩</w:t>
            </w:r>
          </w:p>
        </w:tc>
        <w:tc>
          <w:tcPr>
            <w:tcW w:w="5320" w:type="dxa"/>
            <w:gridSpan w:val="3"/>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ø219*1000*6mm不锈钢 内部砼浇筑 IV类反光膜</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根</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0"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126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防撞警示标</w:t>
            </w:r>
          </w:p>
        </w:tc>
        <w:tc>
          <w:tcPr>
            <w:tcW w:w="5320" w:type="dxa"/>
            <w:gridSpan w:val="3"/>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主体80*400*1200*8mm方管  底座400*380*15mm钢板+2个加筋钢板 IV类反光膜</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0" w:hRule="atLeast"/>
        </w:trPr>
        <w:tc>
          <w:tcPr>
            <w:tcW w:w="480" w:type="dxa"/>
          </w:tcPr>
          <w:p>
            <w:pPr>
              <w:widowControl/>
              <w:jc w:val="center"/>
              <w:rPr>
                <w:rFonts w:ascii="宋体" w:hAnsi="宋体" w:eastAsia="宋体" w:cs="宋体"/>
                <w:color w:val="000000"/>
                <w:kern w:val="0"/>
                <w:sz w:val="18"/>
                <w:szCs w:val="18"/>
              </w:rPr>
            </w:pPr>
          </w:p>
        </w:tc>
        <w:tc>
          <w:tcPr>
            <w:tcW w:w="126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标志杆</w:t>
            </w:r>
          </w:p>
        </w:tc>
        <w:tc>
          <w:tcPr>
            <w:tcW w:w="5320" w:type="dxa"/>
            <w:gridSpan w:val="3"/>
          </w:tcPr>
          <w:p>
            <w:pPr>
              <w:widowControl/>
              <w:jc w:val="center"/>
              <w:rPr>
                <w:rFonts w:ascii="宋体" w:hAnsi="宋体" w:eastAsia="宋体" w:cs="宋体"/>
                <w:color w:val="000000"/>
                <w:kern w:val="0"/>
                <w:sz w:val="20"/>
                <w:szCs w:val="20"/>
              </w:rPr>
            </w:pPr>
          </w:p>
        </w:tc>
        <w:tc>
          <w:tcPr>
            <w:tcW w:w="1000" w:type="dxa"/>
          </w:tcPr>
          <w:p>
            <w:pPr>
              <w:widowControl/>
              <w:jc w:val="center"/>
              <w:rPr>
                <w:rFonts w:ascii="宋体" w:hAnsi="宋体" w:eastAsia="宋体" w:cs="宋体"/>
                <w:color w:val="000000"/>
                <w:kern w:val="0"/>
                <w:sz w:val="20"/>
                <w:szCs w:val="20"/>
              </w:rPr>
            </w:pPr>
          </w:p>
        </w:tc>
        <w:tc>
          <w:tcPr>
            <w:tcW w:w="840" w:type="dxa"/>
          </w:tcPr>
          <w:p>
            <w:pPr>
              <w:widowControl/>
              <w:jc w:val="center"/>
              <w:rPr>
                <w:rFonts w:ascii="宋体" w:hAnsi="宋体" w:eastAsia="宋体" w:cs="宋体"/>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99"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260" w:type="dxa"/>
          </w:tcPr>
          <w:p>
            <w:pPr>
              <w:widowControl/>
              <w:jc w:val="center"/>
              <w:rPr>
                <w:rFonts w:ascii="宋体" w:hAnsi="宋体" w:eastAsia="宋体" w:cs="宋体"/>
                <w:color w:val="000000"/>
                <w:kern w:val="0"/>
                <w:sz w:val="20"/>
                <w:szCs w:val="20"/>
              </w:rPr>
            </w:pPr>
          </w:p>
        </w:tc>
        <w:tc>
          <w:tcPr>
            <w:tcW w:w="108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ø325杆   热镀锌  F型杆</w:t>
            </w:r>
          </w:p>
        </w:tc>
        <w:tc>
          <w:tcPr>
            <w:tcW w:w="424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立柱：厚12mm法兰700*700*20mm 横臂：考虑15-18平方米标志承风力（含法兰、螺栓、地笼、安装等）</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9"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260" w:type="dxa"/>
          </w:tcPr>
          <w:p>
            <w:pPr>
              <w:widowControl/>
              <w:jc w:val="center"/>
              <w:rPr>
                <w:rFonts w:ascii="宋体" w:hAnsi="宋体" w:eastAsia="宋体" w:cs="宋体"/>
                <w:color w:val="000000"/>
                <w:kern w:val="0"/>
                <w:sz w:val="20"/>
                <w:szCs w:val="20"/>
              </w:rPr>
            </w:pPr>
          </w:p>
        </w:tc>
        <w:tc>
          <w:tcPr>
            <w:tcW w:w="108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φ273杆   热镀锌   F型杆</w:t>
            </w:r>
          </w:p>
        </w:tc>
        <w:tc>
          <w:tcPr>
            <w:tcW w:w="424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立柱：厚12mm法兰550*550*20mm 横臂：考虑8-12平方米标志承风力（含法兰、螺栓、地笼、安装等）</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00"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260" w:type="dxa"/>
          </w:tcPr>
          <w:p>
            <w:pPr>
              <w:widowControl/>
              <w:jc w:val="center"/>
              <w:rPr>
                <w:rFonts w:ascii="宋体" w:hAnsi="宋体" w:eastAsia="宋体" w:cs="宋体"/>
                <w:color w:val="000000"/>
                <w:kern w:val="0"/>
                <w:sz w:val="20"/>
                <w:szCs w:val="20"/>
              </w:rPr>
            </w:pPr>
          </w:p>
        </w:tc>
        <w:tc>
          <w:tcPr>
            <w:tcW w:w="108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φ219杆  热镀锌   F型杆</w:t>
            </w:r>
          </w:p>
        </w:tc>
        <w:tc>
          <w:tcPr>
            <w:tcW w:w="424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立柱：厚10mm法兰500*500*20mm 横臂：考虑3-8平方米标志承风力（含法兰、螺栓、地笼、安装等）</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9"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1260" w:type="dxa"/>
          </w:tcPr>
          <w:p>
            <w:pPr>
              <w:widowControl/>
              <w:jc w:val="center"/>
              <w:rPr>
                <w:rFonts w:ascii="宋体" w:hAnsi="宋体" w:eastAsia="宋体" w:cs="宋体"/>
                <w:color w:val="000000"/>
                <w:kern w:val="0"/>
                <w:sz w:val="20"/>
                <w:szCs w:val="20"/>
              </w:rPr>
            </w:pPr>
          </w:p>
        </w:tc>
        <w:tc>
          <w:tcPr>
            <w:tcW w:w="108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φ165杆 热镀锌       F型杆</w:t>
            </w:r>
          </w:p>
        </w:tc>
        <w:tc>
          <w:tcPr>
            <w:tcW w:w="424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立柱：厚6mm 法兰500*500*20mm   横臂：考虑3平方米以下标志承风力（含法兰、螺栓、地笼、安装等）</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40"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1260" w:type="dxa"/>
          </w:tcPr>
          <w:p>
            <w:pPr>
              <w:widowControl/>
              <w:jc w:val="center"/>
              <w:rPr>
                <w:rFonts w:ascii="宋体" w:hAnsi="宋体" w:eastAsia="宋体" w:cs="宋体"/>
                <w:color w:val="000000"/>
                <w:kern w:val="0"/>
                <w:sz w:val="20"/>
                <w:szCs w:val="20"/>
              </w:rPr>
            </w:pPr>
          </w:p>
        </w:tc>
        <w:tc>
          <w:tcPr>
            <w:tcW w:w="108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φ140杆  热镀锌      F型杆</w:t>
            </w:r>
          </w:p>
        </w:tc>
        <w:tc>
          <w:tcPr>
            <w:tcW w:w="424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立柱：厚5mm 法兰ø450*20mm   横臂：考虑2平方米以下标志承风力（含法兰、螺栓、地笼、安装等）</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1"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260" w:type="dxa"/>
          </w:tcPr>
          <w:p>
            <w:pPr>
              <w:widowControl/>
              <w:jc w:val="center"/>
              <w:rPr>
                <w:rFonts w:ascii="宋体" w:hAnsi="宋体" w:eastAsia="宋体" w:cs="宋体"/>
                <w:color w:val="000000"/>
                <w:kern w:val="0"/>
                <w:sz w:val="20"/>
                <w:szCs w:val="20"/>
              </w:rPr>
            </w:pPr>
          </w:p>
        </w:tc>
        <w:tc>
          <w:tcPr>
            <w:tcW w:w="108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φ140杆  热镀锌</w:t>
            </w:r>
          </w:p>
        </w:tc>
        <w:tc>
          <w:tcPr>
            <w:tcW w:w="424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立柱：厚5mm 法兰ø450*20mm   （含螺栓、地笼、安装等）</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260" w:type="dxa"/>
          </w:tcPr>
          <w:p>
            <w:pPr>
              <w:widowControl/>
              <w:jc w:val="center"/>
              <w:rPr>
                <w:rFonts w:ascii="宋体" w:hAnsi="宋体" w:eastAsia="宋体" w:cs="宋体"/>
                <w:color w:val="000000"/>
                <w:kern w:val="0"/>
                <w:sz w:val="20"/>
                <w:szCs w:val="20"/>
              </w:rPr>
            </w:pPr>
          </w:p>
        </w:tc>
        <w:tc>
          <w:tcPr>
            <w:tcW w:w="108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φ114杆  热镀锌</w:t>
            </w:r>
          </w:p>
        </w:tc>
        <w:tc>
          <w:tcPr>
            <w:tcW w:w="424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立柱：厚4.5mm 法兰300*300*15mm （含螺栓、地笼、安装等）</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0"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1260" w:type="dxa"/>
          </w:tcPr>
          <w:p>
            <w:pPr>
              <w:widowControl/>
              <w:jc w:val="center"/>
              <w:rPr>
                <w:rFonts w:ascii="宋体" w:hAnsi="宋体" w:eastAsia="宋体" w:cs="宋体"/>
                <w:color w:val="000000"/>
                <w:kern w:val="0"/>
                <w:sz w:val="20"/>
                <w:szCs w:val="20"/>
              </w:rPr>
            </w:pPr>
          </w:p>
        </w:tc>
        <w:tc>
          <w:tcPr>
            <w:tcW w:w="108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φ89杆 热镀锌</w:t>
            </w:r>
          </w:p>
        </w:tc>
        <w:tc>
          <w:tcPr>
            <w:tcW w:w="424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立柱：厚4.5mm（含地笼、安装等）</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trPr>
        <w:tc>
          <w:tcPr>
            <w:tcW w:w="480" w:type="dxa"/>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1260" w:type="dxa"/>
          </w:tcPr>
          <w:p>
            <w:pPr>
              <w:widowControl/>
              <w:jc w:val="center"/>
              <w:rPr>
                <w:rFonts w:ascii="宋体" w:hAnsi="宋体" w:eastAsia="宋体" w:cs="宋体"/>
                <w:color w:val="000000"/>
                <w:kern w:val="0"/>
                <w:sz w:val="20"/>
                <w:szCs w:val="20"/>
              </w:rPr>
            </w:pPr>
          </w:p>
        </w:tc>
        <w:tc>
          <w:tcPr>
            <w:tcW w:w="108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φ75杆 热镀锌</w:t>
            </w:r>
          </w:p>
        </w:tc>
        <w:tc>
          <w:tcPr>
            <w:tcW w:w="424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立柱：厚4mm（含地笼、安装等）</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0" w:hRule="atLeast"/>
        </w:trPr>
        <w:tc>
          <w:tcPr>
            <w:tcW w:w="48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26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标志基础</w:t>
            </w:r>
          </w:p>
        </w:tc>
        <w:tc>
          <w:tcPr>
            <w:tcW w:w="108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1立方以上基础</w:t>
            </w:r>
          </w:p>
        </w:tc>
        <w:tc>
          <w:tcPr>
            <w:tcW w:w="424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C30混凝土 （含挖坑、预制、路面恢复、垃圾清运)</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立方</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108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1立方以下基础</w:t>
            </w:r>
          </w:p>
        </w:tc>
        <w:tc>
          <w:tcPr>
            <w:tcW w:w="4240" w:type="dxa"/>
            <w:gridSpan w:val="2"/>
          </w:tcPr>
          <w:p>
            <w:pPr>
              <w:widowControl/>
              <w:jc w:val="left"/>
              <w:rPr>
                <w:rFonts w:ascii="宋体" w:hAnsi="宋体" w:eastAsia="宋体" w:cs="宋体"/>
                <w:color w:val="000000"/>
                <w:kern w:val="0"/>
                <w:sz w:val="20"/>
                <w:szCs w:val="20"/>
              </w:rPr>
            </w:pP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立方</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1" w:hRule="atLeast"/>
        </w:trPr>
        <w:tc>
          <w:tcPr>
            <w:tcW w:w="48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26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标志牌翻新覆膜</w:t>
            </w:r>
          </w:p>
        </w:tc>
        <w:tc>
          <w:tcPr>
            <w:tcW w:w="108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IV类光膜</w:t>
            </w:r>
          </w:p>
        </w:tc>
        <w:tc>
          <w:tcPr>
            <w:tcW w:w="424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按照实际平方米计算、含高空拆卸安装费用</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trPr>
        <w:tc>
          <w:tcPr>
            <w:tcW w:w="48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126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信号灯杆及标志牌杆   更新</w:t>
            </w:r>
          </w:p>
        </w:tc>
        <w:tc>
          <w:tcPr>
            <w:tcW w:w="108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喷漆、F型杆</w:t>
            </w:r>
          </w:p>
        </w:tc>
        <w:tc>
          <w:tcPr>
            <w:tcW w:w="4240" w:type="dxa"/>
            <w:gridSpan w:val="2"/>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含高空作业费、对空损耗等费用</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1080"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喷漆、立柱型杆</w:t>
            </w:r>
          </w:p>
        </w:tc>
        <w:tc>
          <w:tcPr>
            <w:tcW w:w="4240" w:type="dxa"/>
            <w:gridSpan w:val="2"/>
          </w:tcPr>
          <w:p>
            <w:pPr>
              <w:widowControl/>
              <w:jc w:val="left"/>
              <w:rPr>
                <w:rFonts w:ascii="宋体" w:hAnsi="宋体" w:eastAsia="宋体" w:cs="宋体"/>
                <w:color w:val="000000"/>
                <w:kern w:val="0"/>
                <w:sz w:val="20"/>
                <w:szCs w:val="20"/>
              </w:rPr>
            </w:pP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0" w:hRule="atLeast"/>
        </w:trPr>
        <w:tc>
          <w:tcPr>
            <w:tcW w:w="48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126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不锈钢复合管护栏</w:t>
            </w:r>
          </w:p>
        </w:tc>
        <w:tc>
          <w:tcPr>
            <w:tcW w:w="1080" w:type="dxa"/>
          </w:tcPr>
          <w:p>
            <w:pPr>
              <w:widowControl/>
              <w:jc w:val="left"/>
              <w:rPr>
                <w:rFonts w:ascii="宋体" w:hAnsi="宋体" w:eastAsia="宋体" w:cs="宋体"/>
                <w:color w:val="000000"/>
                <w:kern w:val="0"/>
                <w:sz w:val="20"/>
                <w:szCs w:val="20"/>
              </w:rPr>
            </w:pPr>
          </w:p>
        </w:tc>
        <w:tc>
          <w:tcPr>
            <w:tcW w:w="4240" w:type="dxa"/>
            <w:gridSpan w:val="2"/>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不锈钢材质 长3米 高0.8米上横单ø89*2.5下横单ø63.5*2.0含底座、安装</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1260" w:type="dxa"/>
            <w:vMerge w:val="restar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京式护栏</w:t>
            </w:r>
          </w:p>
        </w:tc>
        <w:tc>
          <w:tcPr>
            <w:tcW w:w="1080" w:type="dxa"/>
          </w:tcPr>
          <w:p>
            <w:pPr>
              <w:widowControl/>
              <w:jc w:val="center"/>
              <w:rPr>
                <w:rFonts w:ascii="宋体" w:hAnsi="宋体" w:eastAsia="宋体" w:cs="宋体"/>
                <w:color w:val="000000"/>
                <w:kern w:val="0"/>
                <w:sz w:val="24"/>
                <w:szCs w:val="24"/>
              </w:rPr>
            </w:pPr>
          </w:p>
        </w:tc>
        <w:tc>
          <w:tcPr>
            <w:tcW w:w="4240" w:type="dxa"/>
            <w:gridSpan w:val="2"/>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长3米高1.15米 白色镀锌静电喷涂 含底座、安装</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vMerge w:val="continue"/>
          </w:tcPr>
          <w:p>
            <w:pPr>
              <w:widowControl/>
              <w:jc w:val="left"/>
              <w:rPr>
                <w:rFonts w:ascii="宋体" w:hAnsi="宋体" w:eastAsia="宋体" w:cs="宋体"/>
                <w:color w:val="000000"/>
                <w:kern w:val="0"/>
                <w:sz w:val="20"/>
                <w:szCs w:val="20"/>
              </w:rPr>
            </w:pPr>
          </w:p>
        </w:tc>
        <w:tc>
          <w:tcPr>
            <w:tcW w:w="1260" w:type="dxa"/>
            <w:vMerge w:val="continue"/>
          </w:tcPr>
          <w:p>
            <w:pPr>
              <w:widowControl/>
              <w:jc w:val="left"/>
              <w:rPr>
                <w:rFonts w:ascii="宋体" w:hAnsi="宋体" w:eastAsia="宋体" w:cs="宋体"/>
                <w:color w:val="000000"/>
                <w:kern w:val="0"/>
                <w:sz w:val="20"/>
                <w:szCs w:val="20"/>
              </w:rPr>
            </w:pPr>
          </w:p>
        </w:tc>
        <w:tc>
          <w:tcPr>
            <w:tcW w:w="1080" w:type="dxa"/>
          </w:tcPr>
          <w:p>
            <w:pPr>
              <w:widowControl/>
              <w:jc w:val="center"/>
              <w:rPr>
                <w:rFonts w:ascii="宋体" w:hAnsi="宋体" w:eastAsia="宋体" w:cs="宋体"/>
                <w:color w:val="000000"/>
                <w:kern w:val="0"/>
                <w:sz w:val="24"/>
                <w:szCs w:val="24"/>
              </w:rPr>
            </w:pPr>
          </w:p>
        </w:tc>
        <w:tc>
          <w:tcPr>
            <w:tcW w:w="4240" w:type="dxa"/>
            <w:gridSpan w:val="2"/>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长3米高0.8米 白色镀锌静电喷涂 含底座、安装</w:t>
            </w:r>
          </w:p>
        </w:tc>
        <w:tc>
          <w:tcPr>
            <w:tcW w:w="100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840" w:type="dxa"/>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vMerge w:val="restart"/>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39</w:t>
            </w:r>
          </w:p>
        </w:tc>
        <w:tc>
          <w:tcPr>
            <w:tcW w:w="1260" w:type="dxa"/>
            <w:vMerge w:val="restart"/>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信号灯</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JD400-3*3  三联体机动车道灯  国标</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vMerge w:val="continue"/>
          </w:tcPr>
          <w:p>
            <w:pPr>
              <w:widowControl/>
              <w:jc w:val="left"/>
              <w:rPr>
                <w:rFonts w:ascii="宋体" w:hAnsi="宋体" w:eastAsia="宋体" w:cs="宋体"/>
                <w:kern w:val="0"/>
                <w:sz w:val="20"/>
                <w:szCs w:val="20"/>
              </w:rPr>
            </w:pPr>
          </w:p>
        </w:tc>
        <w:tc>
          <w:tcPr>
            <w:tcW w:w="1260" w:type="dxa"/>
            <w:vMerge w:val="continue"/>
          </w:tcPr>
          <w:p>
            <w:pPr>
              <w:widowControl/>
              <w:jc w:val="left"/>
              <w:rPr>
                <w:rFonts w:ascii="宋体" w:hAnsi="宋体" w:eastAsia="宋体" w:cs="宋体"/>
                <w:kern w:val="0"/>
                <w:sz w:val="20"/>
                <w:szCs w:val="20"/>
              </w:rPr>
            </w:pP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FX400-3*3  三联体方向指示灯  国标</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vMerge w:val="continue"/>
          </w:tcPr>
          <w:p>
            <w:pPr>
              <w:widowControl/>
              <w:jc w:val="left"/>
              <w:rPr>
                <w:rFonts w:ascii="宋体" w:hAnsi="宋体" w:eastAsia="宋体" w:cs="宋体"/>
                <w:kern w:val="0"/>
                <w:sz w:val="20"/>
                <w:szCs w:val="20"/>
              </w:rPr>
            </w:pPr>
          </w:p>
        </w:tc>
        <w:tc>
          <w:tcPr>
            <w:tcW w:w="1260" w:type="dxa"/>
            <w:vMerge w:val="continue"/>
          </w:tcPr>
          <w:p>
            <w:pPr>
              <w:widowControl/>
              <w:jc w:val="left"/>
              <w:rPr>
                <w:rFonts w:ascii="宋体" w:hAnsi="宋体" w:eastAsia="宋体" w:cs="宋体"/>
                <w:kern w:val="0"/>
                <w:sz w:val="20"/>
                <w:szCs w:val="20"/>
              </w:rPr>
            </w:pP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FJD400-3*3  三联体非机动车道灯  国标</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04"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步行灯</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RX400-3*2  方形或圆形  国标</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41</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倒计时</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LED三色   800*600*360  国标</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2" w:hRule="atLeast"/>
        </w:trPr>
        <w:tc>
          <w:tcPr>
            <w:tcW w:w="480" w:type="dxa"/>
            <w:vMerge w:val="restart"/>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42</w:t>
            </w:r>
          </w:p>
        </w:tc>
        <w:tc>
          <w:tcPr>
            <w:tcW w:w="1260" w:type="dxa"/>
            <w:vMerge w:val="restart"/>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方向灯板</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LED三色   400*400  国标</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2" w:hRule="atLeast"/>
        </w:trPr>
        <w:tc>
          <w:tcPr>
            <w:tcW w:w="480" w:type="dxa"/>
            <w:vMerge w:val="continue"/>
          </w:tcPr>
          <w:p>
            <w:pPr>
              <w:widowControl/>
              <w:jc w:val="left"/>
              <w:rPr>
                <w:rFonts w:ascii="宋体" w:hAnsi="宋体" w:eastAsia="宋体" w:cs="宋体"/>
                <w:kern w:val="0"/>
                <w:sz w:val="20"/>
                <w:szCs w:val="20"/>
              </w:rPr>
            </w:pPr>
          </w:p>
        </w:tc>
        <w:tc>
          <w:tcPr>
            <w:tcW w:w="1260" w:type="dxa"/>
            <w:vMerge w:val="continue"/>
          </w:tcPr>
          <w:p>
            <w:pPr>
              <w:widowControl/>
              <w:jc w:val="left"/>
              <w:rPr>
                <w:rFonts w:ascii="宋体" w:hAnsi="宋体" w:eastAsia="宋体" w:cs="宋体"/>
                <w:kern w:val="0"/>
                <w:sz w:val="20"/>
                <w:szCs w:val="20"/>
              </w:rPr>
            </w:pP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LED单色   400*400 国标</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vMerge w:val="restart"/>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43</w:t>
            </w:r>
          </w:p>
        </w:tc>
        <w:tc>
          <w:tcPr>
            <w:tcW w:w="1260" w:type="dxa"/>
            <w:vMerge w:val="restart"/>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机动车灯板</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LED三色   400*400  国标</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vMerge w:val="continue"/>
          </w:tcPr>
          <w:p>
            <w:pPr>
              <w:widowControl/>
              <w:jc w:val="left"/>
              <w:rPr>
                <w:rFonts w:ascii="宋体" w:hAnsi="宋体" w:eastAsia="宋体" w:cs="宋体"/>
                <w:kern w:val="0"/>
                <w:sz w:val="20"/>
                <w:szCs w:val="20"/>
              </w:rPr>
            </w:pPr>
          </w:p>
        </w:tc>
        <w:tc>
          <w:tcPr>
            <w:tcW w:w="1260" w:type="dxa"/>
            <w:vMerge w:val="continue"/>
          </w:tcPr>
          <w:p>
            <w:pPr>
              <w:widowControl/>
              <w:jc w:val="left"/>
              <w:rPr>
                <w:rFonts w:ascii="宋体" w:hAnsi="宋体" w:eastAsia="宋体" w:cs="宋体"/>
                <w:kern w:val="0"/>
                <w:sz w:val="20"/>
                <w:szCs w:val="20"/>
              </w:rPr>
            </w:pP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LED单色   400*400 国标</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vMerge w:val="restart"/>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44</w:t>
            </w:r>
          </w:p>
        </w:tc>
        <w:tc>
          <w:tcPr>
            <w:tcW w:w="1260" w:type="dxa"/>
            <w:vMerge w:val="restart"/>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人行灯双色板</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LED双色   400*400  国标</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vMerge w:val="continue"/>
          </w:tcPr>
          <w:p>
            <w:pPr>
              <w:widowControl/>
              <w:jc w:val="left"/>
              <w:rPr>
                <w:rFonts w:ascii="宋体" w:hAnsi="宋体" w:eastAsia="宋体" w:cs="宋体"/>
                <w:kern w:val="0"/>
                <w:sz w:val="20"/>
                <w:szCs w:val="20"/>
              </w:rPr>
            </w:pPr>
          </w:p>
        </w:tc>
        <w:tc>
          <w:tcPr>
            <w:tcW w:w="1260" w:type="dxa"/>
            <w:vMerge w:val="continue"/>
          </w:tcPr>
          <w:p>
            <w:pPr>
              <w:widowControl/>
              <w:jc w:val="left"/>
              <w:rPr>
                <w:rFonts w:ascii="宋体" w:hAnsi="宋体" w:eastAsia="宋体" w:cs="宋体"/>
                <w:kern w:val="0"/>
                <w:sz w:val="20"/>
                <w:szCs w:val="20"/>
              </w:rPr>
            </w:pP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LED单色   400*400 国标</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vMerge w:val="restart"/>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45</w:t>
            </w:r>
          </w:p>
        </w:tc>
        <w:tc>
          <w:tcPr>
            <w:tcW w:w="1260" w:type="dxa"/>
            <w:vMerge w:val="restart"/>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非机动车灯双色板</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LED三色   400*400  国标</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vMerge w:val="continue"/>
          </w:tcPr>
          <w:p>
            <w:pPr>
              <w:widowControl/>
              <w:jc w:val="left"/>
              <w:rPr>
                <w:rFonts w:ascii="宋体" w:hAnsi="宋体" w:eastAsia="宋体" w:cs="宋体"/>
                <w:kern w:val="0"/>
                <w:sz w:val="20"/>
                <w:szCs w:val="20"/>
              </w:rPr>
            </w:pPr>
          </w:p>
        </w:tc>
        <w:tc>
          <w:tcPr>
            <w:tcW w:w="1260" w:type="dxa"/>
            <w:vMerge w:val="continue"/>
          </w:tcPr>
          <w:p>
            <w:pPr>
              <w:widowControl/>
              <w:jc w:val="left"/>
              <w:rPr>
                <w:rFonts w:ascii="宋体" w:hAnsi="宋体" w:eastAsia="宋体" w:cs="宋体"/>
                <w:kern w:val="0"/>
                <w:sz w:val="20"/>
                <w:szCs w:val="20"/>
              </w:rPr>
            </w:pP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LED单色   400*400 国标</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46</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倒计时笔划条板</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230*40</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47</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倒计时笔划壳</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235*45</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48</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开关电源</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A-150-24V-6.5A</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49</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变压器</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32V 30W2A</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只</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倒计时主控板</w:t>
            </w:r>
          </w:p>
        </w:tc>
        <w:tc>
          <w:tcPr>
            <w:tcW w:w="10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232*142</w:t>
            </w:r>
          </w:p>
        </w:tc>
        <w:tc>
          <w:tcPr>
            <w:tcW w:w="16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640" w:type="dxa"/>
          </w:tcPr>
          <w:p>
            <w:pPr>
              <w:widowControl/>
              <w:jc w:val="left"/>
              <w:rPr>
                <w:rFonts w:ascii="宋体" w:hAnsi="宋体" w:eastAsia="宋体" w:cs="宋体"/>
                <w:kern w:val="0"/>
                <w:sz w:val="20"/>
                <w:szCs w:val="20"/>
              </w:rPr>
            </w:pPr>
            <w:r>
              <w:rPr>
                <w:rFonts w:hint="eastAsia" w:ascii="宋体" w:hAnsi="宋体" w:eastAsia="宋体" w:cs="宋体"/>
                <w:kern w:val="0"/>
                <w:sz w:val="20"/>
                <w:szCs w:val="20"/>
              </w:rPr>
              <w:t>DJS-ZK-1</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51</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输出硅板</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120*80</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52</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信号机主控板</w:t>
            </w:r>
          </w:p>
        </w:tc>
        <w:tc>
          <w:tcPr>
            <w:tcW w:w="10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220*120</w:t>
            </w:r>
          </w:p>
        </w:tc>
        <w:tc>
          <w:tcPr>
            <w:tcW w:w="16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640" w:type="dxa"/>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2-ZK  </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53</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信号机配件</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22L遥控型信号机主控板</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54</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信号机配件</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22L遥控型信号机输出硅电控制件</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55</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信号机配件</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22L遥控型信号机手持遥控器</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56</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信号机配件</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集中协调型信号机              手持遥控器</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57</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信号机配件</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集中协调型信号机                    CPU板</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58</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信号机配件</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集中协调型信号机                   主板</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59</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信号机配件</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集中协调型信号机               可控硅输出板</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电缆</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KVV22-19*1 铜线</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米</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61</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电缆</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KVV22-7*1 铜线</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米</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62</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电缆</w:t>
            </w:r>
          </w:p>
        </w:tc>
        <w:tc>
          <w:tcPr>
            <w:tcW w:w="10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双 地埋线</w:t>
            </w:r>
          </w:p>
        </w:tc>
        <w:tc>
          <w:tcPr>
            <w:tcW w:w="16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640" w:type="dxa"/>
          </w:tcPr>
          <w:p>
            <w:pPr>
              <w:widowControl/>
              <w:jc w:val="left"/>
              <w:rPr>
                <w:rFonts w:ascii="宋体" w:hAnsi="宋体" w:eastAsia="宋体" w:cs="宋体"/>
                <w:kern w:val="0"/>
                <w:sz w:val="20"/>
                <w:szCs w:val="20"/>
              </w:rPr>
            </w:pPr>
            <w:r>
              <w:rPr>
                <w:rFonts w:hint="eastAsia" w:ascii="宋体" w:hAnsi="宋体" w:eastAsia="宋体" w:cs="宋体"/>
                <w:kern w:val="0"/>
                <w:sz w:val="20"/>
                <w:szCs w:val="20"/>
              </w:rPr>
              <w:t>NLYV10*1</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米</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63</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电缆</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RVV-4*1 铜线</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米</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64</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太阳能电池</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按AH计算</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AH</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65</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盲人过街提醒器</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MRZ-T   规格200*120*80mm</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66</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爆闪灯</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4闪/2闪</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67</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信号机控制箱</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1100*540*450</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68</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八棱立杆/八棱横单</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热镀锌 立杆大头ø260mm小头ø230mm                                    按米数计算，含地笼、螺栓等附件</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米</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69</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人行灯灯杆</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ø114*3300*4 镀锌、二次喷涂（白色）含地笼、螺栓等附件</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68</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漏电断路器</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63A\100A</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69</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信号机</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多相控制</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70</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信号机</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22路遥控型</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71</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移动交通信号灯</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LED红黄绿三色圆灯</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72</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移动交通信号灯</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LED红黄绿三色分体  (遥控型液压升降）</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73</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太阳能板</w:t>
            </w:r>
          </w:p>
        </w:tc>
        <w:tc>
          <w:tcPr>
            <w:tcW w:w="5320" w:type="dxa"/>
            <w:gridSpan w:val="3"/>
          </w:tcPr>
          <w:p>
            <w:pPr>
              <w:widowControl/>
              <w:jc w:val="center"/>
              <w:rPr>
                <w:rFonts w:ascii="宋体" w:hAnsi="宋体" w:eastAsia="宋体" w:cs="宋体"/>
                <w:kern w:val="0"/>
                <w:sz w:val="20"/>
                <w:szCs w:val="20"/>
              </w:rPr>
            </w:pP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瓦</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74</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顶管</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ø60PE管</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米</w:t>
            </w:r>
          </w:p>
        </w:tc>
        <w:tc>
          <w:tcPr>
            <w:tcW w:w="840" w:type="dxa"/>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75</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路面开挖、修复</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含管线敷设、路面恢复、余土清运等</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米</w:t>
            </w:r>
          </w:p>
        </w:tc>
        <w:tc>
          <w:tcPr>
            <w:tcW w:w="840" w:type="dxa"/>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76</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手井</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600*600*600</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77</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LED显示屏</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按平方米计算</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平方米</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3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78</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黄闪灯SG400-3</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400*400</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0"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79</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信号灯机柜更新</w:t>
            </w:r>
          </w:p>
        </w:tc>
        <w:tc>
          <w:tcPr>
            <w:tcW w:w="5320" w:type="dxa"/>
            <w:gridSpan w:val="3"/>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2.6平方米油漆</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平方米</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48"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80</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协调控制式道路交通信号控制机</w:t>
            </w:r>
          </w:p>
        </w:tc>
        <w:tc>
          <w:tcPr>
            <w:tcW w:w="5320" w:type="dxa"/>
            <w:gridSpan w:val="3"/>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协调控制式、具有通讯功能（开放通讯协议） a.输出大于48路。b.控制精度：±50ms。c.控制方式：多相位多时段自动定时控制、手动相序控制、手动强制控制。d.自动运行方式：平日方式、节日方式、假日方式、临时方式。e.时段：每天至少可定义10个控制时段。f.相位：至少6个以上控制相位。g.绿闪时间：0～9秒 h.黄灯时间：0～9秒 i.绿闪频率：0.5～5次/秒 j.黄闪频率：0.5～5次/秒 k.电源电压：AC175V—265V l.环境温度：-40℃～+75℃  m.通讯功能：可通过RJ45通讯接口与上位控制计算机通讯，信号机能够接受指令，并按照指令运行；至少提供二个EIA RS-232C(DB-9)和一个10/100 BASE-T Ethernet以太网接口（RJ-45）通讯接口 </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0"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81</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清洗护栏服务费</w:t>
            </w:r>
          </w:p>
        </w:tc>
        <w:tc>
          <w:tcPr>
            <w:tcW w:w="5320" w:type="dxa"/>
            <w:gridSpan w:val="3"/>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1、为护栏清洗车提供司机  2、在清洗护栏中提供安全保障、加水、加洗洁精、死角人工清理服务</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辆/年</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08"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82</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设施巡查维修服务</w:t>
            </w:r>
          </w:p>
        </w:tc>
        <w:tc>
          <w:tcPr>
            <w:tcW w:w="5320" w:type="dxa"/>
            <w:gridSpan w:val="3"/>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1、2车/6人/24小时巡查值班； 2、对信号灯、护栏及交通标志、窨井盖等设施一般类损坏及故障1小时内维修完毕(换件另计)；3、为辖区护栏及附属设施提供检修、校直服务；4、清理管辖交通设施小广告服务；</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9"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83</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交通护栏底座</w:t>
            </w:r>
          </w:p>
        </w:tc>
        <w:tc>
          <w:tcPr>
            <w:tcW w:w="5320" w:type="dxa"/>
            <w:gridSpan w:val="3"/>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交通护栏底座350*450*200mm，重量大于45公斤</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60"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84</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礼让斑马线卡通提示牌</w:t>
            </w:r>
          </w:p>
        </w:tc>
        <w:tc>
          <w:tcPr>
            <w:tcW w:w="5320" w:type="dxa"/>
            <w:gridSpan w:val="3"/>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镀锌板：厚度0.35mm 1000*850*32mm 工艺：激光切割、车级金属烤漆、画面UV平板双面打印                            立柱：矩形管50*30mm 高度1400mm 离地400mm 工艺：车用金属烤漆、立柱接口参考底座预留</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68"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85</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轮廓标形反光膜</w:t>
            </w:r>
          </w:p>
        </w:tc>
        <w:tc>
          <w:tcPr>
            <w:tcW w:w="5320" w:type="dxa"/>
            <w:gridSpan w:val="3"/>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IV类反光膜，30*180mm</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条</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4" w:hRule="atLeast"/>
        </w:trPr>
        <w:tc>
          <w:tcPr>
            <w:tcW w:w="48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86</w:t>
            </w:r>
          </w:p>
        </w:tc>
        <w:tc>
          <w:tcPr>
            <w:tcW w:w="126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迁移京式护栏</w:t>
            </w:r>
          </w:p>
        </w:tc>
        <w:tc>
          <w:tcPr>
            <w:tcW w:w="5320" w:type="dxa"/>
            <w:gridSpan w:val="3"/>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包含京式护栏的拆除、运输及安装</w:t>
            </w:r>
          </w:p>
        </w:tc>
        <w:tc>
          <w:tcPr>
            <w:tcW w:w="100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米</w:t>
            </w:r>
          </w:p>
        </w:tc>
        <w:tc>
          <w:tcPr>
            <w:tcW w:w="840" w:type="dxa"/>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bl>
    <w:p>
      <w:pPr>
        <w:widowControl/>
        <w:shd w:val="clear" w:color="auto" w:fill="FFFFFF"/>
        <w:spacing w:line="360" w:lineRule="atLeast"/>
        <w:ind w:firstLine="600"/>
        <w:jc w:val="left"/>
        <w:rPr>
          <w:rFonts w:ascii="仿宋" w:hAnsi="仿宋" w:eastAsia="仿宋" w:cs="Arial"/>
          <w:color w:val="000000"/>
          <w:kern w:val="0"/>
          <w:sz w:val="30"/>
          <w:szCs w:val="30"/>
          <w:shd w:val="clear" w:color="auto" w:fill="FFFFFF"/>
        </w:rPr>
      </w:pPr>
      <w:r>
        <w:rPr>
          <w:rFonts w:hint="eastAsia" w:ascii="仿宋" w:hAnsi="仿宋" w:eastAsia="仿宋" w:cs="Arial"/>
          <w:color w:val="000000"/>
          <w:kern w:val="0"/>
          <w:sz w:val="30"/>
          <w:szCs w:val="30"/>
          <w:shd w:val="clear" w:color="auto" w:fill="FFFFFF"/>
        </w:rPr>
        <w:t>（三）采购标的执行标准</w:t>
      </w:r>
    </w:p>
    <w:p>
      <w:pPr>
        <w:widowControl/>
        <w:shd w:val="clear" w:color="auto" w:fill="FFFFFF"/>
        <w:spacing w:line="360" w:lineRule="atLeast"/>
        <w:ind w:firstLine="600"/>
        <w:jc w:val="left"/>
        <w:rPr>
          <w:rFonts w:ascii="仿宋" w:hAnsi="仿宋" w:eastAsia="仿宋" w:cs="Arial"/>
          <w:color w:val="000000"/>
          <w:kern w:val="0"/>
          <w:sz w:val="30"/>
          <w:szCs w:val="30"/>
          <w:shd w:val="clear" w:color="auto" w:fill="FFFFFF"/>
        </w:rPr>
      </w:pPr>
      <w:r>
        <w:rPr>
          <w:rFonts w:hint="eastAsia" w:ascii="仿宋" w:hAnsi="仿宋" w:eastAsia="仿宋" w:cs="Arial"/>
          <w:color w:val="000000"/>
          <w:kern w:val="0"/>
          <w:sz w:val="30"/>
          <w:szCs w:val="30"/>
          <w:shd w:val="clear" w:color="auto" w:fill="FFFFFF"/>
        </w:rPr>
        <w:t>交通标线执行以下标准：标线标准：GB5768.3-2012、材料标准：JT/T280-2004、标线质量：GB/T16311-2009</w:t>
      </w:r>
    </w:p>
    <w:p>
      <w:pPr>
        <w:widowControl/>
        <w:shd w:val="clear" w:color="auto" w:fill="FFFFFF"/>
        <w:spacing w:line="360" w:lineRule="atLeast"/>
        <w:ind w:firstLine="600"/>
        <w:jc w:val="left"/>
        <w:rPr>
          <w:rFonts w:ascii="仿宋" w:hAnsi="仿宋" w:eastAsia="仿宋" w:cs="Arial"/>
          <w:color w:val="000000"/>
          <w:kern w:val="0"/>
          <w:sz w:val="30"/>
          <w:szCs w:val="30"/>
          <w:shd w:val="clear" w:color="auto" w:fill="FFFFFF"/>
        </w:rPr>
      </w:pPr>
      <w:r>
        <w:rPr>
          <w:rFonts w:hint="eastAsia" w:ascii="仿宋" w:hAnsi="仿宋" w:eastAsia="仿宋" w:cs="Arial"/>
          <w:color w:val="000000"/>
          <w:kern w:val="0"/>
          <w:sz w:val="30"/>
          <w:szCs w:val="30"/>
          <w:shd w:val="clear" w:color="auto" w:fill="FFFFFF"/>
        </w:rPr>
        <w:t>交通标志执行以下标准：GB51038-2015、GB/T 18833-2012、GB5768.2-2012</w:t>
      </w:r>
    </w:p>
    <w:p>
      <w:pPr>
        <w:pStyle w:val="3"/>
        <w:shd w:val="clear" w:color="auto" w:fill="FFFFFF"/>
        <w:spacing w:before="120" w:after="120" w:line="348" w:lineRule="atLeast"/>
        <w:ind w:firstLine="600" w:firstLineChars="200"/>
        <w:rPr>
          <w:rFonts w:ascii="微软雅黑" w:hAnsi="微软雅黑" w:eastAsia="微软雅黑"/>
          <w:color w:val="333333"/>
          <w:sz w:val="19"/>
          <w:szCs w:val="19"/>
        </w:rPr>
      </w:pPr>
      <w:r>
        <w:rPr>
          <w:rFonts w:hint="eastAsia" w:ascii="仿宋" w:hAnsi="仿宋" w:eastAsia="仿宋" w:cs="Arial"/>
          <w:color w:val="000000"/>
          <w:sz w:val="30"/>
          <w:szCs w:val="30"/>
          <w:shd w:val="clear" w:color="auto" w:fill="FFFFFF"/>
        </w:rPr>
        <w:t>交通信号灯执行以下标准：GB14887-2016、GB14886-2016、</w:t>
      </w:r>
      <w:r>
        <w:rPr>
          <w:rFonts w:ascii="仿宋" w:hAnsi="仿宋" w:eastAsia="仿宋"/>
          <w:color w:val="000000"/>
          <w:sz w:val="30"/>
          <w:szCs w:val="30"/>
        </w:rPr>
        <w:t>G</w:t>
      </w:r>
      <w:r>
        <w:rPr>
          <w:rFonts w:ascii="仿宋" w:hAnsi="仿宋" w:eastAsia="仿宋" w:cs="Arial"/>
          <w:color w:val="000000"/>
          <w:sz w:val="30"/>
          <w:szCs w:val="30"/>
          <w:shd w:val="clear" w:color="auto" w:fill="FFFFFF"/>
        </w:rPr>
        <w:t>AT508-2014</w:t>
      </w:r>
    </w:p>
    <w:p>
      <w:pPr>
        <w:widowControl/>
        <w:shd w:val="clear" w:color="auto" w:fill="FFFFFF"/>
        <w:spacing w:line="360" w:lineRule="atLeast"/>
        <w:ind w:firstLine="600"/>
        <w:jc w:val="left"/>
        <w:rPr>
          <w:rFonts w:ascii="仿宋" w:hAnsi="仿宋" w:eastAsia="仿宋" w:cs="Arial"/>
          <w:color w:val="000000"/>
          <w:kern w:val="0"/>
          <w:sz w:val="30"/>
          <w:szCs w:val="30"/>
          <w:shd w:val="clear" w:color="auto" w:fill="FFFFFF"/>
        </w:rPr>
      </w:pPr>
      <w:r>
        <w:rPr>
          <w:rFonts w:hint="eastAsia" w:ascii="仿宋" w:hAnsi="仿宋" w:eastAsia="仿宋" w:cs="Arial"/>
          <w:color w:val="000000"/>
          <w:kern w:val="0"/>
          <w:sz w:val="30"/>
          <w:szCs w:val="30"/>
          <w:shd w:val="clear" w:color="auto" w:fill="FFFFFF"/>
        </w:rPr>
        <w:t>（四）服务标准、期限、效率等要求</w:t>
      </w:r>
    </w:p>
    <w:p>
      <w:pPr>
        <w:widowControl/>
        <w:shd w:val="clear" w:color="auto" w:fill="FFFFFF"/>
        <w:spacing w:line="360" w:lineRule="atLeast"/>
        <w:ind w:firstLine="600"/>
        <w:jc w:val="left"/>
        <w:rPr>
          <w:rFonts w:ascii="仿宋" w:hAnsi="仿宋" w:eastAsia="仿宋" w:cs="Arial"/>
          <w:color w:val="000000"/>
          <w:kern w:val="0"/>
          <w:sz w:val="30"/>
          <w:szCs w:val="30"/>
          <w:shd w:val="clear" w:color="auto" w:fill="FFFFFF"/>
        </w:rPr>
      </w:pPr>
      <w:r>
        <w:rPr>
          <w:rFonts w:hint="eastAsia" w:ascii="仿宋" w:hAnsi="仿宋" w:eastAsia="仿宋" w:cs="Arial"/>
          <w:color w:val="000000"/>
          <w:kern w:val="0"/>
          <w:sz w:val="30"/>
          <w:szCs w:val="30"/>
          <w:shd w:val="clear" w:color="auto" w:fill="FFFFFF"/>
        </w:rPr>
        <w:t>一般性故障15分钟相应，1个小时内维修完毕。</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仿宋" w:hAnsi="仿宋" w:eastAsia="仿宋" w:cs="Arial"/>
          <w:color w:val="000000"/>
          <w:kern w:val="0"/>
          <w:sz w:val="30"/>
          <w:szCs w:val="30"/>
          <w:shd w:val="clear" w:color="auto" w:fill="FFFFFF"/>
        </w:rPr>
        <w:t>（五）验收标准</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仿宋" w:hAnsi="仿宋" w:eastAsia="仿宋" w:cs="Arial"/>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tLeast"/>
        <w:ind w:firstLine="600"/>
        <w:jc w:val="left"/>
        <w:rPr>
          <w:rFonts w:ascii="仿宋" w:hAnsi="仿宋" w:eastAsia="仿宋" w:cs="Arial"/>
          <w:color w:val="000000"/>
          <w:kern w:val="0"/>
          <w:sz w:val="30"/>
          <w:szCs w:val="30"/>
          <w:shd w:val="clear" w:color="auto" w:fill="FFFFFF"/>
        </w:rPr>
      </w:pPr>
      <w:r>
        <w:rPr>
          <w:rFonts w:hint="eastAsia" w:ascii="仿宋" w:hAnsi="仿宋" w:eastAsia="仿宋" w:cs="Arial"/>
          <w:color w:val="000000"/>
          <w:kern w:val="0"/>
          <w:sz w:val="30"/>
          <w:szCs w:val="30"/>
          <w:shd w:val="clear" w:color="auto" w:fill="FFFFFF"/>
        </w:rPr>
        <w:t>1、按照国家相关标准、行业标准、地方标准或者其他标准、规范验收；</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仿宋" w:hAnsi="仿宋" w:eastAsia="仿宋" w:cs="Arial"/>
          <w:color w:val="000000"/>
          <w:kern w:val="0"/>
          <w:sz w:val="30"/>
          <w:szCs w:val="30"/>
          <w:shd w:val="clear" w:color="auto" w:fill="FFFFFF"/>
        </w:rPr>
        <w:t>2、按照招标文件要求、投标文件响应和承诺验收；</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黑体" w:hAnsi="黑体" w:eastAsia="黑体" w:cs="Arial"/>
          <w:color w:val="000000"/>
          <w:kern w:val="0"/>
          <w:sz w:val="30"/>
          <w:szCs w:val="30"/>
          <w:shd w:val="clear" w:color="auto" w:fill="FFFFFF"/>
        </w:rPr>
        <w:t>五、评标方法和评标标准</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仿宋" w:hAnsi="仿宋" w:eastAsia="仿宋" w:cs="Arial"/>
          <w:color w:val="000000"/>
          <w:kern w:val="0"/>
          <w:sz w:val="30"/>
          <w:szCs w:val="30"/>
          <w:shd w:val="clear" w:color="auto" w:fill="FFFFFF"/>
        </w:rPr>
        <w:t>（一）评标方法：综合评分法</w:t>
      </w:r>
      <w:r>
        <w:rPr>
          <w:rFonts w:hint="eastAsia" w:ascii="楷体" w:hAnsi="楷体" w:eastAsia="楷体" w:cs="Arial"/>
          <w:color w:val="000000"/>
          <w:kern w:val="0"/>
          <w:sz w:val="28"/>
          <w:szCs w:val="28"/>
        </w:rPr>
        <w:t>√</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仿宋" w:hAnsi="仿宋" w:eastAsia="仿宋" w:cs="Arial"/>
          <w:color w:val="000000"/>
          <w:kern w:val="0"/>
          <w:sz w:val="30"/>
          <w:szCs w:val="30"/>
          <w:shd w:val="clear" w:color="auto" w:fill="FFFFFF"/>
        </w:rPr>
        <w:t>（二）综合评分法评标标准：</w:t>
      </w:r>
    </w:p>
    <w:tbl>
      <w:tblPr>
        <w:tblStyle w:val="7"/>
        <w:tblW w:w="8522" w:type="dxa"/>
        <w:tblInd w:w="0" w:type="dxa"/>
        <w:shd w:val="clear" w:color="auto" w:fill="FFFFFF"/>
        <w:tblLayout w:type="fixed"/>
        <w:tblCellMar>
          <w:top w:w="0" w:type="dxa"/>
          <w:left w:w="0" w:type="dxa"/>
          <w:bottom w:w="0" w:type="dxa"/>
          <w:right w:w="0" w:type="dxa"/>
        </w:tblCellMar>
      </w:tblPr>
      <w:tblGrid>
        <w:gridCol w:w="1365"/>
        <w:gridCol w:w="63"/>
        <w:gridCol w:w="63"/>
        <w:gridCol w:w="4868"/>
        <w:gridCol w:w="2163"/>
      </w:tblGrid>
      <w:tr>
        <w:tblPrEx>
          <w:shd w:val="clear" w:color="auto" w:fill="FFFFFF"/>
          <w:tblLayout w:type="fixed"/>
          <w:tblCellMar>
            <w:top w:w="0" w:type="dxa"/>
            <w:left w:w="0" w:type="dxa"/>
            <w:bottom w:w="0" w:type="dxa"/>
            <w:right w:w="0" w:type="dxa"/>
          </w:tblCellMar>
        </w:tblPrEx>
        <w:trPr>
          <w:trHeight w:val="1107" w:hRule="atLeast"/>
        </w:trPr>
        <w:tc>
          <w:tcPr>
            <w:tcW w:w="136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4"/>
                <w:szCs w:val="24"/>
              </w:rPr>
              <w:t>分值构成</w:t>
            </w:r>
          </w:p>
          <w:p>
            <w:pPr>
              <w:widowControl/>
              <w:spacing w:line="33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4"/>
                <w:szCs w:val="24"/>
              </w:rPr>
              <w:t>(总分100分)</w:t>
            </w:r>
          </w:p>
        </w:tc>
        <w:tc>
          <w:tcPr>
            <w:tcW w:w="7157"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ind w:firstLine="480" w:firstLineChars="200"/>
              <w:rPr>
                <w:rFonts w:ascii="宋体" w:hAnsi="宋体"/>
                <w:color w:val="000000"/>
                <w:sz w:val="24"/>
                <w:szCs w:val="24"/>
              </w:rPr>
            </w:pPr>
            <w:r>
              <w:rPr>
                <w:rFonts w:hint="eastAsia" w:ascii="宋体" w:hAnsi="宋体"/>
                <w:color w:val="000000"/>
                <w:sz w:val="24"/>
                <w:szCs w:val="24"/>
              </w:rPr>
              <w:t>价格分值：25分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商务部分：33分</w:t>
            </w:r>
          </w:p>
          <w:p>
            <w:pPr>
              <w:widowControl/>
              <w:spacing w:line="360" w:lineRule="atLeast"/>
              <w:ind w:firstLine="480"/>
              <w:rPr>
                <w:rFonts w:ascii="宋体" w:hAnsi="宋体" w:eastAsia="宋体" w:cs="宋体"/>
                <w:color w:val="000000"/>
                <w:kern w:val="0"/>
                <w:sz w:val="24"/>
                <w:szCs w:val="24"/>
              </w:rPr>
            </w:pPr>
            <w:r>
              <w:rPr>
                <w:rFonts w:hint="eastAsia" w:ascii="宋体" w:hAnsi="宋体"/>
                <w:color w:val="000000"/>
                <w:sz w:val="24"/>
                <w:szCs w:val="24"/>
              </w:rPr>
              <w:t>技术部分：4</w:t>
            </w:r>
            <w:r>
              <w:rPr>
                <w:rFonts w:hint="eastAsia" w:ascii="宋体" w:hAnsi="宋体"/>
                <w:color w:val="000000"/>
                <w:sz w:val="24"/>
                <w:szCs w:val="24"/>
                <w:lang w:val="en-US" w:eastAsia="zh-CN"/>
              </w:rPr>
              <w:t>2</w:t>
            </w:r>
            <w:r>
              <w:rPr>
                <w:rFonts w:hint="eastAsia" w:ascii="宋体" w:hAnsi="宋体"/>
                <w:color w:val="000000"/>
                <w:sz w:val="24"/>
                <w:szCs w:val="24"/>
              </w:rPr>
              <w:t>分</w:t>
            </w:r>
          </w:p>
        </w:tc>
      </w:tr>
      <w:tr>
        <w:tblPrEx>
          <w:tblLayout w:type="fixed"/>
          <w:tblCellMar>
            <w:top w:w="0" w:type="dxa"/>
            <w:left w:w="0" w:type="dxa"/>
            <w:bottom w:w="0" w:type="dxa"/>
            <w:right w:w="0" w:type="dxa"/>
          </w:tblCellMar>
        </w:tblPrEx>
        <w:trPr>
          <w:trHeight w:val="591" w:hRule="atLeast"/>
        </w:trPr>
        <w:tc>
          <w:tcPr>
            <w:tcW w:w="8522"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宋体"/>
                <w:b/>
                <w:bCs/>
                <w:color w:val="000000"/>
                <w:kern w:val="0"/>
                <w:sz w:val="24"/>
                <w:szCs w:val="24"/>
              </w:rPr>
              <w:t>一、价格部分（满分</w:t>
            </w:r>
            <w:r>
              <w:rPr>
                <w:rFonts w:hint="eastAsia" w:ascii="宋体" w:hAnsi="宋体" w:eastAsia="宋体" w:cs="宋体"/>
                <w:b/>
                <w:bCs/>
                <w:color w:val="000000"/>
                <w:kern w:val="0"/>
                <w:sz w:val="24"/>
                <w:szCs w:val="24"/>
              </w:rPr>
              <w:t>25</w:t>
            </w:r>
            <w:r>
              <w:rPr>
                <w:rFonts w:hint="eastAsia" w:ascii="仿宋" w:hAnsi="仿宋" w:eastAsia="仿宋" w:cs="宋体"/>
                <w:b/>
                <w:bCs/>
                <w:color w:val="000000"/>
                <w:kern w:val="0"/>
                <w:sz w:val="24"/>
                <w:szCs w:val="24"/>
              </w:rPr>
              <w:t>分）</w:t>
            </w:r>
          </w:p>
        </w:tc>
      </w:tr>
      <w:tr>
        <w:tblPrEx>
          <w:tblLayout w:type="fixed"/>
          <w:tblCellMar>
            <w:top w:w="0" w:type="dxa"/>
            <w:left w:w="0" w:type="dxa"/>
            <w:bottom w:w="0" w:type="dxa"/>
            <w:right w:w="0" w:type="dxa"/>
          </w:tblCellMar>
        </w:tblPrEx>
        <w:trPr>
          <w:trHeight w:val="591" w:hRule="atLeast"/>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宋体"/>
                <w:b/>
                <w:bCs/>
                <w:color w:val="000000"/>
                <w:kern w:val="0"/>
                <w:sz w:val="24"/>
                <w:szCs w:val="24"/>
              </w:rPr>
              <w:t>评分因素</w:t>
            </w:r>
          </w:p>
        </w:tc>
        <w:tc>
          <w:tcPr>
            <w:tcW w:w="493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宋体"/>
                <w:b/>
                <w:bCs/>
                <w:color w:val="000000"/>
                <w:kern w:val="0"/>
                <w:sz w:val="24"/>
                <w:szCs w:val="24"/>
              </w:rPr>
              <w:t>评分标准</w:t>
            </w:r>
          </w:p>
        </w:tc>
        <w:tc>
          <w:tcPr>
            <w:tcW w:w="21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宋体"/>
                <w:b/>
                <w:bCs/>
                <w:color w:val="000000"/>
                <w:kern w:val="0"/>
                <w:sz w:val="24"/>
                <w:szCs w:val="24"/>
              </w:rPr>
              <w:t>分值</w:t>
            </w:r>
          </w:p>
        </w:tc>
      </w:tr>
      <w:tr>
        <w:tblPrEx>
          <w:tblLayout w:type="fixed"/>
          <w:tblCellMar>
            <w:top w:w="0" w:type="dxa"/>
            <w:left w:w="0" w:type="dxa"/>
            <w:bottom w:w="0" w:type="dxa"/>
            <w:right w:w="0" w:type="dxa"/>
          </w:tblCellMar>
        </w:tblPrEx>
        <w:trPr>
          <w:trHeight w:val="90" w:hRule="atLeast"/>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4"/>
                <w:szCs w:val="24"/>
              </w:rPr>
              <w:t>投标报价</w:t>
            </w:r>
          </w:p>
          <w:p>
            <w:pPr>
              <w:widowControl/>
              <w:spacing w:line="9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4"/>
                <w:szCs w:val="24"/>
              </w:rPr>
              <w:t>评分标准</w:t>
            </w:r>
          </w:p>
        </w:tc>
        <w:tc>
          <w:tcPr>
            <w:tcW w:w="493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rPr>
                <w:rFonts w:ascii="宋体" w:hAnsi="宋体"/>
                <w:color w:val="000000"/>
                <w:sz w:val="24"/>
                <w:szCs w:val="24"/>
              </w:rPr>
            </w:pPr>
            <w:r>
              <w:rPr>
                <w:rFonts w:hint="eastAsia" w:ascii="宋体" w:hAnsi="宋体"/>
                <w:color w:val="000000"/>
                <w:sz w:val="24"/>
                <w:szCs w:val="24"/>
              </w:rPr>
              <w:t>评标基准价：满足招标文件要求的有效投标报价中，最低的投标报价为评标基准价。</w:t>
            </w:r>
          </w:p>
          <w:p>
            <w:pPr>
              <w:widowControl/>
              <w:spacing w:line="90" w:lineRule="atLeast"/>
              <w:jc w:val="left"/>
              <w:rPr>
                <w:rFonts w:ascii="宋体" w:hAnsi="宋体"/>
                <w:color w:val="000000"/>
                <w:sz w:val="24"/>
                <w:szCs w:val="24"/>
              </w:rPr>
            </w:pPr>
            <w:r>
              <w:rPr>
                <w:rFonts w:hint="eastAsia" w:ascii="宋体" w:hAnsi="宋体"/>
                <w:color w:val="000000"/>
                <w:sz w:val="24"/>
                <w:szCs w:val="24"/>
              </w:rPr>
              <w:t>投标报价得分=（评标基准价/投标报价）×25</w:t>
            </w:r>
          </w:p>
          <w:p>
            <w:pPr>
              <w:widowControl/>
              <w:spacing w:line="90" w:lineRule="atLeast"/>
              <w:jc w:val="left"/>
              <w:rPr>
                <w:rFonts w:ascii="宋体" w:hAnsi="宋体"/>
                <w:color w:val="000000"/>
                <w:sz w:val="24"/>
                <w:szCs w:val="24"/>
              </w:rPr>
            </w:pPr>
          </w:p>
          <w:p>
            <w:pPr>
              <w:widowControl/>
              <w:spacing w:line="90" w:lineRule="atLeast"/>
              <w:jc w:val="left"/>
              <w:rPr>
                <w:rFonts w:ascii="宋体" w:hAnsi="宋体" w:eastAsia="宋体" w:cs="宋体"/>
                <w:color w:val="000000"/>
                <w:kern w:val="0"/>
                <w:sz w:val="24"/>
                <w:szCs w:val="24"/>
              </w:rPr>
            </w:pPr>
          </w:p>
        </w:tc>
        <w:tc>
          <w:tcPr>
            <w:tcW w:w="21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9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r>
              <w:rPr>
                <w:rFonts w:hint="eastAsia" w:ascii="仿宋" w:hAnsi="仿宋" w:eastAsia="仿宋" w:cs="宋体"/>
                <w:color w:val="000000"/>
                <w:kern w:val="0"/>
                <w:sz w:val="24"/>
                <w:szCs w:val="24"/>
              </w:rPr>
              <w:t>分</w:t>
            </w:r>
          </w:p>
        </w:tc>
      </w:tr>
      <w:tr>
        <w:tblPrEx>
          <w:tblLayout w:type="fixed"/>
          <w:tblCellMar>
            <w:top w:w="0" w:type="dxa"/>
            <w:left w:w="0" w:type="dxa"/>
            <w:bottom w:w="0" w:type="dxa"/>
            <w:right w:w="0" w:type="dxa"/>
          </w:tblCellMar>
        </w:tblPrEx>
        <w:trPr>
          <w:trHeight w:val="591" w:hRule="atLeast"/>
        </w:trPr>
        <w:tc>
          <w:tcPr>
            <w:tcW w:w="8522" w:type="dxa"/>
            <w:gridSpan w:val="5"/>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宋体"/>
                <w:b/>
                <w:bCs/>
                <w:color w:val="000000"/>
                <w:kern w:val="0"/>
                <w:sz w:val="24"/>
                <w:szCs w:val="24"/>
              </w:rPr>
              <w:t>二、商务部分（满分</w:t>
            </w:r>
            <w:r>
              <w:rPr>
                <w:rFonts w:hint="eastAsia" w:ascii="宋体" w:hAnsi="宋体" w:eastAsia="宋体" w:cs="宋体"/>
                <w:b/>
                <w:bCs/>
                <w:color w:val="000000"/>
                <w:kern w:val="0"/>
                <w:sz w:val="24"/>
                <w:szCs w:val="24"/>
              </w:rPr>
              <w:t>33</w:t>
            </w:r>
            <w:r>
              <w:rPr>
                <w:rFonts w:hint="eastAsia" w:ascii="仿宋" w:hAnsi="仿宋" w:eastAsia="仿宋" w:cs="宋体"/>
                <w:b/>
                <w:bCs/>
                <w:color w:val="000000"/>
                <w:kern w:val="0"/>
                <w:sz w:val="24"/>
                <w:szCs w:val="24"/>
              </w:rPr>
              <w:t>分）</w:t>
            </w:r>
          </w:p>
        </w:tc>
      </w:tr>
      <w:tr>
        <w:tblPrEx>
          <w:tblLayout w:type="fixed"/>
          <w:tblCellMar>
            <w:top w:w="0" w:type="dxa"/>
            <w:left w:w="0" w:type="dxa"/>
            <w:bottom w:w="0" w:type="dxa"/>
            <w:right w:w="0" w:type="dxa"/>
          </w:tblCellMar>
        </w:tblPrEx>
        <w:trPr>
          <w:trHeight w:val="591" w:hRule="atLeast"/>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宋体"/>
                <w:b/>
                <w:bCs/>
                <w:color w:val="000000"/>
                <w:kern w:val="0"/>
                <w:sz w:val="24"/>
                <w:szCs w:val="24"/>
              </w:rPr>
              <w:t>评分因素</w:t>
            </w:r>
          </w:p>
        </w:tc>
        <w:tc>
          <w:tcPr>
            <w:tcW w:w="493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宋体"/>
                <w:b/>
                <w:bCs/>
                <w:color w:val="000000"/>
                <w:kern w:val="0"/>
                <w:sz w:val="24"/>
                <w:szCs w:val="24"/>
              </w:rPr>
              <w:t>评分标准</w:t>
            </w:r>
          </w:p>
        </w:tc>
        <w:tc>
          <w:tcPr>
            <w:tcW w:w="21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宋体"/>
                <w:b/>
                <w:bCs/>
                <w:color w:val="000000"/>
                <w:kern w:val="0"/>
                <w:sz w:val="24"/>
                <w:szCs w:val="24"/>
              </w:rPr>
              <w:t>分值</w:t>
            </w:r>
          </w:p>
        </w:tc>
      </w:tr>
      <w:tr>
        <w:tblPrEx>
          <w:tblLayout w:type="fixed"/>
          <w:tblCellMar>
            <w:top w:w="0" w:type="dxa"/>
            <w:left w:w="0" w:type="dxa"/>
            <w:bottom w:w="0" w:type="dxa"/>
            <w:right w:w="0" w:type="dxa"/>
          </w:tblCellMar>
        </w:tblPrEx>
        <w:trPr>
          <w:trHeight w:val="591" w:hRule="atLeast"/>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color w:val="000000"/>
                <w:sz w:val="24"/>
                <w:szCs w:val="24"/>
              </w:rPr>
            </w:pPr>
            <w:r>
              <w:rPr>
                <w:rFonts w:hint="eastAsia" w:ascii="宋体" w:hAnsi="宋体"/>
                <w:color w:val="000000"/>
                <w:sz w:val="24"/>
                <w:szCs w:val="24"/>
              </w:rPr>
              <w:t>业绩</w:t>
            </w:r>
          </w:p>
        </w:tc>
        <w:tc>
          <w:tcPr>
            <w:tcW w:w="493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ind w:firstLine="600" w:firstLineChars="250"/>
              <w:jc w:val="left"/>
              <w:rPr>
                <w:rFonts w:ascii="宋体" w:hAnsi="宋体"/>
                <w:color w:val="000000"/>
                <w:sz w:val="24"/>
                <w:szCs w:val="24"/>
              </w:rPr>
            </w:pPr>
          </w:p>
          <w:p>
            <w:pPr>
              <w:widowControl/>
              <w:spacing w:line="360" w:lineRule="atLeast"/>
              <w:ind w:firstLine="600" w:firstLineChars="250"/>
              <w:jc w:val="left"/>
              <w:rPr>
                <w:rFonts w:ascii="宋体" w:hAnsi="宋体"/>
                <w:color w:val="000000"/>
                <w:sz w:val="24"/>
                <w:szCs w:val="24"/>
              </w:rPr>
            </w:pPr>
            <w:r>
              <w:rPr>
                <w:rFonts w:hint="eastAsia" w:ascii="宋体" w:hAnsi="宋体"/>
                <w:color w:val="000000"/>
                <w:sz w:val="24"/>
                <w:szCs w:val="24"/>
              </w:rPr>
              <w:t>2015年1月1日以来具有类似交通护栏、标线、标志牌、信号灯、交通设施维护项目业绩，金额在200万以上，合同及中标通知书、网上中标公告截图、验收报告齐全的，每份得4分，最高12分。</w:t>
            </w:r>
          </w:p>
          <w:p>
            <w:pPr>
              <w:widowControl/>
              <w:spacing w:line="360" w:lineRule="atLeast"/>
              <w:ind w:firstLine="600" w:firstLineChars="250"/>
              <w:jc w:val="left"/>
              <w:rPr>
                <w:rFonts w:ascii="宋体" w:hAnsi="宋体"/>
                <w:color w:val="000000"/>
                <w:sz w:val="24"/>
                <w:szCs w:val="24"/>
              </w:rPr>
            </w:pPr>
          </w:p>
          <w:p>
            <w:pPr>
              <w:widowControl/>
              <w:spacing w:line="360" w:lineRule="atLeast"/>
              <w:ind w:firstLine="600" w:firstLineChars="250"/>
              <w:jc w:val="left"/>
              <w:rPr>
                <w:rFonts w:ascii="宋体" w:hAnsi="宋体" w:eastAsia="宋体" w:cs="宋体"/>
                <w:color w:val="000000"/>
                <w:kern w:val="0"/>
                <w:sz w:val="24"/>
                <w:szCs w:val="24"/>
              </w:rPr>
            </w:pPr>
          </w:p>
        </w:tc>
        <w:tc>
          <w:tcPr>
            <w:tcW w:w="21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r>
              <w:rPr>
                <w:rFonts w:hint="eastAsia" w:ascii="仿宋" w:hAnsi="仿宋" w:eastAsia="仿宋" w:cs="宋体"/>
                <w:color w:val="000000"/>
                <w:kern w:val="0"/>
                <w:sz w:val="24"/>
                <w:szCs w:val="24"/>
              </w:rPr>
              <w:t>分</w:t>
            </w:r>
          </w:p>
        </w:tc>
      </w:tr>
      <w:tr>
        <w:tblPrEx>
          <w:tblLayout w:type="fixed"/>
          <w:tblCellMar>
            <w:top w:w="0" w:type="dxa"/>
            <w:left w:w="0" w:type="dxa"/>
            <w:bottom w:w="0" w:type="dxa"/>
            <w:right w:w="0" w:type="dxa"/>
          </w:tblCellMar>
        </w:tblPrEx>
        <w:trPr>
          <w:trHeight w:val="591" w:hRule="atLeast"/>
        </w:trPr>
        <w:tc>
          <w:tcPr>
            <w:tcW w:w="1428" w:type="dxa"/>
            <w:gridSpan w:val="2"/>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cs="宋体"/>
                <w:color w:val="000000"/>
                <w:sz w:val="24"/>
                <w:szCs w:val="24"/>
              </w:rPr>
              <w:t>综合实力</w:t>
            </w:r>
          </w:p>
        </w:tc>
        <w:tc>
          <w:tcPr>
            <w:tcW w:w="4931" w:type="dxa"/>
            <w:gridSpan w:val="2"/>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投标人具有ISO9001质量管理体系认证证书且在有效期内的，得</w:t>
            </w:r>
            <w:r>
              <w:rPr>
                <w:rFonts w:hint="eastAsia" w:ascii="宋体" w:hAnsi="宋体"/>
                <w:color w:val="000000"/>
                <w:sz w:val="24"/>
                <w:szCs w:val="24"/>
              </w:rPr>
              <w:t>3</w:t>
            </w:r>
            <w:r>
              <w:rPr>
                <w:rFonts w:hint="eastAsia" w:ascii="宋体" w:hAnsi="宋体"/>
                <w:color w:val="000000"/>
                <w:sz w:val="24"/>
                <w:szCs w:val="24"/>
                <w:lang w:val="zh-CN"/>
              </w:rPr>
              <w:t>分。</w:t>
            </w:r>
          </w:p>
          <w:p>
            <w:pPr>
              <w:spacing w:line="360" w:lineRule="auto"/>
              <w:ind w:firstLine="480" w:firstLineChars="200"/>
              <w:rPr>
                <w:rFonts w:ascii="宋体" w:hAnsi="宋体"/>
                <w:color w:val="000000"/>
                <w:sz w:val="24"/>
                <w:szCs w:val="24"/>
                <w:lang w:val="zh-CN"/>
              </w:rPr>
            </w:pPr>
          </w:p>
        </w:tc>
        <w:tc>
          <w:tcPr>
            <w:tcW w:w="216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仿宋" w:hAnsi="仿宋" w:eastAsia="仿宋" w:cs="宋体"/>
                <w:color w:val="000000"/>
                <w:kern w:val="0"/>
                <w:sz w:val="24"/>
                <w:szCs w:val="24"/>
              </w:rPr>
              <w:t>分</w:t>
            </w:r>
          </w:p>
        </w:tc>
      </w:tr>
      <w:tr>
        <w:tblPrEx>
          <w:tblLayout w:type="fixed"/>
          <w:tblCellMar>
            <w:top w:w="0" w:type="dxa"/>
            <w:left w:w="0" w:type="dxa"/>
            <w:bottom w:w="0" w:type="dxa"/>
            <w:right w:w="0" w:type="dxa"/>
          </w:tblCellMar>
        </w:tblPrEx>
        <w:trPr>
          <w:trHeight w:val="591" w:hRule="atLeast"/>
        </w:trPr>
        <w:tc>
          <w:tcPr>
            <w:tcW w:w="1428" w:type="dxa"/>
            <w:gridSpan w:val="2"/>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售后服务</w:t>
            </w:r>
          </w:p>
          <w:p>
            <w:pPr>
              <w:widowControl/>
              <w:spacing w:line="330" w:lineRule="atLeast"/>
              <w:jc w:val="center"/>
              <w:rPr>
                <w:rFonts w:ascii="宋体" w:hAnsi="宋体" w:cs="宋体"/>
                <w:color w:val="000000"/>
                <w:sz w:val="24"/>
                <w:szCs w:val="24"/>
              </w:rPr>
            </w:pPr>
          </w:p>
        </w:tc>
        <w:tc>
          <w:tcPr>
            <w:tcW w:w="4931" w:type="dxa"/>
            <w:gridSpan w:val="2"/>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ind w:firstLine="360" w:firstLineChars="150"/>
              <w:rPr>
                <w:rFonts w:ascii="宋体" w:hAnsi="宋体" w:cs="宋体"/>
                <w:sz w:val="24"/>
              </w:rPr>
            </w:pPr>
          </w:p>
          <w:p>
            <w:pPr>
              <w:spacing w:line="360" w:lineRule="auto"/>
              <w:ind w:firstLine="360" w:firstLineChars="150"/>
              <w:rPr>
                <w:rFonts w:ascii="宋体" w:hAnsi="宋体" w:cs="宋体"/>
                <w:sz w:val="24"/>
              </w:rPr>
            </w:pPr>
            <w:r>
              <w:rPr>
                <w:rFonts w:hint="eastAsia" w:ascii="宋体" w:hAnsi="宋体" w:cs="宋体"/>
                <w:sz w:val="24"/>
              </w:rPr>
              <w:t>1、投标人承诺在许昌本地设置售后服务网点且承诺全天24小时提供巡查服务的得3分。</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2、针对投标人的售后服务方案，包含以下内容：</w:t>
            </w:r>
          </w:p>
          <w:p>
            <w:pPr>
              <w:wordWrap w:val="0"/>
              <w:spacing w:line="360" w:lineRule="auto"/>
              <w:ind w:firstLine="240" w:firstLineChars="100"/>
              <w:rPr>
                <w:rFonts w:ascii="宋体" w:hAnsi="宋体"/>
                <w:color w:val="000000"/>
                <w:sz w:val="24"/>
              </w:rPr>
            </w:pPr>
            <w:r>
              <w:rPr>
                <w:rFonts w:ascii="Calibri" w:hAnsi="Calibri" w:cs="Calibri"/>
                <w:color w:val="000000"/>
                <w:sz w:val="24"/>
                <w:szCs w:val="24"/>
              </w:rPr>
              <w:t>①</w:t>
            </w:r>
            <w:r>
              <w:rPr>
                <w:rFonts w:hint="eastAsia" w:ascii="宋体" w:hAnsi="宋体"/>
                <w:color w:val="000000"/>
                <w:sz w:val="24"/>
                <w:szCs w:val="24"/>
              </w:rPr>
              <w:t>售后服务承诺书</w:t>
            </w:r>
            <w:r>
              <w:rPr>
                <w:rFonts w:hint="eastAsia" w:ascii="宋体" w:hAnsi="宋体"/>
                <w:color w:val="000000"/>
                <w:sz w:val="24"/>
              </w:rPr>
              <w:t>（好得1分、</w:t>
            </w:r>
            <w:r>
              <w:rPr>
                <w:rFonts w:hint="eastAsia" w:ascii="宋体" w:hAnsi="宋体"/>
                <w:color w:val="000000"/>
                <w:sz w:val="24"/>
                <w:szCs w:val="24"/>
              </w:rPr>
              <w:t>有相关描述者得</w:t>
            </w:r>
            <w:r>
              <w:rPr>
                <w:rFonts w:hint="eastAsia" w:ascii="宋体" w:hAnsi="宋体"/>
                <w:color w:val="000000"/>
                <w:sz w:val="24"/>
              </w:rPr>
              <w:t>0.5分、</w:t>
            </w:r>
            <w:r>
              <w:rPr>
                <w:rFonts w:hint="eastAsia" w:ascii="宋体" w:hAnsi="宋体"/>
                <w:color w:val="000000"/>
                <w:sz w:val="24"/>
                <w:szCs w:val="24"/>
              </w:rPr>
              <w:t>不提供者不得分</w:t>
            </w:r>
            <w:r>
              <w:rPr>
                <w:rFonts w:hint="eastAsia" w:ascii="宋体" w:hAnsi="宋体"/>
                <w:color w:val="000000"/>
                <w:sz w:val="24"/>
              </w:rPr>
              <w:t>）；</w:t>
            </w:r>
          </w:p>
          <w:p>
            <w:pPr>
              <w:spacing w:line="360" w:lineRule="auto"/>
              <w:ind w:firstLine="240" w:firstLineChars="100"/>
              <w:rPr>
                <w:rFonts w:ascii="宋体" w:hAnsi="宋体"/>
                <w:color w:val="000000"/>
                <w:sz w:val="24"/>
                <w:szCs w:val="24"/>
              </w:rPr>
            </w:pPr>
            <w:r>
              <w:rPr>
                <w:rFonts w:ascii="Calibri" w:hAnsi="Calibri" w:cs="Calibri"/>
                <w:color w:val="000000"/>
                <w:sz w:val="24"/>
                <w:szCs w:val="24"/>
              </w:rPr>
              <w:t>②</w:t>
            </w:r>
            <w:r>
              <w:rPr>
                <w:rFonts w:hint="eastAsia" w:ascii="宋体" w:hAnsi="宋体"/>
                <w:color w:val="000000"/>
                <w:sz w:val="24"/>
                <w:szCs w:val="24"/>
              </w:rPr>
              <w:t>技术培训方案</w:t>
            </w:r>
            <w:r>
              <w:rPr>
                <w:rFonts w:hint="eastAsia" w:ascii="宋体" w:hAnsi="宋体"/>
                <w:color w:val="000000"/>
                <w:sz w:val="24"/>
              </w:rPr>
              <w:t>（好得1分、</w:t>
            </w:r>
            <w:r>
              <w:rPr>
                <w:rFonts w:hint="eastAsia" w:ascii="宋体" w:hAnsi="宋体"/>
                <w:color w:val="000000"/>
                <w:sz w:val="24"/>
                <w:szCs w:val="24"/>
              </w:rPr>
              <w:t>有相关描述者得</w:t>
            </w:r>
            <w:r>
              <w:rPr>
                <w:rFonts w:hint="eastAsia" w:ascii="宋体" w:hAnsi="宋体"/>
                <w:color w:val="000000"/>
                <w:sz w:val="24"/>
              </w:rPr>
              <w:t>0.5分、</w:t>
            </w:r>
            <w:r>
              <w:rPr>
                <w:rFonts w:hint="eastAsia" w:ascii="宋体" w:hAnsi="宋体"/>
                <w:color w:val="000000"/>
                <w:sz w:val="24"/>
                <w:szCs w:val="24"/>
              </w:rPr>
              <w:t>不提供者不得分</w:t>
            </w:r>
            <w:r>
              <w:rPr>
                <w:rFonts w:hint="eastAsia" w:ascii="宋体" w:hAnsi="宋体"/>
                <w:color w:val="000000"/>
                <w:sz w:val="24"/>
              </w:rPr>
              <w:t>）；</w:t>
            </w:r>
          </w:p>
          <w:p>
            <w:pPr>
              <w:spacing w:line="360" w:lineRule="auto"/>
              <w:ind w:firstLine="240" w:firstLineChars="100"/>
              <w:rPr>
                <w:rFonts w:ascii="宋体" w:hAnsi="宋体"/>
                <w:color w:val="000000"/>
                <w:sz w:val="24"/>
                <w:szCs w:val="24"/>
              </w:rPr>
            </w:pPr>
            <w:r>
              <w:rPr>
                <w:rFonts w:ascii="Calibri" w:hAnsi="Calibri" w:cs="Calibri"/>
                <w:color w:val="000000"/>
                <w:sz w:val="24"/>
                <w:szCs w:val="24"/>
              </w:rPr>
              <w:t>③</w:t>
            </w:r>
            <w:r>
              <w:rPr>
                <w:rFonts w:hint="eastAsia" w:ascii="宋体" w:hAnsi="宋体"/>
                <w:color w:val="000000"/>
                <w:sz w:val="24"/>
                <w:szCs w:val="24"/>
              </w:rPr>
              <w:t>售后服务内容</w:t>
            </w:r>
            <w:r>
              <w:rPr>
                <w:rFonts w:hint="eastAsia" w:ascii="宋体" w:hAnsi="宋体"/>
                <w:color w:val="000000"/>
                <w:sz w:val="24"/>
              </w:rPr>
              <w:t>（好得1分、</w:t>
            </w:r>
            <w:r>
              <w:rPr>
                <w:rFonts w:hint="eastAsia" w:ascii="宋体" w:hAnsi="宋体"/>
                <w:color w:val="000000"/>
                <w:sz w:val="24"/>
                <w:szCs w:val="24"/>
              </w:rPr>
              <w:t>有相关描述者得</w:t>
            </w:r>
            <w:r>
              <w:rPr>
                <w:rFonts w:hint="eastAsia" w:ascii="宋体" w:hAnsi="宋体"/>
                <w:color w:val="000000"/>
                <w:sz w:val="24"/>
              </w:rPr>
              <w:t>0.5分、</w:t>
            </w:r>
            <w:r>
              <w:rPr>
                <w:rFonts w:hint="eastAsia" w:ascii="宋体" w:hAnsi="宋体"/>
                <w:color w:val="000000"/>
                <w:sz w:val="24"/>
                <w:szCs w:val="24"/>
              </w:rPr>
              <w:t>不提供者不得分</w:t>
            </w:r>
            <w:r>
              <w:rPr>
                <w:rFonts w:hint="eastAsia" w:ascii="宋体" w:hAnsi="宋体"/>
                <w:color w:val="000000"/>
                <w:sz w:val="24"/>
              </w:rPr>
              <w:t>）；</w:t>
            </w:r>
          </w:p>
          <w:p>
            <w:pPr>
              <w:spacing w:line="360" w:lineRule="auto"/>
              <w:ind w:firstLine="240" w:firstLineChars="100"/>
              <w:rPr>
                <w:rFonts w:ascii="宋体" w:hAnsi="宋体"/>
                <w:color w:val="000000"/>
                <w:sz w:val="24"/>
              </w:rPr>
            </w:pPr>
            <w:r>
              <w:rPr>
                <w:rFonts w:hint="eastAsia" w:ascii="宋体" w:hAnsi="宋体" w:eastAsia="宋体" w:cs="宋体"/>
                <w:color w:val="000000"/>
                <w:sz w:val="24"/>
                <w:szCs w:val="24"/>
              </w:rPr>
              <w:t>④</w:t>
            </w:r>
            <w:r>
              <w:rPr>
                <w:rFonts w:hint="eastAsia" w:ascii="宋体" w:hAnsi="宋体"/>
                <w:color w:val="000000"/>
                <w:sz w:val="24"/>
                <w:szCs w:val="24"/>
              </w:rPr>
              <w:t>质保期内外售后服务</w:t>
            </w:r>
            <w:r>
              <w:rPr>
                <w:rFonts w:hint="eastAsia" w:ascii="宋体" w:hAnsi="宋体"/>
                <w:color w:val="000000"/>
                <w:sz w:val="24"/>
              </w:rPr>
              <w:t>（好得1分、</w:t>
            </w:r>
            <w:r>
              <w:rPr>
                <w:rFonts w:hint="eastAsia" w:ascii="宋体" w:hAnsi="宋体"/>
                <w:color w:val="000000"/>
                <w:sz w:val="24"/>
                <w:szCs w:val="24"/>
              </w:rPr>
              <w:t>有相关描述者得</w:t>
            </w:r>
            <w:r>
              <w:rPr>
                <w:rFonts w:hint="eastAsia" w:ascii="宋体" w:hAnsi="宋体"/>
                <w:color w:val="000000"/>
                <w:sz w:val="24"/>
              </w:rPr>
              <w:t>0.5分、</w:t>
            </w:r>
            <w:r>
              <w:rPr>
                <w:rFonts w:hint="eastAsia" w:ascii="宋体" w:hAnsi="宋体"/>
                <w:color w:val="000000"/>
                <w:sz w:val="24"/>
                <w:szCs w:val="24"/>
              </w:rPr>
              <w:t>不提供者不得分</w:t>
            </w:r>
            <w:r>
              <w:rPr>
                <w:rFonts w:hint="eastAsia" w:ascii="宋体" w:hAnsi="宋体"/>
                <w:color w:val="000000"/>
                <w:sz w:val="24"/>
              </w:rPr>
              <w:t>）；</w:t>
            </w:r>
          </w:p>
          <w:p>
            <w:pPr>
              <w:spacing w:line="360" w:lineRule="auto"/>
              <w:ind w:firstLine="240" w:firstLineChars="100"/>
              <w:rPr>
                <w:rFonts w:ascii="宋体" w:hAnsi="宋体"/>
                <w:color w:val="000000"/>
                <w:sz w:val="24"/>
                <w:szCs w:val="24"/>
              </w:rPr>
            </w:pPr>
            <w:r>
              <w:rPr>
                <w:rFonts w:hint="eastAsia" w:ascii="宋体" w:hAnsi="宋体" w:eastAsia="宋体" w:cs="宋体"/>
                <w:color w:val="000000"/>
                <w:sz w:val="24"/>
                <w:szCs w:val="24"/>
              </w:rPr>
              <w:t>⑤</w:t>
            </w:r>
            <w:r>
              <w:rPr>
                <w:rFonts w:hint="eastAsia" w:ascii="宋体" w:hAnsi="宋体"/>
                <w:color w:val="000000"/>
                <w:sz w:val="24"/>
                <w:szCs w:val="24"/>
              </w:rPr>
              <w:t>售后优惠条件</w:t>
            </w:r>
            <w:r>
              <w:rPr>
                <w:rFonts w:hint="eastAsia" w:ascii="宋体" w:hAnsi="宋体"/>
                <w:color w:val="000000"/>
                <w:sz w:val="24"/>
              </w:rPr>
              <w:t>（好得1分、</w:t>
            </w:r>
            <w:r>
              <w:rPr>
                <w:rFonts w:hint="eastAsia" w:ascii="宋体" w:hAnsi="宋体"/>
                <w:color w:val="000000"/>
                <w:sz w:val="24"/>
                <w:szCs w:val="24"/>
              </w:rPr>
              <w:t>有相关描述者得</w:t>
            </w:r>
            <w:r>
              <w:rPr>
                <w:rFonts w:hint="eastAsia" w:ascii="宋体" w:hAnsi="宋体"/>
                <w:color w:val="000000"/>
                <w:sz w:val="24"/>
              </w:rPr>
              <w:t>0.5分、</w:t>
            </w:r>
            <w:r>
              <w:rPr>
                <w:rFonts w:hint="eastAsia" w:ascii="宋体" w:hAnsi="宋体"/>
                <w:color w:val="000000"/>
                <w:sz w:val="24"/>
                <w:szCs w:val="24"/>
              </w:rPr>
              <w:t>不提供者不得分</w:t>
            </w:r>
            <w:r>
              <w:rPr>
                <w:rFonts w:hint="eastAsia" w:ascii="宋体" w:hAnsi="宋体"/>
                <w:color w:val="000000"/>
                <w:sz w:val="24"/>
              </w:rPr>
              <w:t>）；</w:t>
            </w:r>
          </w:p>
          <w:p>
            <w:pPr>
              <w:spacing w:line="360" w:lineRule="auto"/>
              <w:ind w:firstLine="240" w:firstLineChars="100"/>
              <w:rPr>
                <w:rFonts w:ascii="宋体" w:hAnsi="宋体"/>
                <w:color w:val="000000"/>
                <w:sz w:val="24"/>
                <w:szCs w:val="24"/>
              </w:rPr>
            </w:pPr>
            <w:r>
              <w:rPr>
                <w:rFonts w:hint="eastAsia" w:ascii="宋体" w:hAnsi="宋体" w:eastAsia="宋体" w:cs="宋体"/>
                <w:color w:val="000000"/>
                <w:sz w:val="24"/>
                <w:szCs w:val="24"/>
              </w:rPr>
              <w:t>⑥</w:t>
            </w:r>
            <w:r>
              <w:rPr>
                <w:rFonts w:hint="eastAsia" w:ascii="宋体" w:hAnsi="宋体"/>
                <w:color w:val="000000"/>
                <w:sz w:val="24"/>
                <w:szCs w:val="24"/>
              </w:rPr>
              <w:t>售后服务流程</w:t>
            </w:r>
            <w:r>
              <w:rPr>
                <w:rFonts w:hint="eastAsia" w:ascii="宋体" w:hAnsi="宋体"/>
                <w:color w:val="000000"/>
                <w:sz w:val="24"/>
              </w:rPr>
              <w:t>（好得1分、</w:t>
            </w:r>
            <w:r>
              <w:rPr>
                <w:rFonts w:hint="eastAsia" w:ascii="宋体" w:hAnsi="宋体"/>
                <w:color w:val="000000"/>
                <w:sz w:val="24"/>
                <w:szCs w:val="24"/>
              </w:rPr>
              <w:t>有相关描述者得</w:t>
            </w:r>
            <w:r>
              <w:rPr>
                <w:rFonts w:hint="eastAsia" w:ascii="宋体" w:hAnsi="宋体"/>
                <w:color w:val="000000"/>
                <w:sz w:val="24"/>
              </w:rPr>
              <w:t>0.2分、</w:t>
            </w:r>
            <w:r>
              <w:rPr>
                <w:rFonts w:hint="eastAsia" w:ascii="宋体" w:hAnsi="宋体"/>
                <w:color w:val="000000"/>
                <w:sz w:val="24"/>
                <w:szCs w:val="24"/>
              </w:rPr>
              <w:t>不提供者不得分</w:t>
            </w:r>
            <w:r>
              <w:rPr>
                <w:rFonts w:hint="eastAsia" w:ascii="宋体" w:hAnsi="宋体"/>
                <w:color w:val="000000"/>
                <w:sz w:val="24"/>
              </w:rPr>
              <w:t>）；</w:t>
            </w:r>
          </w:p>
          <w:p>
            <w:pPr>
              <w:spacing w:line="360" w:lineRule="auto"/>
              <w:ind w:firstLine="240" w:firstLineChars="100"/>
              <w:rPr>
                <w:rFonts w:ascii="宋体" w:hAnsi="宋体"/>
                <w:color w:val="000000"/>
                <w:sz w:val="24"/>
                <w:szCs w:val="24"/>
              </w:rPr>
            </w:pPr>
            <w:r>
              <w:rPr>
                <w:rFonts w:hint="eastAsia" w:ascii="宋体" w:hAnsi="宋体" w:eastAsia="宋体" w:cs="宋体"/>
                <w:color w:val="000000"/>
                <w:sz w:val="24"/>
                <w:szCs w:val="24"/>
              </w:rPr>
              <w:t>⑦</w:t>
            </w:r>
            <w:r>
              <w:rPr>
                <w:rFonts w:hint="eastAsia" w:ascii="宋体" w:hAnsi="宋体"/>
                <w:color w:val="000000"/>
                <w:sz w:val="24"/>
                <w:szCs w:val="24"/>
              </w:rPr>
              <w:t>售后服务规范等</w:t>
            </w:r>
            <w:r>
              <w:rPr>
                <w:rFonts w:hint="eastAsia" w:ascii="宋体" w:hAnsi="宋体"/>
                <w:color w:val="000000"/>
                <w:sz w:val="24"/>
              </w:rPr>
              <w:t>（好得1分、</w:t>
            </w:r>
            <w:r>
              <w:rPr>
                <w:rFonts w:hint="eastAsia" w:ascii="宋体" w:hAnsi="宋体"/>
                <w:color w:val="000000"/>
                <w:sz w:val="24"/>
                <w:szCs w:val="24"/>
              </w:rPr>
              <w:t>有相关描述者得</w:t>
            </w:r>
            <w:r>
              <w:rPr>
                <w:rFonts w:hint="eastAsia" w:ascii="宋体" w:hAnsi="宋体"/>
                <w:color w:val="000000"/>
                <w:sz w:val="24"/>
              </w:rPr>
              <w:t>0.2分、</w:t>
            </w:r>
            <w:r>
              <w:rPr>
                <w:rFonts w:hint="eastAsia" w:ascii="宋体" w:hAnsi="宋体"/>
                <w:color w:val="000000"/>
                <w:sz w:val="24"/>
                <w:szCs w:val="24"/>
              </w:rPr>
              <w:t>不提供者不得分</w:t>
            </w:r>
            <w:r>
              <w:rPr>
                <w:rFonts w:hint="eastAsia" w:ascii="宋体" w:hAnsi="宋体"/>
                <w:color w:val="000000"/>
                <w:sz w:val="24"/>
              </w:rPr>
              <w:t>）；</w:t>
            </w:r>
          </w:p>
        </w:tc>
        <w:tc>
          <w:tcPr>
            <w:tcW w:w="2163"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10分</w:t>
            </w:r>
          </w:p>
        </w:tc>
      </w:tr>
      <w:tr>
        <w:tblPrEx>
          <w:tblLayout w:type="fixed"/>
          <w:tblCellMar>
            <w:top w:w="0" w:type="dxa"/>
            <w:left w:w="0" w:type="dxa"/>
            <w:bottom w:w="0" w:type="dxa"/>
            <w:right w:w="0" w:type="dxa"/>
          </w:tblCellMar>
        </w:tblPrEx>
        <w:trPr>
          <w:trHeight w:val="591" w:hRule="atLeast"/>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000000"/>
                <w:sz w:val="24"/>
                <w:szCs w:val="24"/>
              </w:rPr>
            </w:pPr>
            <w:r>
              <w:rPr>
                <w:rFonts w:hint="eastAsia" w:ascii="宋体" w:hAnsi="宋体" w:cs="宋体"/>
                <w:color w:val="000000"/>
                <w:sz w:val="24"/>
                <w:szCs w:val="24"/>
              </w:rPr>
              <w:t>人员配备</w:t>
            </w:r>
          </w:p>
        </w:tc>
        <w:tc>
          <w:tcPr>
            <w:tcW w:w="493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配备电工（具备电工证）的得2分；</w:t>
            </w:r>
          </w:p>
          <w:p>
            <w:pPr>
              <w:spacing w:line="360" w:lineRule="auto"/>
              <w:ind w:firstLine="480" w:firstLineChars="200"/>
              <w:rPr>
                <w:rFonts w:ascii="宋体" w:hAnsi="宋体" w:cs="宋体"/>
                <w:sz w:val="24"/>
              </w:rPr>
            </w:pPr>
            <w:r>
              <w:rPr>
                <w:rFonts w:hint="eastAsia" w:ascii="宋体" w:hAnsi="宋体" w:cs="宋体"/>
                <w:sz w:val="24"/>
              </w:rPr>
              <w:t>配备公路工程专业注册建造师二级及以上的得2分；</w:t>
            </w:r>
          </w:p>
          <w:p>
            <w:pPr>
              <w:spacing w:line="360" w:lineRule="auto"/>
              <w:ind w:firstLine="480" w:firstLineChars="200"/>
              <w:rPr>
                <w:rFonts w:ascii="宋体" w:hAnsi="宋体" w:cs="宋体"/>
                <w:sz w:val="24"/>
              </w:rPr>
            </w:pPr>
            <w:r>
              <w:rPr>
                <w:rFonts w:hint="eastAsia" w:ascii="宋体" w:hAnsi="宋体" w:cs="宋体"/>
                <w:sz w:val="24"/>
              </w:rPr>
              <w:t>配备机电工程、交通工程专业工程师的每个得2分，最高得4分。满分8分。</w:t>
            </w:r>
          </w:p>
          <w:p>
            <w:pPr>
              <w:spacing w:line="360" w:lineRule="auto"/>
              <w:ind w:firstLine="480" w:firstLineChars="200"/>
              <w:rPr>
                <w:rFonts w:ascii="宋体" w:hAnsi="宋体" w:cs="宋体"/>
                <w:sz w:val="24"/>
              </w:rPr>
            </w:pPr>
            <w:r>
              <w:rPr>
                <w:rFonts w:hint="eastAsia" w:ascii="宋体" w:hAnsi="宋体" w:cs="宋体"/>
                <w:sz w:val="24"/>
              </w:rPr>
              <w:t>以上人员须与投标人公司签订劳动合同，否则不得分。（以劳动合同及证书为准）</w:t>
            </w:r>
          </w:p>
          <w:p>
            <w:pPr>
              <w:spacing w:line="360" w:lineRule="auto"/>
              <w:rPr>
                <w:rFonts w:ascii="宋体" w:hAnsi="宋体" w:cs="宋体"/>
                <w:sz w:val="24"/>
              </w:rPr>
            </w:pPr>
          </w:p>
          <w:p>
            <w:pPr>
              <w:spacing w:line="360" w:lineRule="auto"/>
              <w:ind w:firstLine="480" w:firstLineChars="200"/>
              <w:rPr>
                <w:rFonts w:ascii="宋体" w:hAnsi="宋体"/>
                <w:color w:val="000000"/>
                <w:sz w:val="24"/>
                <w:szCs w:val="24"/>
                <w:lang w:val="zh-CN"/>
              </w:rPr>
            </w:pPr>
          </w:p>
        </w:tc>
        <w:tc>
          <w:tcPr>
            <w:tcW w:w="21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8分</w:t>
            </w:r>
          </w:p>
        </w:tc>
      </w:tr>
      <w:tr>
        <w:tblPrEx>
          <w:tblLayout w:type="fixed"/>
          <w:tblCellMar>
            <w:top w:w="0" w:type="dxa"/>
            <w:left w:w="0" w:type="dxa"/>
            <w:bottom w:w="0" w:type="dxa"/>
            <w:right w:w="0" w:type="dxa"/>
          </w:tblCellMar>
        </w:tblPrEx>
        <w:trPr>
          <w:trHeight w:val="623" w:hRule="atLeast"/>
        </w:trPr>
        <w:tc>
          <w:tcPr>
            <w:tcW w:w="8522" w:type="dxa"/>
            <w:gridSpan w:val="5"/>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宋体"/>
                <w:b/>
                <w:bCs/>
                <w:color w:val="000000"/>
                <w:kern w:val="0"/>
                <w:sz w:val="24"/>
                <w:szCs w:val="24"/>
              </w:rPr>
              <w:t>三、技术部分（满分</w:t>
            </w:r>
            <w:r>
              <w:rPr>
                <w:rFonts w:hint="eastAsia" w:ascii="宋体" w:hAnsi="宋体" w:eastAsia="宋体" w:cs="宋体"/>
                <w:b/>
                <w:bCs/>
                <w:color w:val="000000"/>
                <w:kern w:val="0"/>
                <w:sz w:val="24"/>
                <w:szCs w:val="24"/>
              </w:rPr>
              <w:t>42</w:t>
            </w:r>
            <w:r>
              <w:rPr>
                <w:rFonts w:hint="eastAsia" w:ascii="仿宋" w:hAnsi="仿宋" w:eastAsia="仿宋" w:cs="宋体"/>
                <w:b/>
                <w:bCs/>
                <w:color w:val="000000"/>
                <w:kern w:val="0"/>
                <w:sz w:val="24"/>
                <w:szCs w:val="24"/>
              </w:rPr>
              <w:t>分）</w:t>
            </w:r>
          </w:p>
        </w:tc>
      </w:tr>
      <w:tr>
        <w:tblPrEx>
          <w:tblLayout w:type="fixed"/>
          <w:tblCellMar>
            <w:top w:w="0" w:type="dxa"/>
            <w:left w:w="0" w:type="dxa"/>
            <w:bottom w:w="0" w:type="dxa"/>
            <w:right w:w="0" w:type="dxa"/>
          </w:tblCellMar>
        </w:tblPrEx>
        <w:trPr>
          <w:trHeight w:val="591" w:hRule="atLeast"/>
        </w:trPr>
        <w:tc>
          <w:tcPr>
            <w:tcW w:w="1491"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宋体"/>
                <w:b/>
                <w:bCs/>
                <w:color w:val="000000"/>
                <w:kern w:val="0"/>
                <w:sz w:val="24"/>
                <w:szCs w:val="24"/>
              </w:rPr>
              <w:t>评分因素</w:t>
            </w:r>
          </w:p>
        </w:tc>
        <w:tc>
          <w:tcPr>
            <w:tcW w:w="48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宋体"/>
                <w:b/>
                <w:bCs/>
                <w:color w:val="000000"/>
                <w:kern w:val="0"/>
                <w:sz w:val="24"/>
                <w:szCs w:val="24"/>
              </w:rPr>
              <w:t>评分标准</w:t>
            </w:r>
          </w:p>
        </w:tc>
        <w:tc>
          <w:tcPr>
            <w:tcW w:w="21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仿宋" w:hAnsi="仿宋" w:eastAsia="仿宋" w:cs="宋体"/>
                <w:b/>
                <w:bCs/>
                <w:color w:val="000000"/>
                <w:kern w:val="0"/>
                <w:sz w:val="24"/>
                <w:szCs w:val="24"/>
              </w:rPr>
              <w:t>分值</w:t>
            </w:r>
          </w:p>
        </w:tc>
      </w:tr>
      <w:tr>
        <w:tblPrEx>
          <w:tblLayout w:type="fixed"/>
          <w:tblCellMar>
            <w:top w:w="0" w:type="dxa"/>
            <w:left w:w="0" w:type="dxa"/>
            <w:bottom w:w="0" w:type="dxa"/>
            <w:right w:w="0" w:type="dxa"/>
          </w:tblCellMar>
        </w:tblPrEx>
        <w:trPr>
          <w:trHeight w:val="487" w:hRule="atLeast"/>
        </w:trPr>
        <w:tc>
          <w:tcPr>
            <w:tcW w:w="1491"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color w:val="000000"/>
                <w:sz w:val="24"/>
                <w:szCs w:val="24"/>
              </w:rPr>
            </w:pPr>
            <w:r>
              <w:rPr>
                <w:rFonts w:hint="eastAsia" w:ascii="宋体" w:hAnsi="宋体"/>
                <w:color w:val="000000"/>
                <w:sz w:val="24"/>
                <w:szCs w:val="24"/>
              </w:rPr>
              <w:t>车辆配备</w:t>
            </w:r>
          </w:p>
        </w:tc>
        <w:tc>
          <w:tcPr>
            <w:tcW w:w="48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ind w:firstLine="360" w:firstLineChars="150"/>
              <w:jc w:val="left"/>
              <w:rPr>
                <w:rFonts w:ascii="宋体" w:hAnsi="宋体"/>
                <w:color w:val="000000"/>
                <w:sz w:val="24"/>
                <w:szCs w:val="24"/>
              </w:rPr>
            </w:pPr>
            <w:r>
              <w:rPr>
                <w:rFonts w:hint="eastAsia" w:ascii="宋体" w:hAnsi="宋体"/>
                <w:color w:val="000000"/>
                <w:sz w:val="24"/>
                <w:szCs w:val="24"/>
              </w:rPr>
              <w:t>配备有高空作业车的得3分；配备标线清除机械的得3分；配备护栏清洗车的得3分；配备工程车的得3分；每提供一项得3分，满分12分（以设备购置发票为准）。</w:t>
            </w:r>
          </w:p>
          <w:p>
            <w:pPr>
              <w:widowControl/>
              <w:spacing w:line="360" w:lineRule="atLeast"/>
              <w:ind w:firstLine="360" w:firstLineChars="150"/>
              <w:jc w:val="left"/>
              <w:rPr>
                <w:rFonts w:ascii="宋体" w:hAnsi="宋体" w:eastAsia="宋体" w:cs="宋体"/>
                <w:color w:val="000000"/>
                <w:kern w:val="0"/>
                <w:sz w:val="24"/>
                <w:szCs w:val="24"/>
              </w:rPr>
            </w:pPr>
          </w:p>
        </w:tc>
        <w:tc>
          <w:tcPr>
            <w:tcW w:w="21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r>
              <w:rPr>
                <w:rFonts w:hint="eastAsia" w:ascii="仿宋" w:hAnsi="仿宋" w:eastAsia="仿宋" w:cs="宋体"/>
                <w:color w:val="000000"/>
                <w:kern w:val="0"/>
                <w:sz w:val="24"/>
                <w:szCs w:val="24"/>
              </w:rPr>
              <w:t>分</w:t>
            </w:r>
          </w:p>
        </w:tc>
      </w:tr>
      <w:tr>
        <w:tblPrEx>
          <w:tblLayout w:type="fixed"/>
          <w:tblCellMar>
            <w:top w:w="0" w:type="dxa"/>
            <w:left w:w="0" w:type="dxa"/>
            <w:bottom w:w="0" w:type="dxa"/>
            <w:right w:w="0" w:type="dxa"/>
          </w:tblCellMar>
        </w:tblPrEx>
        <w:trPr>
          <w:trHeight w:val="745" w:hRule="atLeast"/>
        </w:trPr>
        <w:tc>
          <w:tcPr>
            <w:tcW w:w="1491"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eastAsia="宋体" w:cs="宋体"/>
                <w:color w:val="000000"/>
                <w:kern w:val="0"/>
                <w:sz w:val="24"/>
                <w:szCs w:val="24"/>
              </w:rPr>
            </w:pPr>
            <w:r>
              <w:rPr>
                <w:rFonts w:hint="eastAsia" w:ascii="宋体" w:hAnsi="宋体"/>
                <w:color w:val="000000"/>
                <w:sz w:val="24"/>
                <w:szCs w:val="24"/>
              </w:rPr>
              <w:t>产品检测报告</w:t>
            </w:r>
          </w:p>
        </w:tc>
        <w:tc>
          <w:tcPr>
            <w:tcW w:w="48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ind w:firstLine="360" w:firstLineChars="150"/>
              <w:jc w:val="left"/>
              <w:rPr>
                <w:rFonts w:ascii="宋体" w:hAnsi="宋体"/>
                <w:color w:val="000000"/>
                <w:sz w:val="24"/>
                <w:szCs w:val="24"/>
              </w:rPr>
            </w:pPr>
          </w:p>
          <w:p>
            <w:pPr>
              <w:widowControl/>
              <w:spacing w:line="360" w:lineRule="atLeast"/>
              <w:ind w:firstLine="360" w:firstLineChars="150"/>
              <w:jc w:val="left"/>
              <w:rPr>
                <w:rFonts w:ascii="宋体" w:hAnsi="宋体"/>
                <w:color w:val="000000"/>
                <w:sz w:val="24"/>
                <w:szCs w:val="24"/>
              </w:rPr>
            </w:pPr>
            <w:r>
              <w:rPr>
                <w:rFonts w:hint="eastAsia" w:ascii="宋体" w:hAnsi="宋体"/>
                <w:color w:val="000000"/>
                <w:sz w:val="24"/>
                <w:szCs w:val="24"/>
              </w:rPr>
              <w:t>投标人具有公安部交通安全产品质量监督检测中心或国家交通安全设施质量监督检验中心出具的类似产品的检测报告（</w:t>
            </w:r>
            <w:r>
              <w:fldChar w:fldCharType="begin"/>
            </w:r>
            <w:r>
              <w:instrText xml:space="preserve"> HYPERLINK "http://www.tmri.cn" </w:instrText>
            </w:r>
            <w:r>
              <w:fldChar w:fldCharType="separate"/>
            </w:r>
            <w:r>
              <w:rPr>
                <w:rFonts w:hint="eastAsia" w:ascii="宋体" w:hAnsi="宋体"/>
                <w:color w:val="000000"/>
                <w:sz w:val="24"/>
                <w:szCs w:val="24"/>
              </w:rPr>
              <w:t>www.tmri.cn</w:t>
            </w:r>
            <w:r>
              <w:rPr>
                <w:rFonts w:hint="eastAsia" w:ascii="宋体" w:hAnsi="宋体"/>
                <w:color w:val="000000"/>
                <w:sz w:val="24"/>
                <w:szCs w:val="24"/>
              </w:rPr>
              <w:fldChar w:fldCharType="end"/>
            </w:r>
            <w:r>
              <w:rPr>
                <w:rFonts w:hint="eastAsia" w:ascii="宋体" w:hAnsi="宋体"/>
                <w:color w:val="000000"/>
                <w:sz w:val="24"/>
                <w:szCs w:val="24"/>
              </w:rPr>
              <w:t>、www.testc.com.cn），交通标线类产品每提供一份得2分，最高得4分；交通标志牌类产品每提供一份2分，最高得4分；交通护栏类产品每提供一份得2分，最高得4分；信号灯类产品每提供一份得2分，最高得4分。满分16分；</w:t>
            </w:r>
          </w:p>
          <w:p>
            <w:pPr>
              <w:widowControl/>
              <w:spacing w:line="360" w:lineRule="atLeast"/>
              <w:jc w:val="left"/>
              <w:rPr>
                <w:rFonts w:ascii="宋体" w:hAnsi="宋体" w:eastAsia="宋体" w:cs="宋体"/>
                <w:color w:val="000000"/>
                <w:kern w:val="0"/>
                <w:sz w:val="24"/>
                <w:szCs w:val="24"/>
              </w:rPr>
            </w:pPr>
          </w:p>
        </w:tc>
        <w:tc>
          <w:tcPr>
            <w:tcW w:w="21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r>
              <w:rPr>
                <w:rFonts w:hint="eastAsia" w:ascii="仿宋" w:hAnsi="仿宋" w:eastAsia="仿宋" w:cs="宋体"/>
                <w:color w:val="000000"/>
                <w:kern w:val="0"/>
                <w:sz w:val="24"/>
                <w:szCs w:val="24"/>
              </w:rPr>
              <w:t>分</w:t>
            </w:r>
          </w:p>
        </w:tc>
      </w:tr>
      <w:tr>
        <w:tblPrEx>
          <w:tblLayout w:type="fixed"/>
          <w:tblCellMar>
            <w:top w:w="0" w:type="dxa"/>
            <w:left w:w="0" w:type="dxa"/>
            <w:bottom w:w="0" w:type="dxa"/>
            <w:right w:w="0" w:type="dxa"/>
          </w:tblCellMar>
        </w:tblPrEx>
        <w:trPr>
          <w:trHeight w:val="611" w:hRule="atLeast"/>
        </w:trPr>
        <w:tc>
          <w:tcPr>
            <w:tcW w:w="1491" w:type="dxa"/>
            <w:gridSpan w:val="3"/>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仿宋" w:hAnsi="仿宋" w:eastAsia="仿宋" w:cs="宋体"/>
                <w:color w:val="000000"/>
                <w:kern w:val="0"/>
                <w:sz w:val="24"/>
                <w:szCs w:val="24"/>
              </w:rPr>
            </w:pPr>
            <w:r>
              <w:rPr>
                <w:rFonts w:hint="eastAsia" w:ascii="宋体" w:hAnsi="宋体"/>
                <w:color w:val="000000"/>
                <w:sz w:val="24"/>
                <w:szCs w:val="24"/>
              </w:rPr>
              <w:t>招标文件的响应</w:t>
            </w:r>
          </w:p>
        </w:tc>
        <w:tc>
          <w:tcPr>
            <w:tcW w:w="4868"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ind w:firstLine="360" w:firstLineChars="150"/>
              <w:rPr>
                <w:rFonts w:ascii="宋体" w:hAnsi="宋体"/>
                <w:color w:val="000000"/>
                <w:sz w:val="24"/>
                <w:szCs w:val="24"/>
              </w:rPr>
            </w:pPr>
          </w:p>
          <w:p>
            <w:pPr>
              <w:spacing w:line="360" w:lineRule="auto"/>
              <w:ind w:firstLine="360" w:firstLineChars="150"/>
              <w:rPr>
                <w:rFonts w:ascii="宋体" w:hAnsi="宋体"/>
                <w:color w:val="000000"/>
                <w:sz w:val="24"/>
                <w:szCs w:val="24"/>
              </w:rPr>
            </w:pPr>
            <w:r>
              <w:rPr>
                <w:rFonts w:hint="eastAsia" w:ascii="宋体" w:hAnsi="宋体"/>
                <w:color w:val="000000"/>
                <w:sz w:val="24"/>
                <w:szCs w:val="24"/>
              </w:rPr>
              <w:t>投标产品完全响应招标文件技术参数要求的得满分10分。</w:t>
            </w:r>
          </w:p>
          <w:p>
            <w:pPr>
              <w:widowControl/>
              <w:spacing w:line="360" w:lineRule="atLeast"/>
              <w:ind w:firstLine="360" w:firstLineChars="150"/>
              <w:jc w:val="left"/>
              <w:rPr>
                <w:rFonts w:ascii="宋体" w:hAnsi="宋体"/>
                <w:color w:val="000000"/>
                <w:sz w:val="24"/>
                <w:szCs w:val="24"/>
              </w:rPr>
            </w:pPr>
          </w:p>
          <w:p>
            <w:pPr>
              <w:widowControl/>
              <w:spacing w:line="360" w:lineRule="atLeast"/>
              <w:ind w:firstLine="360" w:firstLineChars="150"/>
              <w:jc w:val="left"/>
              <w:rPr>
                <w:rFonts w:ascii="宋体" w:hAnsi="宋体" w:eastAsia="宋体" w:cs="宋体"/>
                <w:color w:val="000000"/>
                <w:kern w:val="0"/>
                <w:sz w:val="24"/>
                <w:szCs w:val="24"/>
              </w:rPr>
            </w:pPr>
          </w:p>
        </w:tc>
        <w:tc>
          <w:tcPr>
            <w:tcW w:w="2163"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10分</w:t>
            </w:r>
          </w:p>
        </w:tc>
      </w:tr>
      <w:tr>
        <w:tblPrEx>
          <w:tblLayout w:type="fixed"/>
          <w:tblCellMar>
            <w:top w:w="0" w:type="dxa"/>
            <w:left w:w="0" w:type="dxa"/>
            <w:bottom w:w="0" w:type="dxa"/>
            <w:right w:w="0" w:type="dxa"/>
          </w:tblCellMar>
        </w:tblPrEx>
        <w:trPr>
          <w:trHeight w:val="636" w:hRule="atLeast"/>
        </w:trPr>
        <w:tc>
          <w:tcPr>
            <w:tcW w:w="1491" w:type="dxa"/>
            <w:gridSpan w:val="3"/>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color w:val="000000"/>
                <w:sz w:val="24"/>
                <w:szCs w:val="24"/>
              </w:rPr>
            </w:pPr>
            <w:r>
              <w:rPr>
                <w:rFonts w:hint="eastAsia" w:ascii="宋体" w:hAnsi="宋体"/>
                <w:color w:val="000000"/>
                <w:sz w:val="24"/>
                <w:szCs w:val="24"/>
              </w:rPr>
              <w:t>投标文件的规范程度</w:t>
            </w:r>
          </w:p>
        </w:tc>
        <w:tc>
          <w:tcPr>
            <w:tcW w:w="486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60" w:lineRule="atLeast"/>
              <w:ind w:firstLine="360" w:firstLineChars="150"/>
              <w:rPr>
                <w:rFonts w:ascii="宋体" w:hAnsi="宋体"/>
                <w:color w:val="000000"/>
                <w:sz w:val="24"/>
                <w:szCs w:val="24"/>
              </w:rPr>
            </w:pPr>
          </w:p>
          <w:p>
            <w:pPr>
              <w:widowControl/>
              <w:spacing w:line="360" w:lineRule="atLeast"/>
              <w:ind w:firstLine="360" w:firstLineChars="150"/>
              <w:rPr>
                <w:rFonts w:ascii="宋体" w:hAnsi="宋体"/>
                <w:color w:val="000000"/>
                <w:sz w:val="24"/>
                <w:szCs w:val="24"/>
              </w:rPr>
            </w:pPr>
            <w:r>
              <w:rPr>
                <w:rFonts w:hint="eastAsia" w:ascii="宋体" w:hAnsi="宋体"/>
                <w:color w:val="000000"/>
                <w:sz w:val="24"/>
                <w:szCs w:val="24"/>
              </w:rPr>
              <w:t>1、装订规范、文字清晰、无差错2分。</w:t>
            </w:r>
          </w:p>
          <w:p>
            <w:pPr>
              <w:widowControl/>
              <w:spacing w:line="360" w:lineRule="atLeast"/>
              <w:ind w:firstLine="360" w:firstLineChars="150"/>
              <w:rPr>
                <w:rFonts w:ascii="宋体" w:hAnsi="宋体"/>
                <w:color w:val="000000"/>
                <w:sz w:val="24"/>
                <w:szCs w:val="24"/>
              </w:rPr>
            </w:pPr>
            <w:r>
              <w:rPr>
                <w:rFonts w:hint="eastAsia" w:ascii="宋体" w:hAnsi="宋体"/>
                <w:color w:val="000000"/>
                <w:sz w:val="24"/>
                <w:szCs w:val="24"/>
              </w:rPr>
              <w:t>2、所提供资料准确完整2分。</w:t>
            </w:r>
          </w:p>
          <w:p>
            <w:pPr>
              <w:widowControl/>
              <w:spacing w:line="360" w:lineRule="atLeast"/>
              <w:ind w:firstLine="360" w:firstLineChars="150"/>
              <w:rPr>
                <w:rFonts w:ascii="宋体" w:hAnsi="宋体"/>
                <w:color w:val="000000"/>
                <w:sz w:val="24"/>
                <w:szCs w:val="24"/>
              </w:rPr>
            </w:pPr>
          </w:p>
        </w:tc>
        <w:tc>
          <w:tcPr>
            <w:tcW w:w="216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4分</w:t>
            </w:r>
          </w:p>
        </w:tc>
      </w:tr>
    </w:tbl>
    <w:p>
      <w:pPr>
        <w:widowControl/>
        <w:shd w:val="clear" w:color="auto" w:fill="FFFFFF"/>
        <w:spacing w:line="360" w:lineRule="atLeast"/>
        <w:ind w:firstLine="600"/>
        <w:jc w:val="left"/>
        <w:rPr>
          <w:rFonts w:ascii="黑体" w:hAnsi="黑体" w:eastAsia="黑体" w:cs="Arial"/>
          <w:color w:val="000000"/>
          <w:kern w:val="0"/>
          <w:sz w:val="30"/>
          <w:szCs w:val="30"/>
          <w:shd w:val="clear" w:color="auto" w:fill="FFFFFF"/>
        </w:rPr>
      </w:pP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黑体" w:hAnsi="黑体" w:eastAsia="黑体" w:cs="Arial"/>
          <w:color w:val="000000"/>
          <w:kern w:val="0"/>
          <w:sz w:val="30"/>
          <w:szCs w:val="30"/>
          <w:shd w:val="clear" w:color="auto" w:fill="FFFFFF"/>
        </w:rPr>
        <w:t>六、采购资金支付</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仿宋" w:hAnsi="仿宋" w:eastAsia="仿宋" w:cs="Arial"/>
          <w:color w:val="000000"/>
          <w:kern w:val="0"/>
          <w:sz w:val="30"/>
          <w:szCs w:val="30"/>
          <w:shd w:val="clear" w:color="auto" w:fill="FFFFFF"/>
        </w:rPr>
        <w:t>（一）支付方式：</w:t>
      </w:r>
      <w:r>
        <w:rPr>
          <w:rFonts w:hint="eastAsia" w:ascii="宋体" w:hAnsi="宋体" w:eastAsia="仿宋" w:cs="宋体"/>
          <w:b/>
          <w:bCs/>
          <w:sz w:val="24"/>
        </w:rPr>
        <w:t>银行转账</w:t>
      </w:r>
      <w:r>
        <w:rPr>
          <w:rFonts w:hint="eastAsia" w:ascii="宋体" w:hAnsi="宋体" w:cs="宋体"/>
          <w:b/>
          <w:bCs/>
          <w:sz w:val="24"/>
          <w:lang w:val="zh-CN"/>
        </w:rPr>
        <w:t>。</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仿宋" w:hAnsi="仿宋" w:eastAsia="仿宋" w:cs="Arial"/>
          <w:color w:val="000000"/>
          <w:kern w:val="0"/>
          <w:sz w:val="30"/>
          <w:szCs w:val="30"/>
          <w:shd w:val="clear" w:color="auto" w:fill="FFFFFF"/>
        </w:rPr>
        <w:t>（二）支付时间及条件：</w:t>
      </w:r>
      <w:r>
        <w:rPr>
          <w:rFonts w:hint="eastAsia" w:ascii="宋体" w:hAnsi="宋体" w:cs="宋体"/>
          <w:b/>
          <w:bCs/>
          <w:sz w:val="24"/>
          <w:lang w:val="zh-CN"/>
        </w:rPr>
        <w:t>每个月验收合格后，根据实际产生的工程量据实结算。</w:t>
      </w:r>
    </w:p>
    <w:p>
      <w:pPr>
        <w:widowControl/>
        <w:shd w:val="clear" w:color="auto" w:fill="FFFFFF"/>
        <w:spacing w:line="360" w:lineRule="atLeast"/>
        <w:ind w:firstLine="600"/>
        <w:jc w:val="left"/>
        <w:rPr>
          <w:rFonts w:ascii="Arial" w:hAnsi="Arial" w:eastAsia="宋体" w:cs="Arial"/>
          <w:color w:val="000000"/>
          <w:kern w:val="0"/>
          <w:sz w:val="17"/>
          <w:szCs w:val="17"/>
        </w:rPr>
      </w:pPr>
      <w:r>
        <w:rPr>
          <w:rFonts w:hint="eastAsia" w:ascii="黑体" w:hAnsi="黑体" w:eastAsia="黑体" w:cs="Arial"/>
          <w:color w:val="000000"/>
          <w:kern w:val="0"/>
          <w:sz w:val="30"/>
          <w:szCs w:val="30"/>
          <w:shd w:val="clear" w:color="auto" w:fill="FFFFFF"/>
        </w:rPr>
        <w:t>七、联系方式</w:t>
      </w:r>
    </w:p>
    <w:p>
      <w:pPr>
        <w:widowControl/>
        <w:shd w:val="clear" w:color="auto" w:fill="FFFFFF"/>
        <w:spacing w:line="525" w:lineRule="atLeast"/>
        <w:ind w:firstLine="795"/>
        <w:jc w:val="left"/>
        <w:rPr>
          <w:rFonts w:ascii="仿宋" w:hAnsi="仿宋" w:eastAsia="仿宋" w:cs="Arial"/>
          <w:color w:val="000000"/>
          <w:kern w:val="0"/>
          <w:sz w:val="30"/>
          <w:szCs w:val="30"/>
          <w:shd w:val="clear" w:color="auto" w:fill="FFFFFF"/>
        </w:rPr>
      </w:pPr>
      <w:r>
        <w:rPr>
          <w:rFonts w:hint="eastAsia" w:ascii="仿宋" w:hAnsi="仿宋" w:eastAsia="仿宋" w:cs="Arial"/>
          <w:color w:val="000000"/>
          <w:kern w:val="0"/>
          <w:sz w:val="30"/>
          <w:szCs w:val="30"/>
          <w:shd w:val="clear" w:color="auto" w:fill="FFFFFF"/>
        </w:rPr>
        <w:t>联系人姓名：娄文群     联系电话：0374-2908957</w:t>
      </w:r>
    </w:p>
    <w:p>
      <w:pPr>
        <w:widowControl/>
        <w:shd w:val="clear" w:color="auto" w:fill="FFFFFF"/>
        <w:spacing w:line="525" w:lineRule="atLeast"/>
        <w:ind w:firstLine="795"/>
        <w:jc w:val="left"/>
        <w:rPr>
          <w:rFonts w:ascii="仿宋" w:hAnsi="仿宋" w:eastAsia="仿宋" w:cs="Arial"/>
          <w:color w:val="000000"/>
          <w:kern w:val="0"/>
          <w:sz w:val="30"/>
          <w:szCs w:val="30"/>
          <w:shd w:val="clear" w:color="auto" w:fill="FFFFFF"/>
        </w:rPr>
      </w:pPr>
      <w:r>
        <w:rPr>
          <w:rFonts w:hint="eastAsia" w:ascii="仿宋" w:hAnsi="仿宋" w:eastAsia="仿宋" w:cs="Arial"/>
          <w:color w:val="000000"/>
          <w:kern w:val="0"/>
          <w:sz w:val="30"/>
          <w:szCs w:val="30"/>
          <w:shd w:val="clear" w:color="auto" w:fill="FFFFFF"/>
        </w:rPr>
        <w:t>单位地址：许昌市许由路中段</w:t>
      </w:r>
    </w:p>
    <w:p>
      <w:pPr>
        <w:widowControl/>
        <w:shd w:val="clear" w:color="auto" w:fill="FFFFFF"/>
        <w:spacing w:line="330" w:lineRule="atLeast"/>
        <w:ind w:firstLine="4350"/>
        <w:jc w:val="right"/>
        <w:rPr>
          <w:rFonts w:ascii="宋体" w:hAnsi="宋体" w:eastAsia="宋体" w:cs="宋体"/>
          <w:color w:val="000000"/>
          <w:kern w:val="0"/>
          <w:sz w:val="30"/>
          <w:szCs w:val="30"/>
          <w:shd w:val="clear" w:color="auto" w:fill="FFFFFF"/>
        </w:rPr>
      </w:pPr>
    </w:p>
    <w:p>
      <w:pPr>
        <w:widowControl/>
        <w:shd w:val="clear" w:color="auto" w:fill="FFFFFF"/>
        <w:spacing w:line="330" w:lineRule="atLeast"/>
        <w:ind w:firstLine="4350"/>
        <w:jc w:val="right"/>
        <w:rPr>
          <w:rFonts w:ascii="宋体" w:hAnsi="宋体" w:eastAsia="宋体" w:cs="宋体"/>
          <w:color w:val="000000"/>
          <w:kern w:val="0"/>
          <w:sz w:val="30"/>
          <w:szCs w:val="30"/>
          <w:shd w:val="clear" w:color="auto" w:fill="FFFFFF"/>
        </w:rPr>
      </w:pPr>
    </w:p>
    <w:p>
      <w:pPr>
        <w:widowControl/>
        <w:shd w:val="clear" w:color="auto" w:fill="FFFFFF"/>
        <w:spacing w:line="330" w:lineRule="atLeast"/>
        <w:ind w:firstLine="4350"/>
        <w:jc w:val="right"/>
        <w:rPr>
          <w:rFonts w:ascii="宋体" w:hAnsi="宋体" w:eastAsia="宋体" w:cs="宋体"/>
          <w:color w:val="000000"/>
          <w:kern w:val="0"/>
          <w:sz w:val="30"/>
          <w:szCs w:val="30"/>
          <w:shd w:val="clear" w:color="auto" w:fill="FFFFFF"/>
        </w:rPr>
      </w:pPr>
      <w:bookmarkStart w:id="0" w:name="_GoBack"/>
      <w:bookmarkEnd w:id="0"/>
    </w:p>
    <w:p>
      <w:pPr>
        <w:widowControl/>
        <w:shd w:val="clear" w:color="auto" w:fill="FFFFFF"/>
        <w:spacing w:line="330" w:lineRule="atLeast"/>
        <w:ind w:firstLine="4350"/>
        <w:jc w:val="right"/>
        <w:rPr>
          <w:rFonts w:ascii="宋体" w:hAnsi="宋体" w:eastAsia="宋体" w:cs="宋体"/>
          <w:color w:val="000000"/>
          <w:kern w:val="0"/>
          <w:sz w:val="30"/>
          <w:szCs w:val="30"/>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21C6"/>
    <w:rsid w:val="000E4C13"/>
    <w:rsid w:val="001111BF"/>
    <w:rsid w:val="00207D8D"/>
    <w:rsid w:val="002818F0"/>
    <w:rsid w:val="002E6181"/>
    <w:rsid w:val="003219D6"/>
    <w:rsid w:val="003E2EC2"/>
    <w:rsid w:val="00422E65"/>
    <w:rsid w:val="00473178"/>
    <w:rsid w:val="004A5FFC"/>
    <w:rsid w:val="005A5F6B"/>
    <w:rsid w:val="005B7C20"/>
    <w:rsid w:val="00621AA6"/>
    <w:rsid w:val="00643E25"/>
    <w:rsid w:val="007115E4"/>
    <w:rsid w:val="00772643"/>
    <w:rsid w:val="007F7416"/>
    <w:rsid w:val="009233DB"/>
    <w:rsid w:val="009B3AEB"/>
    <w:rsid w:val="009C10D1"/>
    <w:rsid w:val="00BA0E9D"/>
    <w:rsid w:val="00BC2504"/>
    <w:rsid w:val="00C10219"/>
    <w:rsid w:val="00CB21C6"/>
    <w:rsid w:val="00CC3483"/>
    <w:rsid w:val="00D15373"/>
    <w:rsid w:val="00D93DEE"/>
    <w:rsid w:val="00ED09BC"/>
    <w:rsid w:val="00F02F94"/>
    <w:rsid w:val="01E86E9B"/>
    <w:rsid w:val="15813A9B"/>
    <w:rsid w:val="4C1C6514"/>
    <w:rsid w:val="4C751ED1"/>
    <w:rsid w:val="53FA1919"/>
    <w:rsid w:val="54BB61F2"/>
    <w:rsid w:val="55791DB0"/>
    <w:rsid w:val="5D692B0C"/>
    <w:rsid w:val="73AA231A"/>
    <w:rsid w:val="74B0171B"/>
    <w:rsid w:val="7D992D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HTML Preformatted"/>
    <w:basedOn w:val="1"/>
    <w:link w:val="9"/>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Emphasis"/>
    <w:basedOn w:val="5"/>
    <w:qFormat/>
    <w:uiPriority w:val="20"/>
    <w:rPr>
      <w:i/>
      <w:i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HTML 预设格式 Char"/>
    <w:basedOn w:val="5"/>
    <w:link w:val="3"/>
    <w:semiHidden/>
    <w:qFormat/>
    <w:uiPriority w:val="99"/>
    <w:rPr>
      <w:rFonts w:ascii="宋体" w:hAnsi="宋体" w:eastAsia="宋体" w:cs="宋体"/>
      <w:kern w:val="0"/>
      <w:sz w:val="24"/>
      <w:szCs w:val="24"/>
    </w:rPr>
  </w:style>
  <w:style w:type="character" w:customStyle="1" w:styleId="10">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1550</Words>
  <Characters>8839</Characters>
  <Lines>73</Lines>
  <Paragraphs>20</Paragraphs>
  <ScaleCrop>false</ScaleCrop>
  <LinksUpToDate>false</LinksUpToDate>
  <CharactersWithSpaces>10369</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2018-05-16T02:41:00Z</dcterms:created>
  <dc:creator>USER</dc:creator>
  <cp:lastModifiedBy>许昌市公共资源交易中心:杨丹丹</cp:lastModifiedBy>
  <cp:lastPrinted>2018-06-05T00:15:00Z</cp:lastPrinted>
  <dcterms:modified xsi:type="dcterms:W3CDTF">2018-06-05T02:57:35Z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