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center"/>
        <w:rPr>
          <w:b w:val="0"/>
          <w:i w:val="0"/>
        </w:rPr>
      </w:pPr>
      <w:r>
        <w:rPr>
          <w:rFonts w:ascii="黑体" w:hAnsi="宋体" w:eastAsia="黑体" w:cs="黑体"/>
          <w:b/>
          <w:i w:val="0"/>
          <w:color w:val="000000"/>
          <w:kern w:val="0"/>
          <w:sz w:val="36"/>
          <w:szCs w:val="36"/>
          <w:u w:val="none"/>
          <w:shd w:val="clear" w:fill="FFFFFF"/>
          <w:lang w:val="en-US" w:eastAsia="zh-CN" w:bidi="ar"/>
        </w:rPr>
        <w:t>政府采购项目采购需求提交说明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center"/>
        <w:rPr>
          <w:b w:val="0"/>
          <w:i w:val="0"/>
        </w:rPr>
      </w:pPr>
      <w:r>
        <w:rPr>
          <w:rFonts w:hint="eastAsia" w:ascii="宋体" w:hAnsi="宋体" w:eastAsia="宋体" w:cs="宋体"/>
          <w:b w:val="0"/>
          <w:i w:val="0"/>
          <w:color w:val="000000"/>
          <w:kern w:val="0"/>
          <w:sz w:val="24"/>
          <w:szCs w:val="24"/>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ascii="仿宋" w:hAnsi="仿宋" w:eastAsia="仿宋" w:cs="仿宋"/>
          <w:b w:val="0"/>
          <w:i w:val="0"/>
          <w:color w:val="000000"/>
          <w:kern w:val="0"/>
          <w:sz w:val="30"/>
          <w:szCs w:val="30"/>
          <w:u w:val="none"/>
          <w:shd w:val="clear" w:fill="FFFFFF"/>
          <w:lang w:val="en-US" w:eastAsia="zh-CN" w:bidi="ar"/>
        </w:rPr>
        <w:t>许昌市政府采购中心：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      我单位按照《中华人民共和国政府采购法》、《中华人民共和国政府采购法实施条例》、《政府采购货物和服务招标投标管理办法》等法律法规及相关规定，就本项目委托你中心编制招标文件。现提供采购需求、评标标准等相关内容（详见“采购需求、评标标准等说明”），</w:t>
      </w:r>
      <w:r>
        <w:rPr>
          <w:rFonts w:hint="eastAsia" w:ascii="仿宋" w:hAnsi="仿宋" w:eastAsia="仿宋" w:cs="仿宋"/>
          <w:b/>
          <w:i w:val="0"/>
          <w:color w:val="000000"/>
          <w:kern w:val="0"/>
          <w:sz w:val="30"/>
          <w:szCs w:val="30"/>
          <w:u w:val="none"/>
          <w:shd w:val="clear" w:fill="FFFFFF"/>
          <w:lang w:val="en-US" w:eastAsia="zh-CN" w:bidi="ar"/>
        </w:rPr>
        <w:t>对于不允许偏离的实质性要求和条件，已以“</w:t>
      </w:r>
      <w:r>
        <w:rPr>
          <w:rFonts w:hint="eastAsia" w:ascii="仿宋" w:hAnsi="仿宋" w:eastAsia="仿宋" w:cs="仿宋"/>
          <w:b/>
          <w:i w:val="0"/>
          <w:color w:val="FF0000"/>
          <w:kern w:val="0"/>
          <w:sz w:val="30"/>
          <w:szCs w:val="30"/>
          <w:u w:val="none"/>
          <w:shd w:val="clear" w:fill="FFFFFF"/>
          <w:lang w:val="en-US" w:eastAsia="zh-CN" w:bidi="ar"/>
        </w:rPr>
        <w:t>★</w:t>
      </w:r>
      <w:r>
        <w:rPr>
          <w:rFonts w:hint="eastAsia" w:ascii="仿宋" w:hAnsi="仿宋" w:eastAsia="仿宋" w:cs="仿宋"/>
          <w:b/>
          <w:i w:val="0"/>
          <w:color w:val="000000"/>
          <w:kern w:val="0"/>
          <w:sz w:val="30"/>
          <w:szCs w:val="30"/>
          <w:u w:val="none"/>
          <w:shd w:val="clear" w:fill="FFFFFF"/>
          <w:lang w:val="en-US" w:eastAsia="zh-CN" w:bidi="ar"/>
        </w:rPr>
        <w:t>”号标明。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2"/>
        <w:jc w:val="left"/>
        <w:rPr>
          <w:b w:val="0"/>
          <w:i w:val="0"/>
        </w:rPr>
      </w:pPr>
      <w:r>
        <w:rPr>
          <w:rFonts w:hint="eastAsia" w:ascii="黑体" w:hAnsi="宋体" w:eastAsia="黑体" w:cs="黑体"/>
          <w:b/>
          <w:i w:val="0"/>
          <w:color w:val="000000"/>
          <w:kern w:val="0"/>
          <w:sz w:val="30"/>
          <w:szCs w:val="30"/>
          <w:u w:val="none"/>
          <w:shd w:val="clear" w:fill="FFFFFF"/>
          <w:lang w:val="en-US" w:eastAsia="zh-CN" w:bidi="ar"/>
        </w:rPr>
        <w:t>一、采购需求部分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1、我单位根据市场调查情况、资产配置标准等，按照或参照《政府采购货物和服务招标投标管理办法》第十一条内容，科学、合理地确定了本项目采购需求，所提供采购需求合规、完整、明确。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2、我单位未将投标人的注册资本、资产总额、营业收入、从业人员、利润、纳税额等规模条件作为资格要求，也未将生产厂家授权、承诺、证明、背书等作为资格要求，对投标人实行差别待遇或者歧视待遇。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3、我单位已了解《政府采购货物和服务招标投标管理办法》第七十七条相关规定。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2"/>
        <w:jc w:val="left"/>
        <w:rPr>
          <w:b w:val="0"/>
          <w:i w:val="0"/>
        </w:rPr>
      </w:pPr>
      <w:r>
        <w:rPr>
          <w:rFonts w:hint="eastAsia" w:ascii="黑体" w:hAnsi="宋体" w:eastAsia="黑体" w:cs="黑体"/>
          <w:b/>
          <w:i w:val="0"/>
          <w:color w:val="000000"/>
          <w:kern w:val="0"/>
          <w:sz w:val="30"/>
          <w:szCs w:val="30"/>
          <w:u w:val="none"/>
          <w:shd w:val="clear" w:fill="FFFFFF"/>
          <w:lang w:val="en-US" w:eastAsia="zh-CN" w:bidi="ar"/>
        </w:rPr>
        <w:t>二、评标标准部分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1、我单位未将投标人的注册资本、资产总额、营业收入、从业人员、利润、纳税额等规模条件作为评审因素，对投标人实行差别待遇或者歧视待遇。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2、评审因素包括投标报价、技术或者服务水平、履约能力、售后服务等，设定与投标人所提供货物服务的质量相关，资格条件未设定为评审因素。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default" w:ascii="Times New Roman" w:hAnsi="Times New Roman" w:eastAsia="微软雅黑" w:cs="Times New Roman"/>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default" w:ascii="Times New Roman" w:hAnsi="Times New Roman" w:eastAsia="微软雅黑" w:cs="Times New Roman"/>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center"/>
        <w:rPr>
          <w:b w:val="0"/>
          <w:i w:val="0"/>
          <w:spacing w:val="-20"/>
        </w:rPr>
      </w:pPr>
      <w:r>
        <w:rPr>
          <w:rFonts w:hint="eastAsia" w:ascii="仿宋_GB2312" w:hAnsi="微软雅黑" w:eastAsia="仿宋_GB2312" w:cs="仿宋_GB2312"/>
          <w:b/>
          <w:i w:val="0"/>
          <w:color w:val="000000"/>
          <w:kern w:val="0"/>
          <w:sz w:val="32"/>
          <w:szCs w:val="32"/>
          <w:u w:val="single"/>
          <w:shd w:val="clear" w:fill="FFFFFF"/>
          <w:lang w:val="en-US" w:eastAsia="zh-CN" w:bidi="ar"/>
        </w:rPr>
        <w:t>许昌市区停车设施专项规划</w:t>
      </w:r>
      <w:r>
        <w:rPr>
          <w:rFonts w:hint="eastAsia" w:ascii="仿宋_GB2312" w:hAnsi="微软雅黑" w:eastAsia="仿宋_GB2312" w:cs="仿宋_GB2312"/>
          <w:b/>
          <w:i w:val="0"/>
          <w:color w:val="000000"/>
          <w:spacing w:val="-20"/>
          <w:kern w:val="0"/>
          <w:sz w:val="32"/>
          <w:szCs w:val="32"/>
          <w:u w:val="none"/>
          <w:shd w:val="clear" w:fill="FFFFFF"/>
          <w:lang w:val="en-US" w:eastAsia="zh-CN" w:bidi="ar"/>
        </w:rPr>
        <w:t>采购需求、评标标准等说明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rPr>
      </w:pPr>
      <w:r>
        <w:rPr>
          <w:rFonts w:ascii="微软雅黑" w:hAnsi="微软雅黑" w:eastAsia="微软雅黑" w:cs="微软雅黑"/>
          <w:b w:val="0"/>
          <w:i w:val="0"/>
          <w:color w:val="000000"/>
          <w:kern w:val="0"/>
          <w:sz w:val="30"/>
          <w:szCs w:val="30"/>
          <w:u w:val="none"/>
          <w:shd w:val="clear" w:fill="FFFFFF"/>
          <w:lang w:val="en-US" w:eastAsia="zh-CN" w:bidi="ar"/>
        </w:rPr>
        <w:t>   </w:t>
      </w:r>
      <w:r>
        <w:rPr>
          <w:rFonts w:hint="eastAsia" w:ascii="仿宋" w:hAnsi="仿宋" w:eastAsia="仿宋" w:cs="仿宋"/>
          <w:b w:val="0"/>
          <w:i w:val="0"/>
          <w:color w:val="000000"/>
          <w:kern w:val="0"/>
          <w:sz w:val="30"/>
          <w:szCs w:val="30"/>
          <w:u w:val="none"/>
          <w:shd w:val="clear" w:fill="FFFFFF"/>
          <w:lang w:val="en-US" w:eastAsia="zh-CN" w:bidi="ar"/>
        </w:rPr>
        <w:t>   （一）项目名称：许昌市区停车设施专项规划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right="0" w:firstLine="600" w:firstLineChars="2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（二）采购方式：公开招标       </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00" w:firstLineChars="200"/>
        <w:jc w:val="both"/>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（三）主要内容、数量及要求：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编制《许昌市中心城区停车场专项规划》（2018-2030年）和《许昌市老城区公共停车场规划方案》及相关服务</w:t>
      </w:r>
      <w:r>
        <w:rPr>
          <w:rFonts w:hint="eastAsia" w:ascii="仿宋" w:hAnsi="仿宋" w:eastAsia="仿宋" w:cs="仿宋"/>
          <w:color w:val="000000"/>
          <w:kern w:val="0"/>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（四）预算金额：85万元  ；最高限价：85万元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rFonts w:hint="eastAsia" w:ascii="仿宋" w:hAnsi="仿宋" w:eastAsia="仿宋" w:cs="仿宋"/>
          <w:color w:val="000000"/>
          <w:kern w:val="0"/>
          <w:sz w:val="32"/>
          <w:szCs w:val="32"/>
        </w:rPr>
      </w:pPr>
      <w:r>
        <w:rPr>
          <w:rFonts w:hint="eastAsia" w:ascii="仿宋" w:hAnsi="仿宋" w:eastAsia="仿宋" w:cs="仿宋"/>
          <w:b w:val="0"/>
          <w:i w:val="0"/>
          <w:color w:val="000000"/>
          <w:kern w:val="0"/>
          <w:sz w:val="30"/>
          <w:szCs w:val="30"/>
          <w:u w:val="none"/>
          <w:shd w:val="clear" w:fill="FFFFFF"/>
          <w:lang w:val="en-US" w:eastAsia="zh-CN" w:bidi="ar"/>
        </w:rPr>
        <w:t>（五）交付（服务、完工）时间：</w:t>
      </w:r>
      <w:r>
        <w:rPr>
          <w:rFonts w:hint="eastAsia" w:ascii="仿宋" w:hAnsi="仿宋" w:eastAsia="仿宋" w:cs="仿宋"/>
          <w:color w:val="000000"/>
          <w:kern w:val="0"/>
          <w:sz w:val="32"/>
          <w:szCs w:val="32"/>
        </w:rPr>
        <w:t>合同生效之日起3个月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color w:val="auto"/>
        </w:rPr>
      </w:pPr>
      <w:r>
        <w:rPr>
          <w:rFonts w:hint="eastAsia" w:ascii="仿宋" w:hAnsi="仿宋" w:eastAsia="仿宋" w:cs="仿宋"/>
          <w:b w:val="0"/>
          <w:i w:val="0"/>
          <w:color w:val="000000"/>
          <w:kern w:val="0"/>
          <w:sz w:val="30"/>
          <w:szCs w:val="30"/>
          <w:u w:val="none"/>
          <w:shd w:val="clear" w:fill="FFFFFF"/>
          <w:lang w:val="en-US" w:eastAsia="zh-CN" w:bidi="ar"/>
        </w:rPr>
        <w:t>（六）交付（服务、施工）地点：</w:t>
      </w:r>
      <w:r>
        <w:rPr>
          <w:rFonts w:hint="eastAsia" w:ascii="仿宋" w:hAnsi="仿宋" w:eastAsia="仿宋" w:cs="仿宋"/>
          <w:b w:val="0"/>
          <w:i w:val="0"/>
          <w:color w:val="auto"/>
          <w:kern w:val="0"/>
          <w:sz w:val="30"/>
          <w:szCs w:val="30"/>
          <w:u w:val="none"/>
          <w:shd w:val="clear" w:fill="FFFFFF"/>
          <w:lang w:val="en-US" w:eastAsia="zh-CN" w:bidi="ar"/>
        </w:rPr>
        <w:t>许昌市创业服务中心B座市住建局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（七）分包：允许□不允许</w:t>
      </w:r>
      <w:r>
        <w:rPr>
          <w:rFonts w:hint="eastAsia" w:ascii="微软雅黑" w:hAnsi="微软雅黑" w:eastAsia="微软雅黑" w:cs="微软雅黑"/>
          <w:b w:val="0"/>
          <w:i w:val="0"/>
          <w:color w:val="00000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rFonts w:hint="eastAsia" w:ascii="黑体" w:hAnsi="宋体" w:eastAsia="黑体" w:cs="黑体"/>
          <w:b w:val="0"/>
          <w:i w:val="0"/>
          <w:color w:val="000000"/>
          <w:kern w:val="0"/>
          <w:sz w:val="30"/>
          <w:szCs w:val="30"/>
          <w:u w:val="none"/>
          <w:shd w:val="clear" w:fill="FFFFFF"/>
          <w:lang w:val="en-US" w:eastAsia="zh-CN" w:bidi="ar"/>
        </w:rPr>
      </w:pPr>
      <w:r>
        <w:rPr>
          <w:rFonts w:hint="eastAsia" w:ascii="黑体" w:hAnsi="宋体" w:eastAsia="黑体" w:cs="黑体"/>
          <w:b w:val="0"/>
          <w:i w:val="0"/>
          <w:color w:val="000000"/>
          <w:kern w:val="0"/>
          <w:sz w:val="30"/>
          <w:szCs w:val="30"/>
          <w:u w:val="none"/>
          <w:shd w:val="clear" w:fill="FFFFFF"/>
          <w:lang w:val="en-US" w:eastAsia="zh-CN" w:bidi="ar"/>
        </w:rPr>
        <w:t>二、需要落实的政府采购政策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本项目落实节能环保</w:t>
      </w:r>
      <w:r>
        <w:rPr>
          <w:rFonts w:hint="eastAsia" w:ascii="微软雅黑" w:hAnsi="微软雅黑" w:eastAsia="微软雅黑" w:cs="微软雅黑"/>
          <w:b w:val="0"/>
          <w:i w:val="0"/>
          <w:color w:val="000000"/>
          <w:kern w:val="0"/>
          <w:sz w:val="24"/>
          <w:szCs w:val="24"/>
          <w:shd w:val="clear" w:fill="FFFFFF"/>
          <w:lang w:val="en-US" w:eastAsia="zh-CN" w:bidi="ar"/>
        </w:rPr>
        <w:t>√</w:t>
      </w:r>
      <w:r>
        <w:rPr>
          <w:rFonts w:hint="eastAsia" w:ascii="仿宋" w:hAnsi="仿宋" w:eastAsia="仿宋" w:cs="仿宋"/>
          <w:b w:val="0"/>
          <w:i w:val="0"/>
          <w:color w:val="000000"/>
          <w:kern w:val="0"/>
          <w:sz w:val="30"/>
          <w:szCs w:val="30"/>
          <w:u w:val="none"/>
          <w:shd w:val="clear" w:fill="FFFFFF"/>
          <w:lang w:val="en-US" w:eastAsia="zh-CN" w:bidi="ar"/>
        </w:rPr>
        <w:t>、中小微型企业扶持</w:t>
      </w:r>
      <w:r>
        <w:rPr>
          <w:rFonts w:hint="eastAsia" w:ascii="微软雅黑" w:hAnsi="微软雅黑" w:eastAsia="微软雅黑" w:cs="微软雅黑"/>
          <w:b w:val="0"/>
          <w:i w:val="0"/>
          <w:color w:val="000000"/>
          <w:kern w:val="0"/>
          <w:sz w:val="24"/>
          <w:szCs w:val="24"/>
          <w:shd w:val="clear" w:fill="FFFFFF"/>
          <w:lang w:val="en-US" w:eastAsia="zh-CN" w:bidi="ar"/>
        </w:rPr>
        <w:t>√</w:t>
      </w:r>
      <w:r>
        <w:rPr>
          <w:rFonts w:hint="eastAsia" w:ascii="仿宋" w:hAnsi="仿宋" w:eastAsia="仿宋" w:cs="仿宋"/>
          <w:b w:val="0"/>
          <w:i w:val="0"/>
          <w:color w:val="000000"/>
          <w:kern w:val="0"/>
          <w:sz w:val="30"/>
          <w:szCs w:val="30"/>
          <w:u w:val="none"/>
          <w:shd w:val="clear" w:fill="FFFFFF"/>
          <w:lang w:val="en-US" w:eastAsia="zh-CN" w:bidi="ar"/>
        </w:rPr>
        <w:t>、残疾人福利性单位扶持</w:t>
      </w:r>
      <w:r>
        <w:rPr>
          <w:rFonts w:hint="eastAsia" w:ascii="微软雅黑" w:hAnsi="微软雅黑" w:eastAsia="微软雅黑" w:cs="微软雅黑"/>
          <w:b w:val="0"/>
          <w:i w:val="0"/>
          <w:color w:val="000000"/>
          <w:kern w:val="0"/>
          <w:sz w:val="24"/>
          <w:szCs w:val="24"/>
          <w:shd w:val="clear" w:fill="FFFFFF"/>
          <w:lang w:val="en-US" w:eastAsia="zh-CN" w:bidi="ar"/>
        </w:rPr>
        <w:t>√</w:t>
      </w:r>
      <w:r>
        <w:rPr>
          <w:rFonts w:hint="eastAsia" w:ascii="仿宋" w:hAnsi="仿宋" w:eastAsia="仿宋" w:cs="仿宋"/>
          <w:b w:val="0"/>
          <w:i w:val="0"/>
          <w:color w:val="000000"/>
          <w:kern w:val="0"/>
          <w:sz w:val="30"/>
          <w:szCs w:val="30"/>
          <w:u w:val="none"/>
          <w:shd w:val="clear" w:fill="FFFFFF"/>
          <w:lang w:val="en-US" w:eastAsia="zh-CN" w:bidi="ar"/>
        </w:rPr>
        <w:t>等相关政府采购政策。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（一）具备《政府采购法》第二十二条第一款规定条件并提供相关材料。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（二）本次招标接受□不接受</w:t>
      </w:r>
      <w:r>
        <w:rPr>
          <w:rFonts w:hint="eastAsia" w:ascii="微软雅黑" w:hAnsi="微软雅黑" w:eastAsia="微软雅黑" w:cs="微软雅黑"/>
          <w:b w:val="0"/>
          <w:i w:val="0"/>
          <w:color w:val="000000"/>
          <w:kern w:val="0"/>
          <w:sz w:val="24"/>
          <w:szCs w:val="24"/>
          <w:shd w:val="clear" w:fill="FFFFFF"/>
          <w:lang w:val="en-US" w:eastAsia="zh-CN" w:bidi="ar"/>
        </w:rPr>
        <w:t>√</w:t>
      </w:r>
      <w:r>
        <w:rPr>
          <w:rFonts w:hint="eastAsia" w:ascii="仿宋" w:hAnsi="仿宋" w:eastAsia="仿宋" w:cs="仿宋"/>
          <w:b w:val="0"/>
          <w:i w:val="0"/>
          <w:color w:val="000000"/>
          <w:kern w:val="0"/>
          <w:sz w:val="30"/>
          <w:szCs w:val="30"/>
          <w:u w:val="none"/>
          <w:shd w:val="clear" w:fill="FFFFFF"/>
          <w:lang w:val="en-US" w:eastAsia="zh-CN" w:bidi="ar"/>
        </w:rPr>
        <w:t>联合体投标。</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00" w:firstLineChars="200"/>
        <w:jc w:val="both"/>
        <w:textAlignment w:val="baseline"/>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（三）根据采购项目特殊要求，规定投标人的特定条件：</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rPr>
          <w:rFonts w:ascii="仿宋" w:hAnsi="仿宋" w:eastAsia="仿宋" w:cs="仿宋"/>
          <w:color w:val="auto"/>
          <w:kern w:val="0"/>
          <w:sz w:val="32"/>
          <w:szCs w:val="32"/>
        </w:rPr>
      </w:pPr>
      <w:r>
        <w:rPr>
          <w:rFonts w:hint="eastAsia" w:ascii="仿宋" w:hAnsi="仿宋" w:eastAsia="仿宋" w:cs="仿宋"/>
          <w:color w:val="auto"/>
          <w:kern w:val="0"/>
          <w:sz w:val="32"/>
          <w:szCs w:val="32"/>
        </w:rPr>
        <w:t>供应商须具有城乡规划编制资质甲级及以上证书；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四、采购需求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（一）本项目需实现的功能或者目标</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 w:hAnsi="仿宋" w:eastAsia="仿宋" w:cs="仿宋"/>
          <w:color w:val="000000"/>
          <w:kern w:val="0"/>
          <w:sz w:val="32"/>
          <w:szCs w:val="32"/>
          <w:u w:val="none"/>
        </w:rPr>
      </w:pPr>
      <w:r>
        <w:rPr>
          <w:rFonts w:hint="eastAsia" w:ascii="仿宋" w:hAnsi="仿宋" w:eastAsia="仿宋" w:cs="仿宋"/>
          <w:color w:val="000000"/>
          <w:kern w:val="0"/>
          <w:sz w:val="32"/>
          <w:szCs w:val="32"/>
        </w:rPr>
        <w:t>国家发展改革委关于印发《加快城市停车场建设近期工作要点与任务分工》的通知（发改基础[2016]159号），明确提出：“停车场是支撑现代城市发展的重要基础设施。加快停车场建设，增加有效供给，补强城市发展短板，解决居民停车难问题，是惠民便民的重大工程，也是当前改革创新、稳定经济增长的重要举措。”同时，</w:t>
      </w:r>
      <w:r>
        <w:rPr>
          <w:rFonts w:hint="eastAsia"/>
        </w:rPr>
        <w:t xml:space="preserve"> </w:t>
      </w:r>
      <w:r>
        <w:rPr>
          <w:rFonts w:hint="eastAsia" w:ascii="仿宋" w:hAnsi="仿宋" w:eastAsia="仿宋" w:cs="仿宋"/>
          <w:color w:val="000000"/>
          <w:kern w:val="0"/>
          <w:sz w:val="32"/>
          <w:szCs w:val="32"/>
        </w:rPr>
        <w:t>对《关于加强城市停车设施建设的指导意见》（发改基础[2015]1788号，以下简称《指导意见》）中的重点任务进行分解，确定近期工作要点和任务，要求各城市人民政府编制停车设施专项规划、制定加快停车场建设的具体细则等。《中共河南省委河南人民政府关于推进百城建设提质工程的意见》（豫发[2016]39号），明确提出：“各县（市）要依据城市总体规划和各类专项规划，结合新区开发、老城改造、城中村改造、棚户区改造和新型城镇化建设，统筹分类做好项目规划”。许昌市政府为响应国家发改委文件精神以及深入贯彻百城提质精神，解决居民停车难问题，</w:t>
      </w:r>
      <w:r>
        <w:rPr>
          <w:rFonts w:hint="eastAsia" w:ascii="仿宋" w:hAnsi="仿宋" w:eastAsia="仿宋" w:cs="仿宋"/>
          <w:color w:val="000000"/>
          <w:kern w:val="0"/>
          <w:sz w:val="32"/>
          <w:szCs w:val="32"/>
          <w:u w:val="none"/>
        </w:rPr>
        <w:t>组织编制《许昌市中心城区停车场专项规划（2018-2030年）》和《许昌市老城区公共停车场规划方案》。</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停车专项规划要依据城市总体规划和综合交通体系规划，立足城市交通发展战略，将停车作为交通需求管理的重要手段，适度满足居住区基本停车和从严控制出行停车，统筹城市功能分区的区位特征、用地属性、公共交通发展等状况，合理测算停车需求，明确阶段性适应目标，优化设施布局，制定近期实施方案，建立项目库，并及时公布。同时，将该规划及时纳入城市用地控制性详细规划。</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构建与许昌市城市交通发展的总体战略相适应，采取供应控制和供需平衡两种不同策略，坚持节约资源原则、规划、建设与管理并重，三位一体的原则，配建走向公共化的停车规划系统。</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 w:hAnsi="仿宋" w:eastAsia="仿宋" w:cs="仿宋"/>
          <w:color w:val="000000" w:themeColor="text1"/>
          <w:kern w:val="0"/>
          <w:sz w:val="32"/>
          <w:szCs w:val="32"/>
          <w:u w:val="none"/>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规划范围：</w:t>
      </w:r>
      <w:r>
        <w:rPr>
          <w:rFonts w:hint="eastAsia" w:ascii="仿宋" w:hAnsi="仿宋" w:eastAsia="仿宋" w:cs="仿宋"/>
          <w:color w:val="000000" w:themeColor="text1"/>
          <w:kern w:val="0"/>
          <w:sz w:val="32"/>
          <w:szCs w:val="32"/>
          <w:u w:val="none"/>
          <w14:textFill>
            <w14:solidFill>
              <w14:schemeClr w14:val="tx1"/>
            </w14:solidFill>
          </w14:textFill>
        </w:rPr>
        <w:t>《许昌市中心城区停车场专项规划》（2018-2030年）与许昌市总体规划一致，包括许昌市魏都区、经济技术开发区、东城区、建安区和市城乡一体化示范区等；《许昌市老城区公共停车场规划方案》为延安路、八一路、许由路和清潩河围合区域，总面积约为18.5平方公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规划年限：</w:t>
      </w:r>
      <w:r>
        <w:rPr>
          <w:rFonts w:hint="eastAsia" w:ascii="仿宋" w:hAnsi="仿宋" w:eastAsia="仿宋" w:cs="仿宋"/>
          <w:color w:val="000000" w:themeColor="text1"/>
          <w:kern w:val="0"/>
          <w:sz w:val="32"/>
          <w:szCs w:val="32"/>
          <w14:textFill>
            <w14:solidFill>
              <w14:schemeClr w14:val="tx1"/>
            </w14:solidFill>
          </w14:textFill>
        </w:rPr>
        <w:t>《许昌市中心城区停车场专项规划（2018-2030年）》近期考虑至2020年，远期考虑至2030年；《许昌市老城区公共停车场规划方案》规划年限为2018-2020年</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40"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规划总体要求：</w:t>
      </w:r>
      <w:r>
        <w:rPr>
          <w:rFonts w:hint="eastAsia" w:ascii="仿宋" w:hAnsi="仿宋" w:eastAsia="仿宋" w:cs="仿宋"/>
          <w:color w:val="000000" w:themeColor="text1"/>
          <w:kern w:val="0"/>
          <w:sz w:val="32"/>
          <w:szCs w:val="32"/>
          <w14:textFill>
            <w14:solidFill>
              <w14:schemeClr w14:val="tx1"/>
            </w14:solidFill>
          </w14:textFill>
        </w:rPr>
        <w:t>符合国家和地方相关规范、规程，满足业主要求，确保顺利通过各部门审批。</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满足国家对城市停车设施专项规划编制的深度要求</w:t>
      </w:r>
      <w:r>
        <w:rPr>
          <w:rFonts w:hint="eastAsia" w:ascii="仿宋" w:hAnsi="仿宋" w:eastAsia="仿宋" w:cs="仿宋"/>
          <w:color w:val="000000"/>
          <w:kern w:val="0"/>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《许昌市中心城区停车场专项规划（2018-2030年）》达到《城市停车规划规范》要求的基础上，结合许昌市自身特点进行深入调查研究，完成规划设计。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1.1结合许昌市总体规划、许昌市道路（含停车）专项规划及城市发展实际情况，制定城市停车发展的目标和战略，制定停车分区与策略；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1.2通过停车需求预测，合理规划公共停车设施；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1.3结合城市发展现状，制定许昌市各类建筑物机动车和非机动车的停车配建指标建议值并提出实施建议；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1.4提出许昌市停车场近期建设规划。</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《许昌市老城区公共停车场规划方案》结合许昌市老城区自身特点进行深入调查研究，完成规划方案。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2.1结合许昌市总体规划、许昌市道路（含停车）专项规划及老城区发展实际情况，分析老城区现状停车问题；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2.2 结合老城区实际情况，制定许昌市老城区公共停车场布局方案及建设计划。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（二）采购标的规划成果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1.《许昌市中心城区停车场专项规划（2018-2030年）》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1.1 《许昌市中心城区停车场专项规划（2018-2030年）》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文本；</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1.2 《许昌市中心城区停车场专项规划（2018-2030年）》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说明书；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1.3《许昌市中心城区停车场专项规划（2018-2030年）》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图册；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2.《许昌市老城区公共停车场规划方案》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2.1《许昌市老城区公共停车场规划方案》报告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以上全部规划均应制作计算机文件，文本文件采用Microsoft Word的DOC格式文件，图形文件采用AutoCAD.dwg格式文件，如有动画及渲染图等计算机文件，应考虑采用国内普及、通用的应用软件制作。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（三）采购标的执行标准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1、《中华人民共和国城乡规划法》；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2、《城市停车设施规划导则》，2015年9月；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3、《城市道路交通规划设计规范》（GB50220—1995）；</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4、《城市道路路内停车泊位设置规范》( GA/T 850—2009);</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5、《城市公共设施规划规范》（GB50442—2008）</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6、《城市停车规划规范》（GB/T 51149-2016）</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7、《停车场规划设计规则（试行）》（公安部/建设部881003颁，890101实施）；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8、《许昌市城市总体规划》；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9、《许昌市道路（含停车设施）专项规划》；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10、《城市道路交通设施设计规范》（GB 50688-2011）；</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11、国家发展改革委关于印发《加快城市停车场建设近期工作要点与任务分工》的通知（发改基础[2016]159号）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12、《关于加强城市停车设施建设的指导意见》（发改基础[2015]1788号）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rPr>
        <w:t>13、其他相关的规范、标准、文件。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（四）验收标准</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专门成立5人项目验收小组，对项目成果是否符合许昌市实际情况进行验收；聘请交通、市政道路方面的专家各1人，对项目成果的内容和深度进行验收；验收过程严格按照国家相关规范和《城市规划编制办法》及招标文件中项目技术要求进行验收，验收合格后，出具项目验收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（五）采购标的的其他技术、服务等要求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auto"/>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w:t>
      </w:r>
      <w:r>
        <w:rPr>
          <w:rFonts w:hint="eastAsia" w:ascii="仿宋" w:hAnsi="仿宋" w:eastAsia="仿宋" w:cs="仿宋"/>
          <w:color w:val="auto"/>
          <w:kern w:val="0"/>
          <w:sz w:val="32"/>
          <w:szCs w:val="32"/>
        </w:rPr>
        <w:t>规划编制技术成果</w:t>
      </w:r>
      <w:r>
        <w:rPr>
          <w:rFonts w:hint="eastAsia" w:ascii="仿宋" w:hAnsi="仿宋" w:eastAsia="仿宋" w:cs="仿宋"/>
          <w:color w:val="auto"/>
          <w:kern w:val="0"/>
          <w:sz w:val="32"/>
          <w:szCs w:val="32"/>
          <w:lang w:eastAsia="zh-CN"/>
        </w:rPr>
        <w:t>经专家评审并修改后，</w:t>
      </w:r>
      <w:r>
        <w:rPr>
          <w:rFonts w:hint="eastAsia" w:ascii="仿宋" w:hAnsi="仿宋" w:eastAsia="仿宋" w:cs="仿宋"/>
          <w:color w:val="auto"/>
          <w:kern w:val="0"/>
          <w:sz w:val="32"/>
          <w:szCs w:val="32"/>
        </w:rPr>
        <w:t>必须通过</w:t>
      </w:r>
      <w:r>
        <w:rPr>
          <w:rFonts w:hint="eastAsia" w:ascii="仿宋" w:hAnsi="仿宋" w:eastAsia="仿宋" w:cs="仿宋"/>
          <w:color w:val="auto"/>
          <w:kern w:val="0"/>
          <w:sz w:val="32"/>
          <w:szCs w:val="32"/>
          <w:lang w:eastAsia="zh-CN"/>
        </w:rPr>
        <w:t>许昌市规划委员会的审批</w:t>
      </w:r>
      <w:r>
        <w:rPr>
          <w:rFonts w:hint="eastAsia" w:ascii="仿宋" w:hAnsi="仿宋" w:eastAsia="仿宋" w:cs="仿宋"/>
          <w:color w:val="auto"/>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.本项目投标报价为总报价，包含现场调研、资料收集、</w:t>
      </w:r>
      <w:r>
        <w:rPr>
          <w:rFonts w:hint="eastAsia" w:ascii="仿宋" w:hAnsi="仿宋" w:eastAsia="仿宋" w:cs="仿宋"/>
          <w:color w:val="auto"/>
          <w:kern w:val="0"/>
          <w:sz w:val="32"/>
          <w:szCs w:val="32"/>
        </w:rPr>
        <w:t>评审、税金、服务费等一切与之相关的费用。</w:t>
      </w:r>
      <w:r>
        <w:rPr>
          <w:rFonts w:hint="eastAsia" w:ascii="仿宋" w:hAnsi="仿宋" w:eastAsia="仿宋" w:cs="仿宋"/>
          <w:color w:val="000000"/>
          <w:kern w:val="0"/>
          <w:sz w:val="32"/>
          <w:szCs w:val="32"/>
        </w:rPr>
        <w:t>负责提供最终交付验收所需的一切技术成果和资料；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五、评标方法和评标标准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rFonts w:hint="eastAsia" w:ascii="微软雅黑" w:hAnsi="微软雅黑" w:eastAsia="微软雅黑" w:cs="微软雅黑"/>
          <w:b w:val="0"/>
          <w:i w:val="0"/>
          <w:color w:val="000000"/>
          <w:kern w:val="0"/>
          <w:sz w:val="24"/>
          <w:szCs w:val="24"/>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（一）评标方法：综合评分法</w:t>
      </w:r>
      <w:r>
        <w:rPr>
          <w:rFonts w:hint="eastAsia" w:ascii="微软雅黑" w:hAnsi="微软雅黑" w:eastAsia="微软雅黑" w:cs="微软雅黑"/>
          <w:b w:val="0"/>
          <w:i w:val="0"/>
          <w:color w:val="00000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（二）综合评分法评标标准：</w:t>
      </w:r>
    </w:p>
    <w:tbl>
      <w:tblPr>
        <w:tblStyle w:val="7"/>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69"/>
        <w:gridCol w:w="57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600"/>
              <w:jc w:val="left"/>
              <w:rPr>
                <w:b w:val="0"/>
                <w:i w:val="0"/>
              </w:rPr>
            </w:pPr>
            <w:r>
              <w:rPr>
                <w:rFonts w:hint="eastAsia" w:ascii="微软雅黑" w:hAnsi="微软雅黑" w:eastAsia="微软雅黑" w:cs="微软雅黑"/>
                <w:b w:val="0"/>
                <w:i w:val="0"/>
                <w:color w:val="000000"/>
                <w:kern w:val="0"/>
                <w:sz w:val="24"/>
                <w:szCs w:val="24"/>
                <w:shd w:val="clear" w:fill="FFFFFF"/>
                <w:lang w:val="en-US" w:eastAsia="zh-CN" w:bidi="ar"/>
              </w:rPr>
              <w:t> </w:t>
            </w:r>
            <w:r>
              <w:rPr>
                <w:rFonts w:hint="eastAsia" w:ascii="仿宋" w:hAnsi="仿宋" w:eastAsia="仿宋" w:cs="仿宋"/>
                <w:b w:val="0"/>
                <w:i w:val="0"/>
                <w:color w:val="000000"/>
                <w:kern w:val="0"/>
                <w:sz w:val="24"/>
                <w:szCs w:val="24"/>
                <w:u w:val="none"/>
                <w:lang w:val="en-US" w:eastAsia="zh-CN" w:bidi="ar"/>
              </w:rPr>
              <w:t>分值构成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none"/>
                <w:lang w:val="en-US" w:eastAsia="zh-CN" w:bidi="ar"/>
              </w:rPr>
              <w:t>(总分100分)</w:t>
            </w:r>
          </w:p>
        </w:tc>
        <w:tc>
          <w:tcPr>
            <w:tcW w:w="6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价格分值：</w:t>
            </w:r>
            <w:r>
              <w:rPr>
                <w:rFonts w:hint="eastAsia" w:ascii="仿宋" w:hAnsi="仿宋" w:eastAsia="仿宋" w:cs="仿宋"/>
                <w:b w:val="0"/>
                <w:i w:val="0"/>
                <w:color w:val="000000"/>
                <w:kern w:val="0"/>
                <w:sz w:val="24"/>
                <w:szCs w:val="24"/>
                <w:u w:val="single"/>
                <w:lang w:val="en-US" w:eastAsia="zh-CN" w:bidi="ar"/>
              </w:rPr>
              <w:t xml:space="preserve">  35  </w:t>
            </w:r>
            <w:r>
              <w:rPr>
                <w:rFonts w:hint="eastAsia" w:ascii="仿宋" w:hAnsi="仿宋" w:eastAsia="仿宋" w:cs="仿宋"/>
                <w:b w:val="0"/>
                <w:i w:val="0"/>
                <w:color w:val="000000"/>
                <w:kern w:val="0"/>
                <w:sz w:val="24"/>
                <w:szCs w:val="24"/>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商务部分：</w:t>
            </w:r>
            <w:r>
              <w:rPr>
                <w:rFonts w:hint="eastAsia" w:ascii="仿宋" w:hAnsi="仿宋" w:eastAsia="仿宋" w:cs="仿宋"/>
                <w:b w:val="0"/>
                <w:i w:val="0"/>
                <w:color w:val="000000"/>
                <w:kern w:val="0"/>
                <w:sz w:val="24"/>
                <w:szCs w:val="24"/>
                <w:u w:val="single"/>
                <w:lang w:val="en-US" w:eastAsia="zh-CN" w:bidi="ar"/>
              </w:rPr>
              <w:t xml:space="preserve"> 35 </w:t>
            </w:r>
            <w:r>
              <w:rPr>
                <w:rFonts w:hint="eastAsia" w:ascii="仿宋" w:hAnsi="仿宋" w:eastAsia="仿宋" w:cs="仿宋"/>
                <w:b w:val="0"/>
                <w:i w:val="0"/>
                <w:color w:val="000000"/>
                <w:kern w:val="0"/>
                <w:sz w:val="24"/>
                <w:szCs w:val="24"/>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技术部分：</w:t>
            </w:r>
            <w:r>
              <w:rPr>
                <w:rFonts w:hint="eastAsia" w:ascii="仿宋" w:hAnsi="仿宋" w:eastAsia="仿宋" w:cs="仿宋"/>
                <w:b w:val="0"/>
                <w:i w:val="0"/>
                <w:color w:val="000000"/>
                <w:kern w:val="0"/>
                <w:sz w:val="24"/>
                <w:szCs w:val="24"/>
                <w:u w:val="single"/>
                <w:lang w:val="en-US" w:eastAsia="zh-CN" w:bidi="ar"/>
              </w:rPr>
              <w:t xml:space="preserve"> 30  </w:t>
            </w:r>
            <w:r>
              <w:rPr>
                <w:rFonts w:hint="eastAsia" w:ascii="仿宋" w:hAnsi="仿宋" w:eastAsia="仿宋" w:cs="仿宋"/>
                <w:b w:val="0"/>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一、价格部分（满分</w:t>
            </w:r>
            <w:r>
              <w:rPr>
                <w:rFonts w:hint="eastAsia" w:ascii="仿宋" w:hAnsi="仿宋" w:eastAsia="仿宋" w:cs="仿宋"/>
                <w:b/>
                <w:i w:val="0"/>
                <w:color w:val="000000"/>
                <w:kern w:val="0"/>
                <w:sz w:val="24"/>
                <w:szCs w:val="24"/>
                <w:u w:val="single"/>
                <w:lang w:val="en-US" w:eastAsia="zh-CN" w:bidi="ar"/>
              </w:rPr>
              <w:t>35</w:t>
            </w:r>
            <w:r>
              <w:rPr>
                <w:rFonts w:hint="eastAsia" w:ascii="仿宋" w:hAnsi="仿宋" w:eastAsia="仿宋" w:cs="仿宋"/>
                <w:b/>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评分因素</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none"/>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none"/>
                <w:lang w:val="en-US" w:eastAsia="zh-CN" w:bidi="ar"/>
              </w:rPr>
              <w:t>评分标准</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rPr>
            </w:pPr>
            <w:r>
              <w:rPr>
                <w:rFonts w:hint="eastAsia" w:ascii="仿宋" w:hAnsi="仿宋" w:eastAsia="仿宋" w:cs="仿宋"/>
                <w:b w:val="0"/>
                <w:i w:val="0"/>
                <w:color w:val="000000"/>
                <w:kern w:val="0"/>
                <w:sz w:val="24"/>
                <w:szCs w:val="24"/>
                <w:u w:val="none"/>
                <w:lang w:val="en-US" w:eastAsia="zh-CN" w:bidi="ar"/>
              </w:rPr>
              <w:t>评标基准价：满足招标文件要求的有效投标报价中，最低的投标报价为评标基准价。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rPr>
            </w:pPr>
            <w:r>
              <w:rPr>
                <w:rFonts w:hint="eastAsia" w:ascii="仿宋" w:hAnsi="仿宋" w:eastAsia="仿宋" w:cs="仿宋"/>
                <w:b w:val="0"/>
                <w:i w:val="0"/>
                <w:color w:val="000000"/>
                <w:kern w:val="0"/>
                <w:sz w:val="24"/>
                <w:szCs w:val="24"/>
                <w:u w:val="none"/>
                <w:lang w:val="en-US" w:eastAsia="zh-CN" w:bidi="ar"/>
              </w:rPr>
              <w:t>投标报价得分=（评标基准价/投标报价）×</w:t>
            </w:r>
            <w:r>
              <w:rPr>
                <w:rFonts w:hint="eastAsia" w:ascii="仿宋" w:hAnsi="仿宋" w:eastAsia="仿宋" w:cs="仿宋"/>
                <w:b w:val="0"/>
                <w:i w:val="0"/>
                <w:color w:val="000000"/>
                <w:kern w:val="0"/>
                <w:sz w:val="24"/>
                <w:szCs w:val="24"/>
                <w:u w:val="single"/>
                <w:lang w:val="en-US" w:eastAsia="zh-CN" w:bidi="ar"/>
              </w:rPr>
              <w:t xml:space="preserve"> 35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val="0"/>
                <w:i w:val="0"/>
                <w:color w:val="000000"/>
                <w:kern w:val="0"/>
                <w:sz w:val="24"/>
                <w:szCs w:val="24"/>
                <w:u w:val="single"/>
                <w:lang w:val="en-US" w:eastAsia="zh-CN" w:bidi="ar"/>
              </w:rPr>
              <w:t>35</w:t>
            </w:r>
            <w:r>
              <w:rPr>
                <w:rFonts w:hint="eastAsia" w:ascii="仿宋" w:hAnsi="仿宋" w:eastAsia="仿宋" w:cs="仿宋"/>
                <w:b w:val="0"/>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二、商务部分（满分</w:t>
            </w:r>
            <w:r>
              <w:rPr>
                <w:rFonts w:hint="eastAsia" w:ascii="仿宋" w:hAnsi="仿宋" w:eastAsia="仿宋" w:cs="仿宋"/>
                <w:b/>
                <w:i w:val="0"/>
                <w:color w:val="000000"/>
                <w:kern w:val="0"/>
                <w:sz w:val="24"/>
                <w:szCs w:val="24"/>
                <w:u w:val="single"/>
                <w:lang w:val="en-US" w:eastAsia="zh-CN" w:bidi="ar"/>
              </w:rPr>
              <w:t> 35</w:t>
            </w:r>
            <w:r>
              <w:rPr>
                <w:rFonts w:hint="eastAsia" w:ascii="仿宋" w:hAnsi="仿宋" w:eastAsia="仿宋" w:cs="仿宋"/>
                <w:b/>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评分因素</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企业资质</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具有市政行业（道路工程、公共交通工程）专业甲级资质者得5分。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业  绩</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2012年以来，承担过类似项目业绩的，每项得</w:t>
            </w:r>
            <w:r>
              <w:rPr>
                <w:rFonts w:hint="eastAsia" w:ascii="仿宋" w:hAnsi="仿宋" w:eastAsia="仿宋" w:cs="仿宋"/>
                <w:b w:val="0"/>
                <w:i w:val="0"/>
                <w:color w:val="auto"/>
                <w:kern w:val="0"/>
                <w:sz w:val="24"/>
                <w:szCs w:val="24"/>
                <w:u w:val="none"/>
                <w:lang w:val="en-US" w:eastAsia="zh-CN" w:bidi="ar"/>
              </w:rPr>
              <w:t>3</w:t>
            </w:r>
            <w:r>
              <w:rPr>
                <w:rFonts w:hint="eastAsia" w:ascii="仿宋" w:hAnsi="仿宋" w:eastAsia="仿宋" w:cs="仿宋"/>
                <w:b w:val="0"/>
                <w:i w:val="0"/>
                <w:color w:val="000000"/>
                <w:kern w:val="0"/>
                <w:sz w:val="24"/>
                <w:szCs w:val="24"/>
                <w:u w:val="none"/>
                <w:lang w:val="en-US" w:eastAsia="zh-CN" w:bidi="ar"/>
              </w:rPr>
              <w:t>分，没有不得分，最多得12分。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auto"/>
                <w:kern w:val="0"/>
                <w:sz w:val="24"/>
                <w:szCs w:val="24"/>
                <w:u w:val="none"/>
                <w:lang w:val="en-US" w:eastAsia="zh-CN" w:bidi="ar"/>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企业荣誉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投标人2013年至今承担过的城乡规划项目获得过省级（含）以上</w:t>
            </w:r>
            <w:r>
              <w:rPr>
                <w:rFonts w:hint="eastAsia" w:ascii="仿宋" w:hAnsi="仿宋" w:eastAsia="仿宋" w:cs="仿宋"/>
                <w:b w:val="0"/>
                <w:i w:val="0"/>
                <w:color w:val="auto"/>
                <w:kern w:val="0"/>
                <w:sz w:val="24"/>
                <w:szCs w:val="24"/>
                <w:u w:val="none"/>
                <w:lang w:val="en-US" w:eastAsia="zh-CN" w:bidi="ar"/>
              </w:rPr>
              <w:t>城乡规划类设计一等奖的，每项得3分，省级（含）以上城乡规划类设计二等奖的，每项得2分，省级（含）以上城乡规划类设计三</w:t>
            </w:r>
            <w:r>
              <w:rPr>
                <w:rFonts w:hint="eastAsia" w:ascii="仿宋" w:hAnsi="仿宋" w:eastAsia="仿宋" w:cs="仿宋"/>
                <w:b w:val="0"/>
                <w:i w:val="0"/>
                <w:color w:val="000000"/>
                <w:kern w:val="0"/>
                <w:sz w:val="24"/>
                <w:szCs w:val="24"/>
                <w:u w:val="none"/>
                <w:lang w:val="en-US" w:eastAsia="zh-CN" w:bidi="ar"/>
              </w:rPr>
              <w:t>等奖的，每项得1分。同一项目多次获奖的，按最高级别计分。最多得6分。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项目负责人</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拟委派项目负责人具有国家注册城市规划师资格证书和高级工程师职称证书者得3分；项目负责人具有注册城市规划师及教授级高级职称者得6分。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项目组人员配备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项目组成员（负责人除外）中具有从事城市规划相关的中级及以上工程类职称，每1人得1分，最高得3分；项目组成员具有城乡规划、交通规划相关专业博士学位或注册规划师者，每一人得1分，最高得3分。本小项最高得分为6分。（上述人员需由社保管理部门出具的有效社保证明，没有提供者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6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三、技术部分（满分</w:t>
            </w:r>
            <w:r>
              <w:rPr>
                <w:rFonts w:hint="eastAsia" w:ascii="仿宋" w:hAnsi="仿宋" w:eastAsia="仿宋" w:cs="仿宋"/>
                <w:b/>
                <w:i w:val="0"/>
                <w:color w:val="000000"/>
                <w:kern w:val="0"/>
                <w:sz w:val="24"/>
                <w:szCs w:val="24"/>
                <w:u w:val="single"/>
                <w:lang w:val="en-US" w:eastAsia="zh-CN" w:bidi="ar"/>
              </w:rPr>
              <w:t>30</w:t>
            </w:r>
            <w:r>
              <w:rPr>
                <w:rFonts w:hint="eastAsia" w:ascii="仿宋" w:hAnsi="仿宋" w:eastAsia="仿宋" w:cs="仿宋"/>
                <w:b/>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评分因素</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仿宋" w:hAnsi="仿宋" w:eastAsia="仿宋" w:cs="仿宋"/>
                <w:b/>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规划编制深度及编制思路框架</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描述详细，深度及思路框架完整清晰：15分，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有相关描述：7分，不提供不得分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规划编制质量管理体系与措施</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描述详细，体系措施完善：5分，有相关描述：2分，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不提供不得分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规划编制进度计划与实施措施</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描述详细，进度合理，措施完善：5分，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有相关描述：2分，不提供不得分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项目承诺</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承诺项目规划全过程与采购人密切配合，保持良好沟通，随叫随到的得5分，不承诺不得分。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5分</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Autospacing="0" w:afterAutospacing="0" w:line="600" w:lineRule="exact"/>
        <w:ind w:left="0" w:leftChars="0" w:right="0" w:rightChars="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六、采购资金支付</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600" w:firstLineChars="200"/>
        <w:jc w:val="both"/>
        <w:textAlignment w:val="baseline"/>
        <w:outlineLvl w:val="9"/>
        <w:rPr>
          <w:rFonts w:hint="eastAsia" w:ascii="仿宋" w:hAnsi="仿宋" w:eastAsia="仿宋" w:cs="仿宋"/>
          <w:b w:val="0"/>
          <w:i w:val="0"/>
          <w:color w:val="FF0000"/>
          <w:kern w:val="0"/>
          <w:sz w:val="30"/>
          <w:szCs w:val="30"/>
          <w:u w:val="singl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（一）支付方式：</w:t>
      </w:r>
      <w:r>
        <w:rPr>
          <w:rFonts w:hint="eastAsia" w:ascii="仿宋" w:hAnsi="仿宋" w:eastAsia="仿宋" w:cs="仿宋"/>
          <w:b w:val="0"/>
          <w:i w:val="0"/>
          <w:color w:val="auto"/>
          <w:kern w:val="0"/>
          <w:sz w:val="30"/>
          <w:szCs w:val="30"/>
          <w:u w:val="none"/>
          <w:shd w:val="clear" w:fill="FFFFFF"/>
          <w:lang w:val="en-US" w:eastAsia="zh-CN" w:bidi="ar"/>
        </w:rPr>
        <w:t>银行转账</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firstLine="600" w:firstLineChars="200"/>
        <w:jc w:val="both"/>
        <w:textAlignment w:val="baseline"/>
        <w:outlineLvl w:val="9"/>
        <w:rPr>
          <w:rFonts w:hint="eastAsia" w:ascii="仿宋" w:hAnsi="仿宋" w:eastAsia="仿宋" w:cs="仿宋"/>
          <w:color w:val="000000"/>
          <w:kern w:val="0"/>
          <w:sz w:val="32"/>
          <w:szCs w:val="32"/>
        </w:rPr>
      </w:pPr>
      <w:r>
        <w:rPr>
          <w:rFonts w:hint="eastAsia" w:ascii="仿宋" w:hAnsi="仿宋" w:eastAsia="仿宋" w:cs="仿宋"/>
          <w:b w:val="0"/>
          <w:i w:val="0"/>
          <w:color w:val="000000"/>
          <w:kern w:val="0"/>
          <w:sz w:val="30"/>
          <w:szCs w:val="30"/>
          <w:u w:val="none"/>
          <w:shd w:val="clear" w:fill="FFFFFF"/>
          <w:lang w:val="en-US" w:eastAsia="zh-CN" w:bidi="ar"/>
        </w:rPr>
        <w:t>（二）支付时间及条件：</w:t>
      </w:r>
      <w:r>
        <w:rPr>
          <w:rFonts w:hint="eastAsia" w:ascii="仿宋" w:hAnsi="仿宋" w:eastAsia="仿宋" w:cs="仿宋"/>
          <w:color w:val="000000"/>
          <w:kern w:val="0"/>
          <w:sz w:val="32"/>
          <w:szCs w:val="32"/>
        </w:rPr>
        <w:t>合同签订后支付合同总价款的10%，提交中间成果后支付合同总价的40%，规划通过评审后一次性支付剩余50%的合同总价款。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Autospacing="0" w:afterAutospacing="0" w:line="600" w:lineRule="exact"/>
        <w:ind w:left="0" w:leftChars="0" w:right="0" w:rightChars="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七、联系方式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Autospacing="0" w:afterAutospacing="0" w:line="600" w:lineRule="exact"/>
        <w:ind w:left="0" w:leftChars="0" w:right="0" w:rightChars="0" w:firstLine="795"/>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联系人姓名：谌少军           联系电话：13700899991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Autospacing="0" w:afterAutospacing="0" w:line="600" w:lineRule="exact"/>
        <w:ind w:left="0" w:leftChars="0" w:right="0" w:rightChars="0" w:firstLine="795"/>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单位地址：许昌市创业服务中心B座1321室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Autospacing="0" w:afterAutospacing="0" w:line="600" w:lineRule="exact"/>
        <w:ind w:left="0" w:leftChars="0" w:right="0" w:rightChars="0" w:firstLine="4350"/>
        <w:jc w:val="right"/>
        <w:rPr>
          <w:b w:val="0"/>
          <w:i w:val="0"/>
        </w:rPr>
      </w:pPr>
      <w:r>
        <w:rPr>
          <w:rFonts w:hint="eastAsia" w:ascii="仿宋" w:hAnsi="仿宋" w:eastAsia="仿宋" w:cs="仿宋"/>
          <w:b w:val="0"/>
          <w:i w:val="0"/>
          <w:color w:val="000000"/>
          <w:kern w:val="0"/>
          <w:sz w:val="30"/>
          <w:szCs w:val="30"/>
          <w:u w:val="none"/>
          <w:shd w:val="clear" w:fill="FFFFFF"/>
          <w:lang w:val="en-US" w:eastAsia="zh-CN" w:bidi="ar"/>
        </w:rPr>
        <w:t>单位全称（加盖单位公章）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5100"/>
        <w:jc w:val="right"/>
      </w:pPr>
      <w:r>
        <w:rPr>
          <w:rFonts w:hint="eastAsia" w:ascii="仿宋" w:hAnsi="仿宋" w:eastAsia="仿宋" w:cs="仿宋"/>
          <w:b w:val="0"/>
          <w:i w:val="0"/>
          <w:color w:val="000000"/>
          <w:kern w:val="0"/>
          <w:sz w:val="30"/>
          <w:szCs w:val="30"/>
          <w:u w:val="none"/>
          <w:shd w:val="clear" w:fill="FFFFFF"/>
          <w:lang w:val="en-US" w:eastAsia="zh-CN" w:bidi="ar"/>
        </w:rPr>
        <w:t>年   月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763BA"/>
    <w:rsid w:val="011806E5"/>
    <w:rsid w:val="023A0BB0"/>
    <w:rsid w:val="063B471C"/>
    <w:rsid w:val="11F44303"/>
    <w:rsid w:val="1538043B"/>
    <w:rsid w:val="1C647FB8"/>
    <w:rsid w:val="1F1A5495"/>
    <w:rsid w:val="21603188"/>
    <w:rsid w:val="27B97C53"/>
    <w:rsid w:val="2A1272E8"/>
    <w:rsid w:val="2B682F30"/>
    <w:rsid w:val="2D2A49C7"/>
    <w:rsid w:val="2F4459C7"/>
    <w:rsid w:val="302E45D5"/>
    <w:rsid w:val="354A553B"/>
    <w:rsid w:val="371406B5"/>
    <w:rsid w:val="39872AB2"/>
    <w:rsid w:val="398D7025"/>
    <w:rsid w:val="494F3B45"/>
    <w:rsid w:val="49DB5D3E"/>
    <w:rsid w:val="4AF23118"/>
    <w:rsid w:val="52C96BC2"/>
    <w:rsid w:val="56DF61AE"/>
    <w:rsid w:val="57597978"/>
    <w:rsid w:val="59931F55"/>
    <w:rsid w:val="5AA104E7"/>
    <w:rsid w:val="60C75303"/>
    <w:rsid w:val="654B18DB"/>
    <w:rsid w:val="691E26D0"/>
    <w:rsid w:val="6F3763BA"/>
    <w:rsid w:val="70BA79AE"/>
    <w:rsid w:val="74DF669C"/>
    <w:rsid w:val="79435B37"/>
    <w:rsid w:val="7B4C47A0"/>
    <w:rsid w:val="7D3108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FollowedHyperlink"/>
    <w:basedOn w:val="3"/>
    <w:qFormat/>
    <w:uiPriority w:val="0"/>
    <w:rPr>
      <w:color w:val="000000"/>
      <w:u w:val="none"/>
    </w:rPr>
  </w:style>
  <w:style w:type="character" w:styleId="5">
    <w:name w:val="Emphasis"/>
    <w:basedOn w:val="3"/>
    <w:qFormat/>
    <w:uiPriority w:val="0"/>
  </w:style>
  <w:style w:type="character" w:styleId="6">
    <w:name w:val="Hyperlink"/>
    <w:basedOn w:val="3"/>
    <w:qFormat/>
    <w:uiPriority w:val="0"/>
    <w:rPr>
      <w:color w:val="000000"/>
      <w:u w:val="none"/>
    </w:rPr>
  </w:style>
  <w:style w:type="character" w:customStyle="1" w:styleId="8">
    <w:name w:val="red"/>
    <w:basedOn w:val="3"/>
    <w:qFormat/>
    <w:uiPriority w:val="0"/>
    <w:rPr>
      <w:color w:val="FF0000"/>
      <w:sz w:val="18"/>
      <w:szCs w:val="18"/>
    </w:rPr>
  </w:style>
  <w:style w:type="character" w:customStyle="1" w:styleId="9">
    <w:name w:val="red1"/>
    <w:basedOn w:val="3"/>
    <w:qFormat/>
    <w:uiPriority w:val="0"/>
    <w:rPr>
      <w:color w:val="FF0000"/>
      <w:sz w:val="18"/>
      <w:szCs w:val="18"/>
    </w:rPr>
  </w:style>
  <w:style w:type="character" w:customStyle="1" w:styleId="10">
    <w:name w:val="red2"/>
    <w:basedOn w:val="3"/>
    <w:qFormat/>
    <w:uiPriority w:val="0"/>
    <w:rPr>
      <w:color w:val="FF0000"/>
    </w:rPr>
  </w:style>
  <w:style w:type="character" w:customStyle="1" w:styleId="11">
    <w:name w:val="green"/>
    <w:basedOn w:val="3"/>
    <w:qFormat/>
    <w:uiPriority w:val="0"/>
    <w:rPr>
      <w:color w:val="66AE00"/>
      <w:sz w:val="18"/>
      <w:szCs w:val="18"/>
    </w:rPr>
  </w:style>
  <w:style w:type="character" w:customStyle="1" w:styleId="12">
    <w:name w:val="green1"/>
    <w:basedOn w:val="3"/>
    <w:qFormat/>
    <w:uiPriority w:val="0"/>
    <w:rPr>
      <w:color w:val="66AE00"/>
      <w:sz w:val="18"/>
      <w:szCs w:val="18"/>
    </w:rPr>
  </w:style>
  <w:style w:type="character" w:customStyle="1" w:styleId="13">
    <w:name w:val="hover25"/>
    <w:basedOn w:val="3"/>
    <w:qFormat/>
    <w:uiPriority w:val="0"/>
  </w:style>
  <w:style w:type="character" w:customStyle="1" w:styleId="14">
    <w:name w:val="gb-jt"/>
    <w:basedOn w:val="3"/>
    <w:qFormat/>
    <w:uiPriority w:val="0"/>
  </w:style>
  <w:style w:type="character" w:customStyle="1" w:styleId="15">
    <w:name w:val="blue"/>
    <w:basedOn w:val="3"/>
    <w:qFormat/>
    <w:uiPriority w:val="0"/>
    <w:rPr>
      <w:color w:val="0371C6"/>
      <w:sz w:val="21"/>
      <w:szCs w:val="21"/>
    </w:rPr>
  </w:style>
  <w:style w:type="character" w:customStyle="1" w:styleId="16">
    <w:name w:val="right"/>
    <w:basedOn w:val="3"/>
    <w:qFormat/>
    <w:uiPriority w:val="0"/>
    <w:rPr>
      <w:color w:val="999999"/>
      <w:sz w:val="18"/>
      <w:szCs w:val="18"/>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2018-05-17T02:29:00Z</dcterms:created>
  <dc:creator>Administrator</dc:creator>
  <cp:lastModifiedBy>Administrator</cp:lastModifiedBy>
  <cp:lastPrinted>2018-05-28T01:02:00Z</cp:lastPrinted>
  <dcterms:modified xsi:type="dcterms:W3CDTF">2018-06-14T02:48:19Z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