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</w:pPr>
      <w:r>
        <w:rPr>
          <w:rFonts w:ascii="黑体" w:hAnsi="宋体" w:eastAsia="黑体" w:cs="黑体"/>
          <w:b/>
          <w:color w:val="000000"/>
          <w:kern w:val="0"/>
          <w:sz w:val="36"/>
          <w:szCs w:val="36"/>
          <w:shd w:val="clear" w:color="auto" w:fill="FFFFFF"/>
        </w:rPr>
        <w:t>政府采购项目采购需求提交说明</w:t>
      </w:r>
    </w:p>
    <w:p>
      <w:pPr>
        <w:widowControl/>
        <w:shd w:val="clear" w:color="auto" w:fill="FFFFFF"/>
        <w:spacing w:line="315" w:lineRule="atLeast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许昌市政府采购中心：</w:t>
      </w:r>
    </w:p>
    <w:p>
      <w:pPr>
        <w:widowControl/>
        <w:shd w:val="clear" w:color="auto" w:fill="FFFFFF"/>
        <w:spacing w:line="360" w:lineRule="atLeast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  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对于不允许偏离的实质性要求和条件，已以“</w:t>
      </w:r>
      <w:r>
        <w:rPr>
          <w:rFonts w:hint="eastAsia" w:ascii="仿宋" w:hAnsi="仿宋" w:eastAsia="仿宋" w:cs="仿宋"/>
          <w:b/>
          <w:color w:val="FF0000"/>
          <w:kern w:val="0"/>
          <w:sz w:val="30"/>
          <w:szCs w:val="30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”号标明。</w:t>
      </w:r>
    </w:p>
    <w:p>
      <w:pPr>
        <w:widowControl/>
        <w:shd w:val="clear" w:color="auto" w:fill="FFFFFF"/>
        <w:spacing w:line="360" w:lineRule="atLeast"/>
        <w:ind w:firstLine="602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0"/>
          <w:szCs w:val="30"/>
          <w:shd w:val="clear" w:color="auto" w:fill="FFFFFF"/>
        </w:rPr>
        <w:t>一、采购需求部分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3、我单位已了解《政府采购货物和服务招标投标管理办法》第七十七条相关规定。</w:t>
      </w:r>
    </w:p>
    <w:p>
      <w:pPr>
        <w:widowControl/>
        <w:shd w:val="clear" w:color="auto" w:fill="FFFFFF"/>
        <w:spacing w:line="360" w:lineRule="atLeast"/>
        <w:ind w:firstLine="602"/>
        <w:jc w:val="left"/>
      </w:pPr>
      <w:r>
        <w:rPr>
          <w:rFonts w:hint="eastAsia" w:ascii="黑体" w:hAnsi="宋体" w:eastAsia="黑体" w:cs="黑体"/>
          <w:b/>
          <w:color w:val="000000"/>
          <w:kern w:val="0"/>
          <w:sz w:val="30"/>
          <w:szCs w:val="30"/>
          <w:shd w:val="clear" w:color="auto" w:fill="FFFFFF"/>
        </w:rPr>
        <w:t>二、评标标准部分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1、我单位未将投标人的注册资本、资产总额、营业收入、从业人员、利润、纳税额等规模条件作为评审因素，对投标人实行差别待遇或者歧视待遇。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2、评审因素包括投标报价、技术或者服务水平、履约能力、售后服务等，设定与投标人所提供货物服务的质量相关，资格条件未设定为评审因素。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Times New Roman" w:hAnsi="Times New Roman" w:eastAsia="微软雅黑" w:cs="Times New Roman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Times New Roman" w:hAnsi="Times New Roman" w:eastAsia="微软雅黑" w:cs="Times New Roman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jc w:val="center"/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许昌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市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中级人民法院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互联网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庭审设备前端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eastAsia="仿宋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（一）项目名称：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shd w:val="clear" w:color="auto" w:fill="FFFFFF"/>
        </w:rPr>
        <w:t>互联网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shd w:val="clear" w:color="auto" w:fill="FFFFFF"/>
          <w:lang w:val="en-US" w:eastAsia="zh-CN"/>
        </w:rPr>
        <w:t>庭审设备前端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公开招标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  <w:lang w:val="en-US" w:eastAsia="zh-CN"/>
        </w:rPr>
        <w:t>庭审网关9套、一体机电脑9台、高清云台摄像机3台、音响及功放设备等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48万元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；最高限价：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48万元。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color w:va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（五）交付时间：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合同签订后30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日内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（六）交付地点：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许昌市中级人民法院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（七）进口产品：允许□不允许</w: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fldChar w:fldCharType="begin"/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 EQ \o\ac(</w:instrText>
      </w:r>
      <w:r>
        <w:rPr>
          <w:rFonts w:hint="eastAsia"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□</w:instrTex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,</w:instrText>
      </w:r>
      <w:r>
        <w:rPr>
          <w:rFonts w:ascii="Arial" w:hAnsi="Arial" w:eastAsia="仿宋" w:cs="Arial"/>
          <w:color w:val="000000"/>
          <w:kern w:val="0"/>
          <w:position w:val="3"/>
          <w:sz w:val="20"/>
          <w:szCs w:val="30"/>
          <w:shd w:val="clear" w:color="auto" w:fill="FFFFFF"/>
        </w:rPr>
        <w:instrText xml:space="preserve">√</w:instrTex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)</w:instrTex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（八）分包：允许□不允许</w: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fldChar w:fldCharType="begin"/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 EQ \o\ac(</w:instrText>
      </w:r>
      <w:r>
        <w:rPr>
          <w:rFonts w:hint="eastAsia"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□</w:instrTex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,</w:instrText>
      </w:r>
      <w:r>
        <w:rPr>
          <w:rFonts w:ascii="Arial" w:hAnsi="Arial" w:eastAsia="仿宋" w:cs="Arial"/>
          <w:color w:val="000000"/>
          <w:kern w:val="0"/>
          <w:position w:val="3"/>
          <w:sz w:val="20"/>
          <w:szCs w:val="30"/>
          <w:shd w:val="clear" w:color="auto" w:fill="FFFFFF"/>
        </w:rPr>
        <w:instrText xml:space="preserve">√</w:instrTex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instrText xml:space="preserve">)</w:instrText>
      </w:r>
      <w:r>
        <w:rPr>
          <w:rFonts w:ascii="Arial" w:hAnsi="Arial" w:eastAsia="仿宋" w:cs="Arial"/>
          <w:color w:val="000000"/>
          <w:kern w:val="0"/>
          <w:sz w:val="30"/>
          <w:szCs w:val="30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（二）本次招标不接受联合体投标。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（一）本项目需实现的功能或者目标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建设互联网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庭审前端设备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依托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互联网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庭审后台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进行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在线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庭审，包括质证、辩论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等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。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此项目共需建设9套，其中利旧现有科技法庭模式6套（许昌市中级人民法院3套、建安区法院1套、长葛市法院1套、襄城县法院1套）,新建互联网法庭3套（魏都区法院、鄢陵县法院、禹州市法院各1套），费用由各院自行承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eastAsia="仿宋"/>
          <w:b/>
          <w:bCs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（二）采购清单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  <w:t>以下清单均为单套清单，请投标人投标文件中详细提供单套报价及整体报价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10"/>
        <w:tblW w:w="84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30"/>
        <w:gridCol w:w="5025"/>
        <w:gridCol w:w="615"/>
        <w:gridCol w:w="510"/>
        <w:gridCol w:w="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旧现有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科技法庭模式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共需6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以下参数为单套清单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一体机电脑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屏幕尺寸：23英寸 ，屏幕分辨率：1920x1080，背光类型：LED背光，CPU系列：英特尔酷睿i5 7代系列 ，CPU主频：2.4GHz ，最高睿频：3GHz ，内存容量：8GB，硬盘：256GB固态硬盘，显卡：2G独立显卡。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庭审接入网关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基本架构：采用嵌入式操作系统、非PC架构，产品稳定可靠，支持7×24小时开机运行。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接口要求：为了满足互联网法庭与其他视频系统集成，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要求至少具备1个高清视频输入接口，至少具备1个高清视频输出接口。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要求至少具备4个音频输入接口，至少具备2个音频输出接口。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网络接口：要求终端具备至少1个RJ-45网络接口。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协议标准：为了保证所选设备的技术先进性，要求终端能够支持H.264 HP SVC视频编码技术，能够适应不同线路带宽、不同设备能力、不同网络环境的组网需求。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为了保证所选设备的音频效果，要求终端能够支持宽频高保真语音技术，至少支持OPUS、G.711、G.722等宽频音频编解码协议。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处理能力：要求所选设备至少兼容支持1080P30fps、720P30fps、360P30fps、180P30fps分辨率。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要求所选设备支持双流内容分享，至少支持1080P高 清双流，并可向下兼容共享PC的主要分辨率。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要求所选设备支持语音优化处理能力，包含且不限于具备回声消除、自动降噪、自动增益控制、自动增强、突出人声，支持唇音同步等技术功能。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网络适应性：要求所选设备会议速率能够在64Kbps-20Mbps范围内动态自适应进行使用。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显示要求：要求所选设备能够支持多种分屏模式（包括对称分屏和非对称分屏模式）和自主可控的选择界面布局，其中要求至少能够支持3*3对称式的9分屏，且可以对其他会场进行轮询观看的操作。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68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新建互联网法庭模式，共需3套，以下参数为单套清单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6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庭审接入网关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基本架构：采用嵌入式操作系统、非PC架构，产品稳定可靠，支持7×24小时开机运行。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接口要求：为了满足互联网法庭与其他视频系统集成，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要求至少具备1个高清视频输入接口，至少具备1个高清视频输出接口。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要求至少具备4个音频输入接口，至少具备2个音频输出接口。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网络接口：要求终端具备至少1个RJ-45网络接口。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协议标准：为了保证所选设备的技术先进性，要求终端能够支持H.264 HP SVC视频编码技术，能够适应不同线路带宽、不同设备能力、不同网络环境的组网需求。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为了保证所选设备的音频效果，要求终端能够支持宽频高保真语音技术，至少支持OPUS、G.711、G.722等宽频音频编解码协议。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处理能力：要求所选设备至少兼容支持1080P30fps、720P30fps、360P30fps、180P30fps分辨率。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要求所选设备支持双流内容分享，至少支持1080P高 清双流，并可向下兼容共享PC的主要分辨率。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要求所选设备支持语音优化处理能力，包含且不限于具备回声消除、自动降噪、自动增益控制、自动增强、突出人声，支持唇音同步等技术功能。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网络适应性：要求所选设备会议速率能够在64Kbps-20Mbps范围内动态自适应进行使用。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显示要求：要求所选设备能够支持多种分屏模式（包括对称分屏和非对称分屏模式）和自主可控的选择界面布局，其中要求至少能够支持3*3对称式的9分屏，且可以对其他会场进行轮询观看的操作。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高清云台摄像机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1、采用1/2.8英寸，500万像素的高品质CMOS传感器，可实现1920x1080超高分辨率的优质图像；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2、20倍光学变焦，f＝4.7—94mm，垂直上下俯角-30+90度，水平350度；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3、支持1080p60，720p等多种高清视频制式(高清1080p,高清720p)并在3G-SDI接口，HDMI，网络输出三个接口上同时输出高清视频信号；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4、支持RTSP,RTMP,28181,onvif协议等，支持音频输入；支持中英文菜单；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5、支持232控制，485控制，ip控制等，支持VISCA,PELCO协议等多种协议；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6、可设置255个预置位；支持正装和倒装；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7、最大拍摄角度为55.5度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摄像机支架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摄像机安装支架，根据现场实际情况，确定安装方式和支架类型，可分为支架安装、壁装和吸顶安装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电容话筒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桌面电容话筒，扩声用，具有防止话筒无意关闭的功能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智能混音器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智能混音器，10通道输入，平衡输出和一组辅助输出，带自动压限器功能、抑制反馈功能，高、低音调节和增益调整功能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高拍仪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用于实物证据展示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书记员桌面终端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屏幕尺寸：23英寸 ，屏幕分辨率：1920x1080，背光类型：LED背光，CPU系列：英特尔 酷睿i5 7代系列 ，CPU主频：2.4GHz ，内存：8GB ，硬盘：256GB固态硬盘，显卡：2G独立显卡。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大屏幕显示设备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60英寸超高清4K（3840x2160）液晶电视，HDMI接口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安装支架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显示设备安装支架，根据现场实际情况，确定设备型号和安装方式。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原被告桌面终端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屏幕尺寸：23英寸 ，屏幕分辨率：1920x1080，背光类型：LED背光，CPU系列：英特尔 酷睿i5 7代系列 CPU主频：2.4GHz ，内存：8GB ，硬盘：256GB固态硬盘，显卡：2G独立显卡。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法官桌面显示器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19寸宽屏液晶桌面显示器，支持壁挂安装（符合VESA标准）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法官桌面显示器支架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桌面显示器专用支架，可调整显示器与桌面成0度～90度角，符合VESA标准75mm及100mm孔距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法官终端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微型电脑：CPU：i5-7200U；处理器：主频 2.5Ghz双核 缓存 3MB；内存：类型 双通道4GB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DDR4；存储：容量 128G M2. SSD；显示：DP 最大支持4096*2304@60Hz HDMI HDMI 1.4  双显 HDMI+DP；网络：速度 10/100/1000Mbps；控制器：Intel I211千兆网卡 接口 2×RJ45  M2 1×WIFI；电源 标准输入接口 19V 65W DC_IN；尺寸(mm)：尺寸不大于：长*宽*高 200 x 1700 x 30 mm；温度：工作温度 -20℃~60℃ 存储温度 -20℃~80℃；操作系统：标准支持   Win10 64位 ；无线键鼠套装。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扩声音箱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根据现场情况可选壁装、吸顶2种安装方式，高保真两分频设计，功率60瓦，定阻，标准阻抗8Ω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专业功放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支持平衡输入，功率为2×210瓦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打印机类型：黑白激光一体机（打印 扫描 复印 传真）；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最大打印幅面：A4黑白；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分辨率：600×600dpi；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打印速度：30ppm；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时序电源控制器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1、电源输出通道数：8路；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2、单通道的最大电流为10A，总输入电流容量为40A；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3、支持TCP/IP协议和串口协议控制；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 可通过面板按钮进行ID设置；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 可通过面板按键对输出端口单独或全部进行控制；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6，可通过用网口、RS232、RS485 接口控制组件对设备进行控制；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7、每路可独立设定延时时间（由1秒到15小时）；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提供24 个符合IEEE802.3u 标准的10/100M 自适应以太网接口，所有端口均支持全线速无阻塞交换以及端口自动翻转功能，外形采用19 英寸标准机架设计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定制， 19"标准机柜,跟家具配套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布线材料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视频线、音频线等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（三）采购标的执行标准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符合国家和履约地相关安全质量标准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行业技术规范标准。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（四）服务标准、期限、效率等要求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投标人须明确免费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修期，同时应提出故障响应时间，在免费包修期内，同一质量问题连续两次维修仍无法正常使用，投标人必须予以更换同品牌、同型号的全新产品，超过保修期发生故障，用户可自由选择维修单位，如委托给投标人，投标人不得借故推诿，并且维修费不能超过市场平均价格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（一）评标方法：最低评标价法□ 综合评分法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Style w:val="10"/>
        <w:tblW w:w="8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0"/>
        <w:gridCol w:w="20"/>
        <w:gridCol w:w="502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分值构成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价格分值：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商务部分：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一、价格部分（满分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投标报价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投标报价得分=（评标基准价/投标报价）×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30%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企业实力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1、投标人具有信用等级证书为AAA级的得3分；为AA级的得2分；为A级的得1分。并在评标时出具相应的原件备查。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投标人具有质量管理体系认证证书、环境管理体系认证证书、职业健康安全管理体系认证证书的每有一项得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分；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投标人具有有效的ISO/IEC27001信息安全管理体系认证证书得3分；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投标人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参与该项目建设人员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省人力资源和社会保障厅颁发的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项目管理工程师职称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的每提供一个得2分，最高得4分（提供公司人员的社保缴纳证明）；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投标人具有省科学技术厅颁发的省科技型中小企业认定证书得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分；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widowControl/>
              <w:ind w:firstLine="48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投标人能够提供201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年1月1日以来类似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且合同金额超过60万元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的单个项目(中标通知书、合同及验收报告齐全者)，每提供一个得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分，最高得分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分，以合同签订日期为准。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3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三、技术部分（满分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对招标文件产品响应程度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1、满足招标文件要求得20分。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、采购清单中利旧科技法庭序号2和新建互联网法庭序号1庭审接入网关产品能提供国家版权局颁发的《计算机软件著作权登记证书》和CCC检测报告，每提供一项得3分，最高6分；3、采购清单中利旧科技法庭序号2和新建互联网法庭序号1庭审接入网关产品支持网络抗丢包算法，在丢包率30%的情况下能保证视频流畅传输，帧率不低于25帧/秒的，得3分；在网络丢包率50%的情况下，声音清楚连贯,语音质量评测值MOS_LQO不低于3；丢包率80%时，语义依然可理解,语音质量评测值MOS_LQO不低于2.7的，得3分。最高6分。（以上证明须提供中国软件评测中心出具的检测报告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1、有人员技术培训计划的得2分；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2、有质保期内外服务和承诺计划的得2分。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免费保修时间以年为单位，以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年为起点，每增加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（二）支付时间及条件：验收合格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后支付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合同总价款的9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%，剩余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%满一年无质量问题一次付清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陈希选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         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0374-2929015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河南省许昌市前进路中段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525" w:lineRule="atLeast"/>
        <w:ind w:firstLine="4131" w:firstLineChars="1377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单位全称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许昌市中级人民法院</w:t>
      </w:r>
    </w:p>
    <w:p>
      <w:pPr>
        <w:widowControl/>
        <w:shd w:val="clear" w:color="auto" w:fill="FFFFFF"/>
        <w:spacing w:line="330" w:lineRule="atLeast"/>
        <w:ind w:firstLine="5100"/>
        <w:jc w:val="center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>
      <w:pPr>
        <w:widowControl/>
        <w:shd w:val="clear" w:color="auto" w:fill="FFFFFF"/>
        <w:spacing w:line="330" w:lineRule="atLeast"/>
        <w:ind w:firstLine="57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050F"/>
    <w:rsid w:val="00004E4F"/>
    <w:rsid w:val="0001778B"/>
    <w:rsid w:val="000335A6"/>
    <w:rsid w:val="00045DBC"/>
    <w:rsid w:val="00050C9D"/>
    <w:rsid w:val="00075569"/>
    <w:rsid w:val="0009126C"/>
    <w:rsid w:val="000A4FF4"/>
    <w:rsid w:val="000B6DAB"/>
    <w:rsid w:val="000D4864"/>
    <w:rsid w:val="000E2C13"/>
    <w:rsid w:val="00104944"/>
    <w:rsid w:val="0010781F"/>
    <w:rsid w:val="00121205"/>
    <w:rsid w:val="001462AF"/>
    <w:rsid w:val="0014633F"/>
    <w:rsid w:val="0015239E"/>
    <w:rsid w:val="00177341"/>
    <w:rsid w:val="001A478B"/>
    <w:rsid w:val="001C37F8"/>
    <w:rsid w:val="001E5681"/>
    <w:rsid w:val="00220236"/>
    <w:rsid w:val="002263CA"/>
    <w:rsid w:val="0023025A"/>
    <w:rsid w:val="002656EB"/>
    <w:rsid w:val="002658F8"/>
    <w:rsid w:val="00270306"/>
    <w:rsid w:val="002762A1"/>
    <w:rsid w:val="00276F74"/>
    <w:rsid w:val="00292D55"/>
    <w:rsid w:val="002976F8"/>
    <w:rsid w:val="002D6C86"/>
    <w:rsid w:val="003011DF"/>
    <w:rsid w:val="003058AD"/>
    <w:rsid w:val="00310AAA"/>
    <w:rsid w:val="0031201A"/>
    <w:rsid w:val="0035478C"/>
    <w:rsid w:val="0037050F"/>
    <w:rsid w:val="003821BB"/>
    <w:rsid w:val="00387DBD"/>
    <w:rsid w:val="00397452"/>
    <w:rsid w:val="003A3C9A"/>
    <w:rsid w:val="003C4AA3"/>
    <w:rsid w:val="00427F4F"/>
    <w:rsid w:val="004320CD"/>
    <w:rsid w:val="00436DCE"/>
    <w:rsid w:val="004660C0"/>
    <w:rsid w:val="004A03A6"/>
    <w:rsid w:val="004A6B35"/>
    <w:rsid w:val="004A73E9"/>
    <w:rsid w:val="004C0B41"/>
    <w:rsid w:val="00501FCA"/>
    <w:rsid w:val="0054494E"/>
    <w:rsid w:val="00550DC4"/>
    <w:rsid w:val="00587E25"/>
    <w:rsid w:val="00596CD8"/>
    <w:rsid w:val="00597939"/>
    <w:rsid w:val="005F7E2F"/>
    <w:rsid w:val="00616EB4"/>
    <w:rsid w:val="00627322"/>
    <w:rsid w:val="00633263"/>
    <w:rsid w:val="00680509"/>
    <w:rsid w:val="006A782C"/>
    <w:rsid w:val="006B1D17"/>
    <w:rsid w:val="006B7D89"/>
    <w:rsid w:val="00760D70"/>
    <w:rsid w:val="007918A9"/>
    <w:rsid w:val="00794F02"/>
    <w:rsid w:val="00795DBD"/>
    <w:rsid w:val="0079772B"/>
    <w:rsid w:val="007A331E"/>
    <w:rsid w:val="007B2399"/>
    <w:rsid w:val="0085651B"/>
    <w:rsid w:val="00857FBF"/>
    <w:rsid w:val="00863390"/>
    <w:rsid w:val="00864630"/>
    <w:rsid w:val="00867ED6"/>
    <w:rsid w:val="00870907"/>
    <w:rsid w:val="00870A02"/>
    <w:rsid w:val="0088264E"/>
    <w:rsid w:val="00902626"/>
    <w:rsid w:val="00906928"/>
    <w:rsid w:val="00915D77"/>
    <w:rsid w:val="00925C9A"/>
    <w:rsid w:val="00927C0C"/>
    <w:rsid w:val="00942BE4"/>
    <w:rsid w:val="009633D1"/>
    <w:rsid w:val="009A7A79"/>
    <w:rsid w:val="009D58C9"/>
    <w:rsid w:val="00A2735C"/>
    <w:rsid w:val="00A37DCF"/>
    <w:rsid w:val="00A85B96"/>
    <w:rsid w:val="00AA178D"/>
    <w:rsid w:val="00AC41DF"/>
    <w:rsid w:val="00AD327E"/>
    <w:rsid w:val="00AD54D2"/>
    <w:rsid w:val="00AD653B"/>
    <w:rsid w:val="00AF0571"/>
    <w:rsid w:val="00B03CDA"/>
    <w:rsid w:val="00B130B5"/>
    <w:rsid w:val="00B623D0"/>
    <w:rsid w:val="00B65976"/>
    <w:rsid w:val="00B7140F"/>
    <w:rsid w:val="00B7430A"/>
    <w:rsid w:val="00BB33FB"/>
    <w:rsid w:val="00BC06BE"/>
    <w:rsid w:val="00BD5488"/>
    <w:rsid w:val="00BE0AA8"/>
    <w:rsid w:val="00BE5B79"/>
    <w:rsid w:val="00C35F9F"/>
    <w:rsid w:val="00C42E77"/>
    <w:rsid w:val="00C447BF"/>
    <w:rsid w:val="00CB2B2C"/>
    <w:rsid w:val="00CB66B8"/>
    <w:rsid w:val="00CC6FCF"/>
    <w:rsid w:val="00CE665C"/>
    <w:rsid w:val="00D405C8"/>
    <w:rsid w:val="00D720CE"/>
    <w:rsid w:val="00D92E41"/>
    <w:rsid w:val="00D95967"/>
    <w:rsid w:val="00D96D78"/>
    <w:rsid w:val="00DA51D2"/>
    <w:rsid w:val="00DC042B"/>
    <w:rsid w:val="00DE5A38"/>
    <w:rsid w:val="00DE6992"/>
    <w:rsid w:val="00DF2045"/>
    <w:rsid w:val="00E44585"/>
    <w:rsid w:val="00E602EF"/>
    <w:rsid w:val="00E60C74"/>
    <w:rsid w:val="00E61451"/>
    <w:rsid w:val="00E63ED1"/>
    <w:rsid w:val="00E86808"/>
    <w:rsid w:val="00F34718"/>
    <w:rsid w:val="00FB79CE"/>
    <w:rsid w:val="00FD0B1B"/>
    <w:rsid w:val="00FF5983"/>
    <w:rsid w:val="05273579"/>
    <w:rsid w:val="057D2625"/>
    <w:rsid w:val="0EC66514"/>
    <w:rsid w:val="0F3C78CA"/>
    <w:rsid w:val="13AF0EB5"/>
    <w:rsid w:val="16DF05E4"/>
    <w:rsid w:val="190F54A8"/>
    <w:rsid w:val="222D4059"/>
    <w:rsid w:val="26E1079A"/>
    <w:rsid w:val="2B882134"/>
    <w:rsid w:val="2DA75E6E"/>
    <w:rsid w:val="2F3619C7"/>
    <w:rsid w:val="2F720402"/>
    <w:rsid w:val="30C4516D"/>
    <w:rsid w:val="37BD5A00"/>
    <w:rsid w:val="40841BE9"/>
    <w:rsid w:val="449A2519"/>
    <w:rsid w:val="45F62118"/>
    <w:rsid w:val="4BE776E7"/>
    <w:rsid w:val="595B213B"/>
    <w:rsid w:val="59CC1B45"/>
    <w:rsid w:val="67FD62AF"/>
    <w:rsid w:val="6CDC4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hover"/>
    <w:basedOn w:val="6"/>
    <w:qFormat/>
    <w:uiPriority w:val="0"/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6"/>
    <w:qFormat/>
    <w:uiPriority w:val="0"/>
    <w:rPr>
      <w:color w:val="66AE00"/>
      <w:sz w:val="18"/>
      <w:szCs w:val="18"/>
    </w:rPr>
  </w:style>
  <w:style w:type="character" w:customStyle="1" w:styleId="17">
    <w:name w:val="red2"/>
    <w:basedOn w:val="6"/>
    <w:qFormat/>
    <w:uiPriority w:val="0"/>
    <w:rPr>
      <w:color w:val="FF0000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6"/>
    <w:qFormat/>
    <w:uiPriority w:val="0"/>
    <w:rPr>
      <w:color w:val="999999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日期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1093</Words>
  <Characters>6232</Characters>
  <Lines>51</Lines>
  <Paragraphs>14</Paragraphs>
  <TotalTime>9</TotalTime>
  <ScaleCrop>false</ScaleCrop>
  <LinksUpToDate>false</LinksUpToDate>
  <CharactersWithSpaces>7311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2018-05-17T04:24:00Z</dcterms:created>
  <dc:creator>Microsoft</dc:creator>
  <cp:lastModifiedBy>陈</cp:lastModifiedBy>
  <dcterms:modified xsi:type="dcterms:W3CDTF">2018-06-07T14:03:44Z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