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firstLine="551" w:firstLineChars="196"/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一、投标报价表</w:t>
      </w:r>
    </w:p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329"/>
        <w:gridCol w:w="3239"/>
        <w:gridCol w:w="1265"/>
        <w:gridCol w:w="1263"/>
        <w:gridCol w:w="1264"/>
        <w:gridCol w:w="1263"/>
        <w:gridCol w:w="1475"/>
        <w:gridCol w:w="1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" w:leftChars="1"/>
              <w:jc w:val="center"/>
              <w:rPr>
                <w:rFonts w:ascii="黑体"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1"/>
              <w:jc w:val="center"/>
              <w:rPr>
                <w:rFonts w:ascii="黑体"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1"/>
              <w:jc w:val="center"/>
              <w:rPr>
                <w:rFonts w:ascii="黑体"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品牌规格型号及主要参数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1" w:right="-1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1" w:right="-1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1"/>
              <w:jc w:val="center"/>
              <w:rPr>
                <w:rFonts w:ascii="黑体"/>
                <w:bCs/>
                <w:sz w:val="24"/>
                <w:szCs w:val="20"/>
              </w:rPr>
            </w:pPr>
            <w:r>
              <w:rPr>
                <w:rFonts w:hint="eastAsia" w:ascii="黑体"/>
                <w:bCs/>
                <w:sz w:val="24"/>
                <w:szCs w:val="20"/>
              </w:rPr>
              <w:t>单价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1"/>
              <w:jc w:val="center"/>
              <w:rPr>
                <w:rFonts w:ascii="黑体"/>
                <w:bCs/>
                <w:sz w:val="24"/>
                <w:szCs w:val="20"/>
              </w:rPr>
            </w:pPr>
            <w:r>
              <w:rPr>
                <w:rFonts w:hint="eastAsia" w:ascii="黑体"/>
                <w:bCs/>
                <w:sz w:val="24"/>
                <w:szCs w:val="20"/>
              </w:rPr>
              <w:t>合计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1"/>
              <w:jc w:val="center"/>
              <w:rPr>
                <w:rFonts w:ascii="黑体"/>
                <w:bCs/>
                <w:sz w:val="24"/>
                <w:szCs w:val="20"/>
              </w:rPr>
            </w:pPr>
            <w:r>
              <w:rPr>
                <w:rFonts w:hint="eastAsia" w:ascii="黑体"/>
                <w:bCs/>
                <w:sz w:val="24"/>
                <w:szCs w:val="20"/>
              </w:rPr>
              <w:t>交货期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20" w:hanging="120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产地及</w:t>
            </w:r>
          </w:p>
          <w:p>
            <w:pPr>
              <w:spacing w:line="360" w:lineRule="auto"/>
              <w:ind w:left="1"/>
              <w:jc w:val="center"/>
              <w:rPr>
                <w:rFonts w:ascii="黑体"/>
                <w:bCs/>
                <w:sz w:val="24"/>
                <w:szCs w:val="20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厂家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便携式计算机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联想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ThinkPanL470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处理器：英特尔®酷睿™双核处理器,I5-7200u  主频≧2.5GHz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内存：≧4G 2133MHz 内存,最大支持16GB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硬盘：≧500GB HD 7200RPM,主板上支持第二块硬盘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显示屏：14” LED背光显示屏，屏幕可打开180度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显卡：高性能集成显卡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网卡：千兆网卡以及IEEE802.11N无线网卡，配置原厂网络连接软件，包括有线和无线连接辅助,能够导入导出网络配置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蓝牙：蓝牙设备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定位设备：多点触摸板 + 指点杆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键盘：防水键盘，液体自然导流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指纹识别器：可支持指纹识别器，必配原厂与指纹识别器结合的密码管理功能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接口：≧3*USB3.0（含1个不间断供电USB）接口，Mini DisplayPort，VGA接口，RJ45， 麦克风&amp;耳机组合接口，线缆锁孔，4合1读卡器</w:t>
            </w:r>
          </w:p>
          <w:p>
            <w:pPr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电池：6芯锂电池(不足6芯电池的需提供第二块备用电池）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4390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105360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7日历天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中国</w:t>
            </w:r>
          </w:p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联想（北京）有限公司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41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仿宋_GB2312"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投标总报价人民币：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拾万零伍仟叁佰陆拾元整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（大写）       　　　　　　　　　　　　 ￥：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105360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41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备注：</w:t>
            </w:r>
          </w:p>
        </w:tc>
      </w:tr>
    </w:tbl>
    <w:p>
      <w:pPr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zh-CN"/>
        </w:rPr>
        <w:t>注：交货期指最终交货时间（日历天）。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投标单位：河南夏启智能科技有限公司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sectPr>
          <w:headerReference r:id="rId3" w:type="default"/>
          <w:footerReference r:id="rId4" w:type="default"/>
          <w:pgSz w:w="16838" w:h="11906" w:orient="landscape"/>
          <w:pgMar w:top="1800" w:right="1440" w:bottom="1800" w:left="1440" w:header="851" w:footer="992" w:gutter="0"/>
          <w:pgNumType w:fmt="decimal" w:start="1"/>
          <w:cols w:space="425" w:num="1"/>
          <w:docGrid w:type="lines" w:linePitch="312" w:charSpace="0"/>
        </w:sect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2018年6月6日</w:t>
      </w: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CE73B0"/>
    <w:rsid w:val="2FCE73B0"/>
    <w:rsid w:val="5E906E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2018-06-06T09:12:00Z</dcterms:created>
  <dc:creator>康顺</dc:creator>
  <cp:lastModifiedBy>康顺</cp:lastModifiedBy>
  <dcterms:modified xsi:type="dcterms:W3CDTF">2018-06-06T09:18:44Z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