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许昌经济技术开发区法制与社会服务局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0"/>
          <w:szCs w:val="40"/>
        </w:rPr>
        <w:t>许昌经济技术开发区水资源综合规划编制项目</w:t>
      </w:r>
      <w:r>
        <w:rPr>
          <w:rFonts w:hint="eastAsia" w:asciiTheme="majorEastAsia" w:hAnsiTheme="majorEastAsia" w:eastAsiaTheme="majorEastAsia" w:cstheme="majorEastAsia"/>
          <w:b/>
          <w:bCs/>
          <w:color w:val="000000"/>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8040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2"/>
          <w:szCs w:val="32"/>
        </w:rPr>
        <w:t>许昌经济技术开发区法制与社会服务局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（一）项目名称：许昌经济技术开发区水资源综合规划编制项目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（二）项目编号：JZFCG-G2018040号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（四）项目主要内容、数量及要求：许昌经济技术开发区水资源综合规划编制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val="en-US" w:eastAsia="zh-CN"/>
        </w:rPr>
        <w:t>900000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val="en-US" w:eastAsia="zh-CN"/>
        </w:rPr>
        <w:t>900000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（六）交付（服务、完工）时间：合同签订后180日历天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（七）交付（服务、完工）地点：许昌经济技术开发区</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（二）同时具有水文、水资源调查评价和建设项目水资源论证乙级及以上资质（含乙级）；</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w:t>
      </w:r>
      <w:r>
        <w:rPr>
          <w:rFonts w:hint="eastAsia" w:cs="仿宋_GB2312" w:asciiTheme="minorEastAsia" w:hAnsiTheme="minorEastAsia" w:eastAsiaTheme="minorEastAsia"/>
          <w:color w:val="auto"/>
          <w:sz w:val="21"/>
          <w:szCs w:val="21"/>
        </w:rPr>
        <w:t>间：2018年</w:t>
      </w:r>
      <w:r>
        <w:rPr>
          <w:rFonts w:hint="eastAsia" w:cs="仿宋_GB2312" w:asciiTheme="minorEastAsia" w:hAnsiTheme="minorEastAsia" w:eastAsiaTheme="minorEastAsia"/>
          <w:color w:val="auto"/>
          <w:sz w:val="21"/>
          <w:szCs w:val="21"/>
          <w:u w:val="single"/>
          <w:lang w:val="en-US" w:eastAsia="zh-CN"/>
        </w:rPr>
        <w:t>7</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eastAsia="zh-CN"/>
        </w:rPr>
        <w:t>三</w:t>
      </w:r>
      <w:r>
        <w:rPr>
          <w:rFonts w:hint="eastAsia" w:cs="仿宋_GB2312" w:asciiTheme="minorEastAsia" w:hAnsiTheme="minorEastAsia" w:eastAsiaTheme="minorEastAsia"/>
          <w:color w:val="auto"/>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采购人：许昌经济技术开发区法制与社会服务局</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址：许昌经济技术开发区管理委员会（瑞祥路中段）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联系人：孙广文               联系电话：0374-8581509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代理机构：河南鼎华招标代理有限公司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址：新许路中段建设银行三楼</w:t>
      </w:r>
    </w:p>
    <w:p>
      <w:pPr>
        <w:pStyle w:val="20"/>
        <w:widowControl/>
        <w:shd w:val="clear" w:color="auto" w:fill="FFFFFF"/>
        <w:spacing w:line="360" w:lineRule="auto"/>
        <w:ind w:firstLine="420"/>
        <w:contextualSpacing/>
        <w:jc w:val="left"/>
        <w:rPr>
          <w:rFonts w:cs="仿宋_GB2312" w:asciiTheme="minorEastAsia" w:hAnsiTheme="minorEastAsia"/>
          <w:color w:val="000000"/>
          <w:szCs w:val="21"/>
          <w:shd w:val="clear" w:color="auto" w:fill="FFFFFF"/>
        </w:rPr>
      </w:pPr>
      <w:r>
        <w:rPr>
          <w:rFonts w:hint="eastAsia" w:cs="仿宋_GB2312" w:asciiTheme="minorEastAsia" w:hAnsiTheme="minorEastAsia" w:eastAsiaTheme="minorEastAsia"/>
          <w:color w:val="000000"/>
          <w:sz w:val="21"/>
          <w:szCs w:val="21"/>
        </w:rPr>
        <w:t>联系人：冯建伟               联系电话：0374-5219779</w:t>
      </w:r>
    </w:p>
    <w:p>
      <w:pPr>
        <w:spacing w:line="360" w:lineRule="auto"/>
        <w:jc w:val="right"/>
        <w:rPr>
          <w:rFonts w:hint="eastAsia" w:asciiTheme="minorEastAsia" w:hAnsiTheme="minorEastAsia" w:cstheme="majorEastAsia"/>
          <w:color w:val="FF0000"/>
          <w:szCs w:val="21"/>
          <w:lang w:val="zh-CN"/>
        </w:rPr>
      </w:pPr>
      <w:r>
        <w:rPr>
          <w:rFonts w:hint="eastAsia" w:asciiTheme="minorEastAsia" w:hAnsiTheme="minorEastAsia" w:cstheme="majorEastAsia"/>
          <w:szCs w:val="21"/>
          <w:lang w:val="zh-CN"/>
        </w:rPr>
        <w:t xml:space="preserve">                               许昌经济技术开发区法制与社会服务局                         二〇一</w:t>
      </w:r>
      <w:r>
        <w:rPr>
          <w:rFonts w:hint="eastAsia" w:asciiTheme="minorEastAsia" w:hAnsiTheme="minorEastAsia" w:cstheme="majorEastAsia"/>
          <w:color w:val="auto"/>
          <w:szCs w:val="21"/>
          <w:lang w:val="zh-CN"/>
        </w:rPr>
        <w:t>八年六月二十二日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widowControl/>
        <w:numPr>
          <w:ilvl w:val="0"/>
          <w:numId w:val="0"/>
        </w:numPr>
        <w:shd w:val="clear" w:color="auto" w:fill="FFFFFF"/>
        <w:spacing w:line="360" w:lineRule="auto"/>
        <w:ind w:firstLine="420" w:firstLineChars="200"/>
        <w:contextualSpacing/>
        <w:jc w:val="left"/>
        <w:rPr>
          <w:rFonts w:hint="eastAsia" w:cs="黑体" w:asciiTheme="minorEastAsia" w:hAnsiTheme="minorEastAsia"/>
          <w:b w:val="0"/>
          <w:bCs w:val="0"/>
          <w:color w:val="000000"/>
          <w:szCs w:val="21"/>
          <w:shd w:val="clear" w:color="auto" w:fill="FFFFFF"/>
          <w:lang w:val="zh-CN"/>
        </w:rPr>
      </w:pPr>
      <w:r>
        <w:rPr>
          <w:rFonts w:hint="eastAsia" w:cs="黑体" w:asciiTheme="minorEastAsia" w:hAnsiTheme="minorEastAsia"/>
          <w:b w:val="0"/>
          <w:bCs w:val="0"/>
          <w:color w:val="000000"/>
          <w:szCs w:val="21"/>
          <w:shd w:val="clear" w:color="auto" w:fill="FFFFFF"/>
          <w:lang w:val="zh-CN"/>
        </w:rPr>
        <w:t>水是生命之源、生产之要、生态之基。为贯彻落实党的十八大重要精神，加快推进水生态文明建设和水资源管理工作，水利部于2013年1月印发了《水利部关于加快推进水生态文明建设工作的意见》（水资源[2013]1号），提出把生态文明理念融入到水资源开发、利用、治理、配置、节约、保护的各方面和水利规划、建设、管理的各环节，加快推进水生态文明建设。同时，《国务院关于实行最严格水资源管理制度的意见》（国发[2012]3号）和《水污染防治行动计划》国发〔2015〕17号的相继发布，进一步明确了严格水资源管理、严格环境准入，加强水资源管理工作的重要性。新时期的水资源管理体系，是建立以“三条红线”为核心的用水总量控制制度、用水效率控制制度、水功能区限制纳污制度以及水资源管理的责任与考核制度，即最严格水资源管理制度。为保障新的水资源管理体系的建立，国家提出了要以水资源配置、节约和保护为重点、全面落实“三条红线”的指导思想，同时结合水利发展的实际状况，制定出了全国2015年、2020年和2030年的主要红线控制指标。因此，按照坚持以人为本、统筹兼顾、改革创新、因地制宜的基本原则，做好水资源科学开发利用规划及实施，对促进实现水资源可持续利用、促进区域可持续发展及生态文明建设具有重要意义。</w:t>
      </w:r>
    </w:p>
    <w:p>
      <w:pPr>
        <w:widowControl/>
        <w:numPr>
          <w:ilvl w:val="0"/>
          <w:numId w:val="0"/>
        </w:numPr>
        <w:shd w:val="clear" w:color="auto" w:fill="FFFFFF"/>
        <w:spacing w:line="360" w:lineRule="auto"/>
        <w:ind w:firstLine="420" w:firstLineChars="200"/>
        <w:contextualSpacing/>
        <w:jc w:val="left"/>
        <w:rPr>
          <w:rFonts w:hint="eastAsia" w:cs="黑体" w:asciiTheme="minorEastAsia" w:hAnsiTheme="minorEastAsia"/>
          <w:b w:val="0"/>
          <w:bCs w:val="0"/>
          <w:color w:val="000000"/>
          <w:szCs w:val="21"/>
          <w:shd w:val="clear" w:color="auto" w:fill="FFFFFF"/>
          <w:lang w:val="zh-CN"/>
        </w:rPr>
      </w:pPr>
      <w:r>
        <w:rPr>
          <w:rFonts w:hint="eastAsia" w:cs="黑体" w:asciiTheme="minorEastAsia" w:hAnsiTheme="minorEastAsia"/>
          <w:b w:val="0"/>
          <w:bCs w:val="0"/>
          <w:color w:val="000000"/>
          <w:szCs w:val="21"/>
          <w:shd w:val="clear" w:color="auto" w:fill="FFFFFF"/>
          <w:lang w:val="zh-CN"/>
        </w:rPr>
        <w:t>科学编制《许昌经济技术开发区水资源综合规划》，将为许昌经济技术开发区水资源可持续利用和管理提供基础数据和规划支撑。在进一步查清许昌经济技术开发区水资源及其开发利用现状、分析和评价水资源承载能力的基础上，结合经济社会可持续发展和生态环境保护对水资源的要求，提出水资源合理开发、优化配置、高效利用、有效保护和综合治理的总体布局及实施方案，作为今后一定时期内水资源开发利用与管理活动的重要依据和准则，促进和保障“人水和谐”发展，以水资源的可持续利用支撑经济社会的可持续发展。</w:t>
      </w:r>
    </w:p>
    <w:p>
      <w:pPr>
        <w:widowControl/>
        <w:numPr>
          <w:ilvl w:val="0"/>
          <w:numId w:val="0"/>
        </w:numPr>
        <w:shd w:val="clear" w:color="auto" w:fill="FFFFFF"/>
        <w:spacing w:line="360" w:lineRule="auto"/>
        <w:ind w:firstLine="420" w:firstLineChars="200"/>
        <w:contextualSpacing/>
        <w:jc w:val="left"/>
        <w:rPr>
          <w:rFonts w:hint="eastAsia" w:cs="黑体" w:asciiTheme="minorEastAsia" w:hAnsiTheme="minorEastAsia"/>
          <w:b w:val="0"/>
          <w:bCs w:val="0"/>
          <w:color w:val="000000"/>
          <w:szCs w:val="21"/>
          <w:shd w:val="clear" w:color="auto" w:fill="FFFFFF"/>
          <w:lang w:val="zh-CN"/>
        </w:rPr>
      </w:pPr>
      <w:r>
        <w:rPr>
          <w:rFonts w:hint="eastAsia" w:cs="黑体" w:asciiTheme="minorEastAsia" w:hAnsiTheme="minorEastAsia"/>
          <w:b w:val="0"/>
          <w:bCs w:val="0"/>
          <w:color w:val="000000"/>
          <w:szCs w:val="21"/>
          <w:shd w:val="clear" w:color="auto" w:fill="FFFFFF"/>
          <w:lang w:val="zh-CN"/>
        </w:rPr>
        <w:t>本次规划编制内容具体包括：水资源量评价、水资源开发利用现状调查评价、节水规划、需水预测、供水预测、水资源配置、水资源保护，以及水资源利用与保护的管理建议等内容，要求符合《水资源规划规范》（GB/T51051-2014）技术要求，并通过采购方组织的专家评审验收。</w:t>
      </w:r>
    </w:p>
    <w:p>
      <w:pPr>
        <w:spacing w:line="360" w:lineRule="auto"/>
        <w:ind w:firstLine="422" w:firstLineChars="200"/>
        <w:contextualSpacing/>
        <w:rPr>
          <w:rFonts w:hint="eastAsia"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二、采购标的执行标准</w:t>
      </w:r>
    </w:p>
    <w:p>
      <w:pPr>
        <w:spacing w:line="360" w:lineRule="auto"/>
        <w:ind w:firstLine="420" w:firstLineChars="200"/>
        <w:contextualSpacing/>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（1）《水资源规划规范》（GB/T51051-2014）</w:t>
      </w:r>
    </w:p>
    <w:p>
      <w:pPr>
        <w:spacing w:line="360" w:lineRule="auto"/>
        <w:ind w:firstLine="420" w:firstLineChars="200"/>
        <w:contextualSpacing/>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（2）《全国水资源综合规划技术大纲》（2002年）</w:t>
      </w:r>
    </w:p>
    <w:p>
      <w:pPr>
        <w:spacing w:line="360" w:lineRule="auto"/>
        <w:ind w:firstLine="420" w:firstLineChars="200"/>
        <w:contextualSpacing/>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（3）《全国水资源综合规划技术细则（试行）》</w:t>
      </w:r>
    </w:p>
    <w:p>
      <w:pPr>
        <w:spacing w:line="360" w:lineRule="auto"/>
        <w:ind w:firstLine="420" w:firstLineChars="200"/>
        <w:contextualSpacing/>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（4）《河南省水资源调查评价技术细则》</w:t>
      </w:r>
    </w:p>
    <w:p>
      <w:pPr>
        <w:spacing w:line="360" w:lineRule="auto"/>
        <w:ind w:firstLine="420" w:firstLineChars="200"/>
        <w:contextualSpacing/>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（5）《水资源评价导则》（SL/T238-1999）</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三、服务标准、期限、效率等要求</w:t>
      </w:r>
    </w:p>
    <w:p>
      <w:pPr>
        <w:widowControl/>
        <w:shd w:val="clear" w:color="auto" w:fill="FFFFFF"/>
        <w:spacing w:line="360" w:lineRule="auto"/>
        <w:ind w:firstLine="420" w:firstLineChars="200"/>
        <w:contextualSpacing/>
        <w:jc w:val="left"/>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服务标准：符合《水资源规划规范》（GB/T51051-2014）的技术要求，以及国家、省、市行政主管部门的质量要求，顺利通过专家评审验收。</w:t>
      </w:r>
    </w:p>
    <w:p>
      <w:pPr>
        <w:widowControl/>
        <w:shd w:val="clear" w:color="auto" w:fill="FFFFFF"/>
        <w:spacing w:line="360" w:lineRule="auto"/>
        <w:ind w:firstLine="420" w:firstLineChars="200"/>
        <w:contextualSpacing/>
        <w:jc w:val="left"/>
        <w:rPr>
          <w:rFonts w:hint="eastAsia" w:cs="微软雅黑" w:asciiTheme="minorEastAsia" w:hAnsiTheme="minorEastAsia"/>
          <w:b w:val="0"/>
          <w:bCs/>
          <w:color w:val="auto"/>
          <w:szCs w:val="21"/>
        </w:rPr>
      </w:pPr>
      <w:r>
        <w:rPr>
          <w:rFonts w:hint="eastAsia" w:cs="微软雅黑" w:asciiTheme="minorEastAsia" w:hAnsiTheme="minorEastAsia"/>
          <w:b w:val="0"/>
          <w:bCs/>
          <w:color w:val="auto"/>
          <w:szCs w:val="21"/>
        </w:rPr>
        <w:t>编制周期：合同签订后180日历天。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四、采购标的的其他技术、服务等要求</w:t>
      </w:r>
    </w:p>
    <w:p>
      <w:pPr>
        <w:widowControl/>
        <w:shd w:val="clear" w:color="auto" w:fill="FFFFFF"/>
        <w:spacing w:line="360" w:lineRule="auto"/>
        <w:ind w:firstLine="420" w:firstLineChars="200"/>
        <w:contextualSpacing/>
        <w:jc w:val="left"/>
        <w:rPr>
          <w:rStyle w:val="46"/>
          <w:sz w:val="21"/>
          <w:szCs w:val="21"/>
          <w:highlight w:val="none"/>
          <w:lang w:val="zh-CN"/>
        </w:rPr>
      </w:pPr>
      <w:r>
        <w:rPr>
          <w:rFonts w:hint="eastAsia" w:cs="宋体" w:asciiTheme="minorEastAsia" w:hAnsiTheme="minorEastAsia"/>
          <w:color w:val="000000"/>
          <w:kern w:val="0"/>
          <w:sz w:val="21"/>
          <w:szCs w:val="21"/>
          <w:highlight w:val="none"/>
          <w:lang w:val="zh-CN"/>
        </w:rPr>
        <w:t>1.项目实施过程中，若国家或省的相关技术要求变化，项目承担人需无条件服从并整改；</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highlight w:val="none"/>
          <w:lang w:val="zh-CN"/>
        </w:rPr>
      </w:pPr>
      <w:r>
        <w:rPr>
          <w:rFonts w:hint="eastAsia" w:cs="宋体" w:asciiTheme="minorEastAsia" w:hAnsiTheme="minorEastAsia"/>
          <w:color w:val="000000"/>
          <w:kern w:val="0"/>
          <w:sz w:val="21"/>
          <w:szCs w:val="21"/>
          <w:highlight w:val="none"/>
          <w:lang w:val="zh-CN"/>
        </w:rPr>
        <w:t>2.自验收之日起，至少提供1年的免费服务期。在服务期内，技术服务单位免费为本项目提供售后保障及升级服务；</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 w:val="21"/>
          <w:szCs w:val="21"/>
          <w:highlight w:val="none"/>
          <w:lang w:val="zh-CN"/>
        </w:rPr>
      </w:pPr>
      <w:r>
        <w:rPr>
          <w:rFonts w:hint="eastAsia" w:cs="宋体" w:asciiTheme="minorEastAsia" w:hAnsiTheme="minorEastAsia"/>
          <w:color w:val="000000"/>
          <w:kern w:val="0"/>
          <w:sz w:val="21"/>
          <w:szCs w:val="21"/>
          <w:highlight w:val="none"/>
          <w:lang w:val="zh-CN"/>
        </w:rPr>
        <w:t>3.中标单位需编制详细的培训计划，为采购人提供全面、优质的技术培训服务，保证采购人在相关业务中顺利使用各项成果。</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w:t>
      </w:r>
      <w:r>
        <w:rPr>
          <w:rFonts w:cs="宋体" w:asciiTheme="minorEastAsia" w:hAnsiTheme="minorEastAsia"/>
          <w:color w:val="000000"/>
          <w:kern w:val="0"/>
          <w:szCs w:val="21"/>
          <w:lang w:val="zh-CN"/>
        </w:rPr>
        <w:t>采购人成立验收小组,按照采购合同的约定对</w:t>
      </w:r>
      <w:r>
        <w:rPr>
          <w:rFonts w:hint="eastAsia" w:cs="宋体" w:asciiTheme="minorEastAsia" w:hAnsiTheme="minorEastAsia"/>
          <w:color w:val="000000"/>
          <w:kern w:val="0"/>
          <w:szCs w:val="21"/>
          <w:lang w:val="zh-CN"/>
        </w:rPr>
        <w:t>中标人</w:t>
      </w:r>
      <w:r>
        <w:rPr>
          <w:rFonts w:cs="宋体" w:asciiTheme="minorEastAsia" w:hAnsiTheme="minorEastAsia"/>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r>
        <w:rPr>
          <w:rFonts w:hint="eastAsia" w:ascii="仿宋" w:hAnsi="仿宋" w:eastAsia="仿宋" w:cs="宋体"/>
          <w:color w:val="000000"/>
          <w:kern w:val="0"/>
          <w:szCs w:val="21"/>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900000</w:t>
      </w:r>
      <w:r>
        <w:rPr>
          <w:rFonts w:hint="eastAsia" w:cs="黑体" w:asciiTheme="minorEastAsia" w:hAnsiTheme="minorEastAsia" w:eastAsiaTheme="minorEastAsia"/>
          <w:b/>
          <w:bCs/>
          <w:color w:val="000000"/>
          <w:sz w:val="21"/>
          <w:szCs w:val="21"/>
          <w:shd w:val="clear" w:color="auto" w:fill="FFFFFF"/>
        </w:rPr>
        <w:t>元。最高限价</w:t>
      </w:r>
      <w:r>
        <w:rPr>
          <w:rFonts w:hint="eastAsia" w:cs="黑体" w:asciiTheme="minorEastAsia" w:hAnsiTheme="minorEastAsia" w:eastAsiaTheme="minorEastAsia"/>
          <w:b/>
          <w:bCs/>
          <w:color w:val="000000"/>
          <w:sz w:val="21"/>
          <w:szCs w:val="21"/>
          <w:shd w:val="clear" w:color="auto" w:fill="FFFFFF"/>
          <w:lang w:val="en-US" w:eastAsia="zh-CN"/>
        </w:rPr>
        <w:t>900000</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2、支付时间及条件：合同签订后支付合同金额的60%，项目评审验收通过后付清余款。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项目名称：许昌经济技术开发区水资源综合规划编制项目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项目编号：JZFCG-G2018040号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项目内容：许昌经济技术开发区水资源综合规划编制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名称：许昌经济技术开发区法制与社会服务局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地址：许昌经济技术开发区管理委员会（瑞祥路中段）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联系人：孙广文           电话：0374-8581509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地址：新许路中段建设银行三楼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联系人：冯建伟            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七、同时具有水文、水资源调查评价和建设项目水资源论证乙级及以上资质（含乙级）；</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900000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bookmarkStart w:id="9" w:name="_GoBack" w:colFirst="2" w:colLast="2"/>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2018</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17</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zh-CN"/>
              </w:rPr>
              <w:t>三</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金额：壹万捌仟元（¥</w:t>
            </w:r>
            <w:r>
              <w:rPr>
                <w:rFonts w:hint="eastAsia" w:cs="仿宋_GB2312" w:asciiTheme="minorEastAsia" w:hAnsiTheme="minorEastAsia"/>
                <w:szCs w:val="21"/>
                <w:lang w:val="en-US" w:eastAsia="zh-CN"/>
              </w:rPr>
              <w:t>18000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614955098@qq.com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宋体" w:asciiTheme="minorEastAsia" w:hAnsiTheme="minorEastAsia"/>
          <w:kern w:val="0"/>
          <w:szCs w:val="21"/>
          <w:lang w:eastAsia="zh-CN"/>
        </w:rPr>
        <w:t>一</w:t>
      </w:r>
      <w:r>
        <w:rPr>
          <w:rFonts w:hint="eastAsia" w:cs="宋体" w:asciiTheme="minorEastAsia" w:hAnsiTheme="minorEastAsia"/>
          <w:kern w:val="0"/>
          <w:szCs w:val="21"/>
        </w:rPr>
        <w:t>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13、同时具有水文、水资源调查评价和建设项目水资源论证乙级及以上资质（含乙级）</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015"/>
        <w:gridCol w:w="510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89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070" w:type="dxa"/>
            <w:gridSpan w:val="2"/>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价格部分（满分</w:t>
            </w:r>
            <w:r>
              <w:rPr>
                <w:rFonts w:hint="eastAsia" w:ascii="宋体" w:hAnsi="宋体" w:eastAsia="宋体" w:cs="宋体"/>
                <w:b/>
                <w:color w:val="auto"/>
                <w:sz w:val="21"/>
                <w:szCs w:val="21"/>
                <w:highlight w:val="none"/>
                <w:u w:val="single"/>
              </w:rPr>
              <w:t xml:space="preserve">  10  </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tcBorders>
              <w:top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103" w:type="dxa"/>
            <w:tcBorders>
              <w:top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967" w:type="dxa"/>
            <w:tcBorders>
              <w:top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896" w:type="dxa"/>
            <w:gridSpan w:val="2"/>
            <w:tcBorders>
              <w:top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5103" w:type="dxa"/>
            <w:tcBorders>
              <w:top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评标基准价：满足招标文件要求的有效投标报价中，最低的投标报价为评标基准价。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rPr>
              <w:t xml:space="preserve"> 10  </w:t>
            </w:r>
          </w:p>
        </w:tc>
        <w:tc>
          <w:tcPr>
            <w:tcW w:w="967" w:type="dxa"/>
            <w:tcBorders>
              <w:top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商务部分（满分</w:t>
            </w:r>
            <w:r>
              <w:rPr>
                <w:rFonts w:hint="eastAsia" w:ascii="宋体" w:hAnsi="宋体" w:eastAsia="宋体" w:cs="宋体"/>
                <w:b/>
                <w:color w:val="auto"/>
                <w:sz w:val="21"/>
                <w:szCs w:val="21"/>
                <w:highlight w:val="none"/>
                <w:u w:val="single"/>
              </w:rPr>
              <w:t xml:space="preserve"> 60  </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tcBorders>
              <w:bottom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103"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967"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restart"/>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企业综合能力</w:t>
            </w:r>
          </w:p>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2015"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企业业绩</w:t>
            </w:r>
          </w:p>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（20分）</w:t>
            </w:r>
          </w:p>
        </w:tc>
        <w:tc>
          <w:tcPr>
            <w:tcW w:w="5103" w:type="dxa"/>
            <w:vAlign w:val="center"/>
          </w:tcPr>
          <w:p>
            <w:pPr>
              <w:widowControl/>
              <w:adjustRightInd w:val="0"/>
              <w:snapToGrid w:val="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2013年以来，以合同签订时间为准，企业承担过类似业绩，每一项业绩得2分，最高可得20分。（</w:t>
            </w:r>
            <w:r>
              <w:rPr>
                <w:rFonts w:hint="eastAsia" w:ascii="宋体" w:hAnsi="宋体" w:eastAsia="宋体" w:cs="宋体"/>
                <w:bCs/>
                <w:color w:val="auto"/>
                <w:sz w:val="21"/>
                <w:szCs w:val="21"/>
                <w:highlight w:val="none"/>
              </w:rPr>
              <w:t>以中标通知书、合同和网站下载的中标公示为准，未提供的或提供不全的不计分</w:t>
            </w:r>
            <w:r>
              <w:rPr>
                <w:rFonts w:hint="eastAsia" w:ascii="宋体" w:hAnsi="宋体" w:eastAsia="宋体" w:cs="宋体"/>
                <w:bCs/>
                <w:color w:val="auto"/>
                <w:kern w:val="0"/>
                <w:sz w:val="21"/>
                <w:szCs w:val="21"/>
                <w:highlight w:val="none"/>
              </w:rPr>
              <w:t>）。</w:t>
            </w:r>
          </w:p>
          <w:p>
            <w:pPr>
              <w:widowControl/>
              <w:adjustRightInd w:val="0"/>
              <w:snapToGrid w:val="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类似业绩指</w:t>
            </w:r>
            <w:r>
              <w:rPr>
                <w:rFonts w:hint="eastAsia" w:ascii="宋体" w:hAnsi="宋体" w:eastAsia="宋体" w:cs="宋体"/>
                <w:bCs/>
                <w:color w:val="auto"/>
                <w:kern w:val="0"/>
                <w:sz w:val="21"/>
                <w:szCs w:val="21"/>
                <w:highlight w:val="none"/>
              </w:rPr>
              <w:t>水资源调查评价或水资源综合规划或者水资源保护规划或流域生态流量试点方案等</w:t>
            </w:r>
            <w:r>
              <w:rPr>
                <w:rFonts w:hint="eastAsia" w:ascii="宋体" w:hAnsi="宋体" w:eastAsia="宋体" w:cs="宋体"/>
                <w:bCs/>
                <w:color w:val="auto"/>
                <w:kern w:val="0"/>
                <w:sz w:val="21"/>
                <w:szCs w:val="21"/>
                <w:highlight w:val="none"/>
                <w:lang w:eastAsia="zh-CN"/>
              </w:rPr>
              <w:t>。</w:t>
            </w:r>
          </w:p>
        </w:tc>
        <w:tc>
          <w:tcPr>
            <w:tcW w:w="96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continue"/>
            <w:vAlign w:val="center"/>
          </w:tcPr>
          <w:p>
            <w:pPr>
              <w:spacing w:line="360" w:lineRule="exact"/>
              <w:jc w:val="center"/>
              <w:rPr>
                <w:rFonts w:hint="eastAsia" w:ascii="宋体" w:hAnsi="宋体" w:eastAsia="宋体" w:cs="宋体"/>
                <w:color w:val="auto"/>
                <w:sz w:val="21"/>
                <w:szCs w:val="21"/>
                <w:highlight w:val="none"/>
              </w:rPr>
            </w:pPr>
          </w:p>
        </w:tc>
        <w:tc>
          <w:tcPr>
            <w:tcW w:w="2015"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获奖情况</w:t>
            </w:r>
          </w:p>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（10分）</w:t>
            </w:r>
          </w:p>
        </w:tc>
        <w:tc>
          <w:tcPr>
            <w:tcW w:w="5103" w:type="dxa"/>
            <w:vAlign w:val="center"/>
          </w:tcPr>
          <w:p>
            <w:pPr>
              <w:widowControl/>
              <w:adjustRightInd w:val="0"/>
              <w:snapToGrid w:val="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2013年以来获得水资源类省部级科技进步（或者规划类）奖一等得4分、二等得3分、三等得2分；最高可得</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分。（以</w:t>
            </w:r>
            <w:r>
              <w:rPr>
                <w:rFonts w:hint="eastAsia" w:ascii="宋体" w:hAnsi="宋体" w:eastAsia="宋体" w:cs="宋体"/>
                <w:bCs/>
                <w:color w:val="auto"/>
                <w:kern w:val="0"/>
                <w:sz w:val="21"/>
                <w:szCs w:val="21"/>
                <w:highlight w:val="none"/>
                <w:lang w:eastAsia="zh-CN"/>
              </w:rPr>
              <w:t>获奖证书</w:t>
            </w:r>
            <w:r>
              <w:rPr>
                <w:rFonts w:hint="eastAsia" w:ascii="宋体" w:hAnsi="宋体" w:eastAsia="宋体" w:cs="宋体"/>
                <w:bCs/>
                <w:color w:val="auto"/>
                <w:kern w:val="0"/>
                <w:sz w:val="21"/>
                <w:szCs w:val="21"/>
                <w:highlight w:val="none"/>
              </w:rPr>
              <w:t>为准</w:t>
            </w:r>
            <w:r>
              <w:rPr>
                <w:rFonts w:hint="eastAsia" w:ascii="宋体" w:hAnsi="宋体" w:eastAsia="宋体" w:cs="宋体"/>
                <w:bCs/>
                <w:color w:val="auto"/>
                <w:kern w:val="0"/>
                <w:sz w:val="21"/>
                <w:szCs w:val="21"/>
                <w:highlight w:val="none"/>
                <w:lang w:eastAsia="zh-CN"/>
              </w:rPr>
              <w:t>，未提供或提供不全的不计分</w:t>
            </w:r>
            <w:r>
              <w:rPr>
                <w:rFonts w:hint="eastAsia" w:ascii="宋体" w:hAnsi="宋体" w:eastAsia="宋体" w:cs="宋体"/>
                <w:bCs/>
                <w:color w:val="auto"/>
                <w:kern w:val="0"/>
                <w:sz w:val="21"/>
                <w:szCs w:val="21"/>
                <w:highlight w:val="none"/>
              </w:rPr>
              <w:t>）</w:t>
            </w:r>
          </w:p>
        </w:tc>
        <w:tc>
          <w:tcPr>
            <w:tcW w:w="96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restart"/>
            <w:vAlign w:val="center"/>
          </w:tcPr>
          <w:p>
            <w:pPr>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项目负责人的资历、能力和业绩等</w:t>
            </w:r>
          </w:p>
          <w:p>
            <w:pPr>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（20分）</w:t>
            </w:r>
          </w:p>
        </w:tc>
        <w:tc>
          <w:tcPr>
            <w:tcW w:w="2015"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项目负责人获奖情况（8分）</w:t>
            </w:r>
          </w:p>
        </w:tc>
        <w:tc>
          <w:tcPr>
            <w:tcW w:w="5103" w:type="dxa"/>
            <w:vAlign w:val="center"/>
          </w:tcPr>
          <w:p>
            <w:pPr>
              <w:widowControl/>
              <w:adjustRightInd w:val="0"/>
              <w:snapToGrid w:val="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项目负责人类似业绩获得省部级奖项的,每一项得2分，最多得8分。</w:t>
            </w:r>
          </w:p>
          <w:p>
            <w:pPr>
              <w:widowControl/>
              <w:adjustRightInd w:val="0"/>
              <w:snapToGrid w:val="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类似业绩指</w:t>
            </w:r>
            <w:r>
              <w:rPr>
                <w:rFonts w:hint="eastAsia" w:ascii="宋体" w:hAnsi="宋体" w:eastAsia="宋体" w:cs="宋体"/>
                <w:bCs/>
                <w:color w:val="auto"/>
                <w:kern w:val="0"/>
                <w:sz w:val="21"/>
                <w:szCs w:val="21"/>
                <w:highlight w:val="none"/>
              </w:rPr>
              <w:t>水资源调查评价或水资源综合规划或者水资源保护规划或流域生态流量试点方案等</w:t>
            </w:r>
            <w:r>
              <w:rPr>
                <w:rFonts w:hint="eastAsia" w:ascii="宋体" w:hAnsi="宋体" w:eastAsia="宋体" w:cs="宋体"/>
                <w:bCs/>
                <w:color w:val="auto"/>
                <w:kern w:val="0"/>
                <w:sz w:val="21"/>
                <w:szCs w:val="21"/>
                <w:highlight w:val="none"/>
                <w:lang w:eastAsia="zh-CN"/>
              </w:rPr>
              <w:t>。</w:t>
            </w:r>
          </w:p>
        </w:tc>
        <w:tc>
          <w:tcPr>
            <w:tcW w:w="967" w:type="dxa"/>
            <w:vAlign w:val="center"/>
          </w:tcPr>
          <w:p>
            <w:pPr>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Merge w:val="continue"/>
            <w:vAlign w:val="center"/>
          </w:tcPr>
          <w:p>
            <w:pPr>
              <w:spacing w:line="360" w:lineRule="exact"/>
              <w:jc w:val="center"/>
              <w:rPr>
                <w:rFonts w:hint="eastAsia" w:ascii="宋体" w:hAnsi="宋体" w:eastAsia="宋体" w:cs="宋体"/>
                <w:color w:val="auto"/>
                <w:sz w:val="21"/>
                <w:szCs w:val="21"/>
                <w:highlight w:val="none"/>
              </w:rPr>
            </w:pPr>
          </w:p>
        </w:tc>
        <w:tc>
          <w:tcPr>
            <w:tcW w:w="2015"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项目负责人业绩（12分）</w:t>
            </w:r>
          </w:p>
        </w:tc>
        <w:tc>
          <w:tcPr>
            <w:tcW w:w="5103" w:type="dxa"/>
            <w:vAlign w:val="center"/>
          </w:tcPr>
          <w:p>
            <w:pPr>
              <w:widowControl/>
              <w:adjustRightInd w:val="0"/>
              <w:snapToGrid w:val="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2013年以来，以合同签订时间为准，拟投入的项目负责人每负责以上企业业绩中的一个得2分，最多得12分。（</w:t>
            </w:r>
            <w:r>
              <w:rPr>
                <w:rFonts w:hint="eastAsia" w:ascii="宋体" w:hAnsi="宋体" w:eastAsia="宋体" w:cs="宋体"/>
                <w:bCs/>
                <w:color w:val="auto"/>
                <w:sz w:val="21"/>
                <w:szCs w:val="21"/>
                <w:highlight w:val="none"/>
              </w:rPr>
              <w:t>以中标通知书显示的项目负责人为准，未提供的或提供不全的不计分</w:t>
            </w:r>
            <w:r>
              <w:rPr>
                <w:rFonts w:hint="eastAsia" w:ascii="宋体" w:hAnsi="宋体" w:eastAsia="宋体" w:cs="宋体"/>
                <w:bCs/>
                <w:color w:val="auto"/>
                <w:kern w:val="0"/>
                <w:sz w:val="21"/>
                <w:szCs w:val="21"/>
                <w:highlight w:val="none"/>
              </w:rPr>
              <w:t>）。</w:t>
            </w:r>
          </w:p>
        </w:tc>
        <w:tc>
          <w:tcPr>
            <w:tcW w:w="967" w:type="dxa"/>
            <w:vAlign w:val="center"/>
          </w:tcPr>
          <w:p>
            <w:pPr>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1"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规划编制组的各专业人员配备（10分）</w:t>
            </w:r>
          </w:p>
        </w:tc>
        <w:tc>
          <w:tcPr>
            <w:tcW w:w="2015" w:type="dxa"/>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项目部人员</w:t>
            </w:r>
          </w:p>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构成及配备</w:t>
            </w:r>
          </w:p>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（10分）</w:t>
            </w:r>
          </w:p>
        </w:tc>
        <w:tc>
          <w:tcPr>
            <w:tcW w:w="5103" w:type="dxa"/>
            <w:vAlign w:val="center"/>
          </w:tcPr>
          <w:p>
            <w:pPr>
              <w:widowControl/>
              <w:adjustRightInd w:val="0"/>
              <w:snapToGrid w:val="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项目部人员配备具有水利类专业高级技术职称的（不含项目负责人），每有1人加2分，最多加</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分，没有不得分。职称证书工作单位与投标单位名称一致，如不一致提供社保证明。</w:t>
            </w:r>
          </w:p>
        </w:tc>
        <w:tc>
          <w:tcPr>
            <w:tcW w:w="967" w:type="dxa"/>
            <w:vAlign w:val="center"/>
          </w:tcPr>
          <w:p>
            <w:pPr>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技术部分（满分</w:t>
            </w:r>
            <w:r>
              <w:rPr>
                <w:rFonts w:hint="eastAsia" w:ascii="宋体" w:hAnsi="宋体" w:eastAsia="宋体" w:cs="宋体"/>
                <w:b/>
                <w:color w:val="auto"/>
                <w:sz w:val="21"/>
                <w:szCs w:val="21"/>
                <w:highlight w:val="none"/>
                <w:u w:val="single"/>
              </w:rPr>
              <w:t xml:space="preserve"> 30 </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103"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967"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规划方案（15分）</w:t>
            </w:r>
          </w:p>
        </w:tc>
        <w:tc>
          <w:tcPr>
            <w:tcW w:w="5103" w:type="dxa"/>
            <w:vAlign w:val="center"/>
          </w:tcPr>
          <w:p>
            <w:pPr>
              <w:numPr>
                <w:ilvl w:val="0"/>
                <w:numId w:val="20"/>
              </w:numPr>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对项目规划的理解、以及规划编制的整体思路符合项目本质内容</w:t>
            </w:r>
            <w:r>
              <w:rPr>
                <w:rFonts w:hint="eastAsia" w:ascii="宋体" w:hAnsi="宋体" w:eastAsia="宋体" w:cs="宋体"/>
                <w:bCs/>
                <w:color w:val="auto"/>
                <w:kern w:val="0"/>
                <w:sz w:val="21"/>
                <w:szCs w:val="21"/>
                <w:highlight w:val="none"/>
                <w:lang w:eastAsia="zh-CN"/>
              </w:rPr>
              <w:t>且提供具体方案</w:t>
            </w:r>
            <w:r>
              <w:rPr>
                <w:rFonts w:hint="eastAsia" w:ascii="宋体" w:hAnsi="宋体" w:eastAsia="宋体" w:cs="宋体"/>
                <w:bCs/>
                <w:color w:val="auto"/>
                <w:kern w:val="0"/>
                <w:sz w:val="21"/>
                <w:szCs w:val="21"/>
                <w:highlight w:val="none"/>
              </w:rPr>
              <w:t>的得</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，有相关描述的得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不提供不得分。</w:t>
            </w:r>
          </w:p>
          <w:p>
            <w:pPr>
              <w:numPr>
                <w:ilvl w:val="0"/>
                <w:numId w:val="20"/>
              </w:numPr>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项目的主要规划方案，有基础的资料收集方案，有必要的图标及说明，能把项目规划方案整体表达清晰，相关说明等符合实际情况的得</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，有相关描述的得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不提供不得分。</w:t>
            </w:r>
          </w:p>
        </w:tc>
        <w:tc>
          <w:tcPr>
            <w:tcW w:w="967"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6" w:type="dxa"/>
            <w:gridSpan w:val="2"/>
            <w:vAlign w:val="center"/>
          </w:tcPr>
          <w:p>
            <w:pPr>
              <w:widowControl/>
              <w:adjustRightInd w:val="0"/>
              <w:snapToGrid w:val="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规划编制的实施（15分）</w:t>
            </w:r>
          </w:p>
        </w:tc>
        <w:tc>
          <w:tcPr>
            <w:tcW w:w="5103" w:type="dxa"/>
            <w:vAlign w:val="center"/>
          </w:tcPr>
          <w:p>
            <w:pPr>
              <w:numPr>
                <w:ilvl w:val="0"/>
                <w:numId w:val="21"/>
              </w:numPr>
              <w:spacing w:line="36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项目实施计划及项目进度措施，项目规划编制的质量及保证措施</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有相关的具体描述及安排情况得</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eastAsia="zh-CN"/>
              </w:rPr>
              <w:t>，有相关描述的得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不提供不得分。</w:t>
            </w:r>
          </w:p>
          <w:p>
            <w:pPr>
              <w:numPr>
                <w:ilvl w:val="0"/>
                <w:numId w:val="21"/>
              </w:numPr>
              <w:spacing w:line="360" w:lineRule="exact"/>
              <w:ind w:left="0" w:leftChars="0"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项目的技术支持与保障，技术路线等符合国家、省、市标准和实际情况得</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，有相关描述的得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不提供不得分。</w:t>
            </w:r>
          </w:p>
          <w:p>
            <w:pPr>
              <w:numPr>
                <w:ilvl w:val="0"/>
                <w:numId w:val="0"/>
              </w:numPr>
              <w:spacing w:line="360" w:lineRule="exact"/>
              <w:ind w:left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3、本项目服务承诺：在项目实施期间，能接受甲方合理的安排和建议，并积极配合有相关的承诺及优惠措施，基本符合实际情况的得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有相关的承诺</w:t>
            </w:r>
            <w:r>
              <w:rPr>
                <w:rFonts w:hint="eastAsia" w:ascii="宋体" w:hAnsi="宋体" w:eastAsia="宋体" w:cs="宋体"/>
                <w:bCs/>
                <w:color w:val="auto"/>
                <w:kern w:val="0"/>
                <w:sz w:val="21"/>
                <w:szCs w:val="21"/>
                <w:highlight w:val="none"/>
                <w:lang w:eastAsia="zh-CN"/>
              </w:rPr>
              <w:t>的得</w:t>
            </w:r>
            <w:r>
              <w:rPr>
                <w:rFonts w:hint="eastAsia" w:ascii="宋体" w:hAnsi="宋体" w:eastAsia="宋体" w:cs="宋体"/>
                <w:bCs/>
                <w:color w:val="auto"/>
                <w:kern w:val="0"/>
                <w:sz w:val="21"/>
                <w:szCs w:val="21"/>
                <w:highlight w:val="none"/>
                <w:lang w:val="en-US" w:eastAsia="zh-CN"/>
              </w:rPr>
              <w:t>2分，不提供不得分。</w:t>
            </w:r>
          </w:p>
        </w:tc>
        <w:tc>
          <w:tcPr>
            <w:tcW w:w="967"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定义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1.2“合同价格”系指根据合同规定，在乙方全面正确地履行合同义务时应支付给乙方的款项。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1.3“甲方”系指通过招标方式，接受合同服务的采购人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1.4“乙方”系指中标后提供合同服务的</w:t>
      </w:r>
      <w:r>
        <w:rPr>
          <w:rFonts w:hint="eastAsia" w:ascii="宋体" w:hAnsi="宋体" w:eastAsia="宋体" w:cs="宋体"/>
          <w:bCs/>
          <w:sz w:val="21"/>
          <w:szCs w:val="21"/>
        </w:rPr>
        <w:t>中标方</w:t>
      </w:r>
      <w:r>
        <w:rPr>
          <w:rFonts w:hint="eastAsia" w:ascii="宋体" w:hAnsi="宋体" w:eastAsia="宋体" w:cs="宋体"/>
          <w:sz w:val="21"/>
          <w:szCs w:val="21"/>
        </w:rPr>
        <w:t>或供应商。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2.适用范围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本合同条款仅适用于本次招标活动。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3.技术规格和标准</w:t>
      </w:r>
    </w:p>
    <w:p>
      <w:pPr>
        <w:pStyle w:val="1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本合同项下所提供服务的技术规格标准应与本招标文件技术规格规定的标准相一致。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4.合同期限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即自</w:t>
      </w:r>
      <w:r>
        <w:rPr>
          <w:rFonts w:hint="eastAsia" w:ascii="宋体" w:hAnsi="宋体" w:eastAsia="宋体" w:cs="宋体"/>
          <w:sz w:val="21"/>
          <w:szCs w:val="21"/>
        </w:rPr>
        <w:tab/>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日起至</w:t>
      </w:r>
      <w:r>
        <w:rPr>
          <w:rFonts w:hint="eastAsia" w:ascii="宋体" w:hAnsi="宋体" w:eastAsia="宋体" w:cs="宋体"/>
          <w:sz w:val="21"/>
          <w:szCs w:val="21"/>
        </w:rPr>
        <w:tab/>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5.价格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除非合同中另有规定，乙方为其所提供货物设备和服务而要求甲方支付的金额应与其投标报价一致。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6.索赔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6.1.1乙方同意甲方取消其不符合要求的服务项目，退还已经收取的款项。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6.1.2对于情节严重、造成甲方损失金额巨大的，同意甲方终止全部项目合同，并赔偿甲方因此造成的损失。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7.不可抗力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7.2受损一方应在不可抗力事故发生后尽快用电报、传真或电传通知对方，并于事故发生后 14天内将有关部门出具的证明文件用特快专递或挂号信寄给对方审阅确认。</w:t>
      </w:r>
      <w:r>
        <w:rPr>
          <w:rFonts w:hint="eastAsia" w:ascii="宋体" w:hAnsi="宋体" w:eastAsia="宋体" w:cs="宋体"/>
          <w:sz w:val="21"/>
          <w:szCs w:val="21"/>
          <w:u w:val="single"/>
        </w:rPr>
        <w:t>一旦不可抗力事故的影响持续 60天以上</w:t>
      </w:r>
      <w:r>
        <w:rPr>
          <w:rFonts w:hint="eastAsia" w:ascii="宋体" w:hAnsi="宋体" w:eastAsia="宋体" w:cs="宋体"/>
          <w:sz w:val="21"/>
          <w:szCs w:val="21"/>
        </w:rPr>
        <w:t>，双方应通过友好协商，在合理的时间内达成进一步履行合同的协议。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8.履约保证金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8.1履约保证金的有效期至供货完毕且验收合格。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8.2乙方提供的履约保证金按规定格式以现金、转帐支票、电汇的形式提供，与此有关的费用由乙方负担。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8.3如果乙方未能按合同规定履行其义务，甲方有权从履约保证金取得补偿。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9.争议的解决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9.1在执行合同中发生的与本合同有关的争端，双方应通过友好协商解决，经协商在 60天内不能达成协议时，应提交仲裁。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9.2合同双方均为国内法人的，其争端的仲裁应由合同发生地许昌市仲裁委员会根据其仲裁程序进行。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9.3 仲裁裁决应为最终决定，并对双方具有约束力。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9.4 除另有裁决外，仲裁费应由败诉方负担。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9.5 在仲裁期间，除正在进行的仲裁部分外，合同其他部分继续执行。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10.合同终止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10.1本合同期限为</w:t>
      </w:r>
      <w:r>
        <w:rPr>
          <w:rFonts w:hint="eastAsia" w:ascii="宋体" w:hAnsi="宋体" w:eastAsia="宋体" w:cs="宋体"/>
          <w:b/>
          <w:sz w:val="21"/>
          <w:szCs w:val="21"/>
          <w:u w:val="single"/>
        </w:rPr>
        <w:t xml:space="preserve">     </w:t>
      </w:r>
      <w:r>
        <w:rPr>
          <w:rFonts w:hint="eastAsia" w:ascii="宋体" w:hAnsi="宋体" w:eastAsia="宋体" w:cs="宋体"/>
          <w:sz w:val="2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 出现下列情况时合同自动终止：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10.2.1发生不可抗力时。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10.2.2一方不履行合同条款，造成另一方无法执行合同协议，协商又不能求得解决，合同终止，责任方赔偿损失。</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11.合同修改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对于合同的未尽事宜，需进行修改、补充和完善的，甲乙双方必须就所修改的内容签订书面的合同修改书，作为合同的补充协议。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12.适用法律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本合同应按中华人民共和国的法律解释。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13.主导语言与计量单位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 除技术规格另有规定外，计量单位均使用中华人民共和国法定计量单位。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14.合同生效</w:t>
      </w:r>
    </w:p>
    <w:p>
      <w:pPr>
        <w:pStyle w:val="13"/>
        <w:spacing w:line="360" w:lineRule="auto"/>
        <w:contextualSpacing/>
        <w:jc w:val="left"/>
        <w:rPr>
          <w:rFonts w:hint="eastAsia" w:ascii="宋体" w:hAnsi="宋体" w:eastAsia="宋体" w:cs="宋体"/>
          <w:b/>
          <w:kern w:val="0"/>
          <w:sz w:val="21"/>
          <w:szCs w:val="21"/>
        </w:rPr>
      </w:pPr>
      <w:r>
        <w:rPr>
          <w:rFonts w:hint="eastAsia" w:ascii="宋体" w:hAnsi="宋体" w:eastAsia="宋体" w:cs="宋体"/>
          <w:sz w:val="21"/>
          <w:szCs w:val="21"/>
        </w:rPr>
        <w:t>除非合同中另有说明，本合同经双方签字盖章，并在招标人收到乙方的履约保证金后，即开始生效。</w:t>
      </w:r>
    </w:p>
    <w:p>
      <w:pPr>
        <w:pStyle w:val="13"/>
        <w:spacing w:line="360" w:lineRule="auto"/>
        <w:contextualSpacing/>
        <w:jc w:val="center"/>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4542E"/>
    <w:multiLevelType w:val="singleLevel"/>
    <w:tmpl w:val="8554542E"/>
    <w:lvl w:ilvl="0" w:tentative="0">
      <w:start w:val="1"/>
      <w:numFmt w:val="chineseCounting"/>
      <w:suff w:val="nothing"/>
      <w:lvlText w:val="%1、"/>
      <w:lvlJc w:val="left"/>
      <w:rPr>
        <w:rFonts w:hint="eastAsia"/>
      </w:rPr>
    </w:lvl>
  </w:abstractNum>
  <w:abstractNum w:abstractNumId="1">
    <w:nsid w:val="E0C02ABF"/>
    <w:multiLevelType w:val="singleLevel"/>
    <w:tmpl w:val="E0C02ABF"/>
    <w:lvl w:ilvl="0" w:tentative="0">
      <w:start w:val="1"/>
      <w:numFmt w:val="decimal"/>
      <w:suff w:val="nothing"/>
      <w:lvlText w:val="%1、"/>
      <w:lvlJc w:val="left"/>
    </w:lvl>
  </w:abstractNum>
  <w:abstractNum w:abstractNumId="2">
    <w:nsid w:val="FCB97BA7"/>
    <w:multiLevelType w:val="singleLevel"/>
    <w:tmpl w:val="FCB97BA7"/>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48"/>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16"/>
  </w:num>
  <w:num w:numId="5">
    <w:abstractNumId w:val="0"/>
  </w:num>
  <w:num w:numId="6">
    <w:abstractNumId w:val="10"/>
  </w:num>
  <w:num w:numId="7">
    <w:abstractNumId w:val="18"/>
  </w:num>
  <w:num w:numId="8">
    <w:abstractNumId w:val="19"/>
  </w:num>
  <w:num w:numId="9">
    <w:abstractNumId w:val="14"/>
  </w:num>
  <w:num w:numId="10">
    <w:abstractNumId w:val="11"/>
  </w:num>
  <w:num w:numId="11">
    <w:abstractNumId w:val="7"/>
  </w:num>
  <w:num w:numId="12">
    <w:abstractNumId w:val="8"/>
  </w:num>
  <w:num w:numId="13">
    <w:abstractNumId w:val="21"/>
  </w:num>
  <w:num w:numId="14">
    <w:abstractNumId w:val="13"/>
  </w:num>
  <w:num w:numId="15">
    <w:abstractNumId w:val="20"/>
  </w:num>
  <w:num w:numId="16">
    <w:abstractNumId w:val="6"/>
  </w:num>
  <w:num w:numId="17">
    <w:abstractNumId w:val="9"/>
  </w:num>
  <w:num w:numId="18">
    <w:abstractNumId w:val="15"/>
  </w:num>
  <w:num w:numId="19">
    <w:abstractNumId w:val="12"/>
  </w:num>
  <w:num w:numId="20">
    <w:abstractNumId w:val="2"/>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3042E"/>
    <w:rsid w:val="06C24D26"/>
    <w:rsid w:val="07BA3B87"/>
    <w:rsid w:val="08B91887"/>
    <w:rsid w:val="0A0F6C58"/>
    <w:rsid w:val="0A320D1F"/>
    <w:rsid w:val="0A4649EC"/>
    <w:rsid w:val="0C537582"/>
    <w:rsid w:val="0E462717"/>
    <w:rsid w:val="1158353C"/>
    <w:rsid w:val="17180459"/>
    <w:rsid w:val="1A4C02F6"/>
    <w:rsid w:val="2B8B3AC4"/>
    <w:rsid w:val="2D0E35F0"/>
    <w:rsid w:val="2DF14CF9"/>
    <w:rsid w:val="2FB16068"/>
    <w:rsid w:val="35D44904"/>
    <w:rsid w:val="39AC2BC3"/>
    <w:rsid w:val="3B3C7B71"/>
    <w:rsid w:val="3DB36128"/>
    <w:rsid w:val="42216B38"/>
    <w:rsid w:val="4AE1072B"/>
    <w:rsid w:val="4EAB1EBC"/>
    <w:rsid w:val="4F65519D"/>
    <w:rsid w:val="556917D2"/>
    <w:rsid w:val="5B9D4331"/>
    <w:rsid w:val="5D894EB6"/>
    <w:rsid w:val="642B08D6"/>
    <w:rsid w:val="663F6789"/>
    <w:rsid w:val="702715D2"/>
    <w:rsid w:val="77BA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5</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dcterms:modified xsi:type="dcterms:W3CDTF">2018-06-22T01:30:27Z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