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宋体" w:hAnsi="宋体" w:eastAsia="宋体" w:cs="宋体"/>
          <w:b/>
          <w:i w:val="0"/>
          <w:color w:val="000000"/>
          <w:kern w:val="0"/>
          <w:sz w:val="32"/>
          <w:szCs w:val="32"/>
          <w:u w:val="none"/>
          <w:shd w:val="clear" w:fill="FFFFFF"/>
          <w:lang w:val="en-US" w:eastAsia="zh-CN" w:bidi="ar"/>
        </w:rPr>
      </w:pPr>
      <w:r>
        <w:rPr>
          <w:rFonts w:hint="eastAsia" w:ascii="宋体" w:hAnsi="宋体" w:eastAsia="宋体" w:cs="宋体"/>
          <w:b/>
          <w:i w:val="0"/>
          <w:color w:val="000000"/>
          <w:kern w:val="0"/>
          <w:sz w:val="32"/>
          <w:szCs w:val="32"/>
          <w:u w:val="none"/>
          <w:shd w:val="clear" w:fill="FFFFFF"/>
          <w:lang w:val="en-US" w:eastAsia="zh-CN" w:bidi="ar"/>
        </w:rPr>
        <w:t>JZFCG-G2018045号</w:t>
      </w:r>
    </w:p>
    <w:p>
      <w:pPr>
        <w:pStyle w:val="4"/>
        <w:shd w:val="clear" w:color="auto" w:fill="FFFFFF"/>
        <w:spacing w:before="0" w:beforeAutospacing="0" w:after="0" w:afterAutospacing="0"/>
        <w:jc w:val="center"/>
        <w:rPr>
          <w:rFonts w:hint="eastAsia" w:ascii="宋体" w:hAnsi="宋体" w:eastAsia="宋体" w:cs="宋体"/>
          <w:b/>
          <w:i w:val="0"/>
          <w:color w:val="000000"/>
          <w:kern w:val="0"/>
          <w:sz w:val="32"/>
          <w:szCs w:val="32"/>
          <w:u w:val="none"/>
          <w:shd w:val="clear" w:fill="FFFFFF"/>
          <w:lang w:val="en-US" w:eastAsia="zh-CN" w:bidi="ar"/>
        </w:rPr>
      </w:pPr>
      <w:r>
        <w:rPr>
          <w:rFonts w:hint="eastAsia" w:ascii="宋体" w:hAnsi="宋体" w:eastAsia="宋体" w:cs="宋体"/>
          <w:b/>
          <w:i w:val="0"/>
          <w:color w:val="000000"/>
          <w:kern w:val="0"/>
          <w:sz w:val="32"/>
          <w:szCs w:val="32"/>
          <w:u w:val="none"/>
          <w:shd w:val="clear" w:fill="FFFFFF"/>
          <w:lang w:val="en-US" w:eastAsia="zh-CN" w:bidi="ar"/>
        </w:rPr>
        <w:t>许昌市东城区市政管理中心</w:t>
      </w:r>
    </w:p>
    <w:p>
      <w:pPr>
        <w:pStyle w:val="4"/>
        <w:shd w:val="clear" w:color="auto" w:fill="FFFFFF"/>
        <w:spacing w:before="0" w:beforeAutospacing="0" w:after="0" w:afterAutospacing="0"/>
        <w:jc w:val="center"/>
        <w:rPr>
          <w:rFonts w:hint="eastAsia" w:ascii="宋体" w:hAnsi="宋体" w:eastAsia="宋体" w:cs="宋体"/>
          <w:b/>
          <w:i w:val="0"/>
          <w:color w:val="000000"/>
          <w:kern w:val="0"/>
          <w:sz w:val="32"/>
          <w:szCs w:val="32"/>
          <w:u w:val="none"/>
          <w:shd w:val="clear" w:fill="FFFFFF"/>
          <w:lang w:val="en-US" w:eastAsia="zh-CN" w:bidi="ar"/>
        </w:rPr>
      </w:pPr>
      <w:r>
        <w:rPr>
          <w:rFonts w:hint="eastAsia" w:ascii="宋体" w:hAnsi="宋体" w:eastAsia="宋体" w:cs="宋体"/>
          <w:b/>
          <w:i w:val="0"/>
          <w:color w:val="000000"/>
          <w:kern w:val="0"/>
          <w:sz w:val="32"/>
          <w:szCs w:val="32"/>
          <w:u w:val="none"/>
          <w:shd w:val="clear" w:fill="FFFFFF"/>
          <w:lang w:val="en-US" w:eastAsia="zh-CN" w:bidi="ar"/>
        </w:rPr>
        <w:t>“东城区（陈庄街、天宝路）京式护栏安装项目”</w:t>
      </w:r>
    </w:p>
    <w:p>
      <w:pPr>
        <w:pStyle w:val="4"/>
        <w:shd w:val="clear" w:color="auto" w:fill="FFFFFF"/>
        <w:spacing w:before="0" w:beforeAutospacing="0" w:after="0" w:afterAutospacing="0"/>
        <w:jc w:val="center"/>
        <w:rPr>
          <w:rFonts w:hint="eastAsia" w:ascii="宋体" w:hAnsi="宋体" w:eastAsia="宋体" w:cs="宋体"/>
          <w:b/>
          <w:i w:val="0"/>
          <w:color w:val="000000"/>
          <w:kern w:val="0"/>
          <w:sz w:val="32"/>
          <w:szCs w:val="32"/>
          <w:u w:val="none"/>
          <w:shd w:val="clear" w:fill="FFFFFF"/>
          <w:lang w:val="en-US" w:eastAsia="zh-CN" w:bidi="ar"/>
        </w:rPr>
      </w:pPr>
      <w:bookmarkStart w:id="0" w:name="_GoBack"/>
      <w:bookmarkEnd w:id="0"/>
      <w:r>
        <w:rPr>
          <w:rFonts w:hint="default" w:ascii="宋体" w:hAnsi="宋体" w:eastAsia="宋体" w:cs="宋体"/>
          <w:b/>
          <w:i w:val="0"/>
          <w:color w:val="000000"/>
          <w:kern w:val="0"/>
          <w:sz w:val="32"/>
          <w:szCs w:val="32"/>
          <w:u w:val="none"/>
          <w:shd w:val="clear" w:fill="FFFFFF"/>
          <w:lang w:val="en-US" w:eastAsia="zh-CN" w:bidi="ar"/>
        </w:rPr>
        <w:t>采购需求、评标标准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60" w:lineRule="atLeast"/>
        <w:ind w:right="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一、项目概况</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（一）项目名称：东城区（陈庄街、天宝路）京式护栏安装项目</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（二）采购方式：公开招标      </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（三）主要内容、数量及要求：本项目为东城区（陈庄街、天宝路）京式护栏安装项目，工程内容包含新建京式交通护栏、爆闪灯、警示立柱等。</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（四）预算金额：2444540.18元 。最高限价：2444540.18元。</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（五）交付（服务、完工）时间：合同签订后30日历天</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（六）交付（服务、施工）地点：许昌市东城区</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bCs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（七）进口产品：允许□不允许</w:t>
      </w:r>
      <w:r>
        <w:rPr>
          <w:rFonts w:hint="eastAsia" w:ascii="仿宋" w:hAnsi="仿宋" w:eastAsia="仿宋" w:cs="仿宋"/>
          <w:b w:val="0"/>
          <w:bCs w:val="0"/>
          <w:i w:val="0"/>
          <w:color w:val="000000"/>
          <w:kern w:val="0"/>
          <w:sz w:val="28"/>
          <w:szCs w:val="28"/>
          <w:u w:val="none"/>
          <w:shd w:val="clear" w:fill="FFFFFF"/>
          <w:lang w:val="en-US" w:eastAsia="zh-CN" w:bidi="ar"/>
        </w:rPr>
        <w:t>☑</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（八）分包：允许□不允许☑</w:t>
      </w:r>
    </w:p>
    <w:p>
      <w:pPr>
        <w:pStyle w:val="4"/>
        <w:shd w:val="clear" w:color="auto" w:fill="FFFFFF"/>
        <w:spacing w:before="0" w:beforeAutospacing="0" w:after="0" w:afterAutospacing="0" w:line="360" w:lineRule="auto"/>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本项目落实节能环保☑、中小微型企业扶持☑、支持监狱企业发展☑、残疾人福利性单位扶持☑等相关政府采购政策。</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outlineLvl w:val="9"/>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（一）符合《中华人民共和国政府采购法》第二十二条之规定。</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（二）</w:t>
      </w:r>
      <w:r>
        <w:rPr>
          <w:rFonts w:hint="eastAsia" w:ascii="仿宋" w:hAnsi="仿宋" w:eastAsia="仿宋" w:cs="仿宋"/>
          <w:b w:val="0"/>
          <w:i w:val="0"/>
          <w:color w:val="000000"/>
          <w:kern w:val="0"/>
          <w:sz w:val="28"/>
          <w:szCs w:val="28"/>
          <w:u w:val="none"/>
          <w:shd w:val="clear" w:fill="FFFFFF"/>
          <w:lang w:val="zh-CN" w:eastAsia="zh-CN" w:bidi="ar"/>
        </w:rPr>
        <w:t>未被列入</w:t>
      </w:r>
      <w:r>
        <w:rPr>
          <w:rFonts w:hint="eastAsia" w:ascii="仿宋" w:hAnsi="仿宋" w:eastAsia="仿宋" w:cs="仿宋"/>
          <w:b w:val="0"/>
          <w:i w:val="0"/>
          <w:color w:val="000000"/>
          <w:kern w:val="0"/>
          <w:sz w:val="28"/>
          <w:szCs w:val="28"/>
          <w:u w:val="none"/>
          <w:shd w:val="clear" w:fill="FFFFFF"/>
          <w:lang w:val="en-US" w:eastAsia="zh-CN" w:bidi="ar"/>
        </w:rPr>
        <w:t>“</w:t>
      </w:r>
      <w:r>
        <w:rPr>
          <w:rFonts w:hint="eastAsia" w:ascii="仿宋" w:hAnsi="仿宋" w:eastAsia="仿宋" w:cs="仿宋"/>
          <w:b w:val="0"/>
          <w:i w:val="0"/>
          <w:color w:val="000000"/>
          <w:kern w:val="0"/>
          <w:sz w:val="28"/>
          <w:szCs w:val="28"/>
          <w:u w:val="none"/>
          <w:shd w:val="clear" w:fill="FFFFFF"/>
          <w:lang w:val="zh-CN" w:eastAsia="zh-CN" w:bidi="ar"/>
        </w:rPr>
        <w:t>信用中国</w:t>
      </w:r>
      <w:r>
        <w:rPr>
          <w:rFonts w:hint="eastAsia" w:ascii="仿宋" w:hAnsi="仿宋" w:eastAsia="仿宋" w:cs="仿宋"/>
          <w:b w:val="0"/>
          <w:i w:val="0"/>
          <w:color w:val="000000"/>
          <w:kern w:val="0"/>
          <w:sz w:val="28"/>
          <w:szCs w:val="28"/>
          <w:u w:val="none"/>
          <w:shd w:val="clear" w:fill="FFFFFF"/>
          <w:lang w:val="en-US" w:eastAsia="zh-CN" w:bidi="ar"/>
        </w:rPr>
        <w:t>”</w:t>
      </w:r>
      <w:r>
        <w:rPr>
          <w:rFonts w:hint="eastAsia" w:ascii="仿宋" w:hAnsi="仿宋" w:eastAsia="仿宋" w:cs="仿宋"/>
          <w:b w:val="0"/>
          <w:i w:val="0"/>
          <w:color w:val="000000"/>
          <w:kern w:val="0"/>
          <w:sz w:val="28"/>
          <w:szCs w:val="28"/>
          <w:u w:val="none"/>
          <w:shd w:val="clear" w:fill="FFFFFF"/>
          <w:lang w:val="zh-CN" w:eastAsia="zh-CN" w:bidi="ar"/>
        </w:rPr>
        <w:t>网站</w:t>
      </w:r>
      <w:r>
        <w:rPr>
          <w:rFonts w:hint="eastAsia" w:ascii="仿宋" w:hAnsi="仿宋" w:eastAsia="仿宋" w:cs="仿宋"/>
          <w:b w:val="0"/>
          <w:i w:val="0"/>
          <w:color w:val="000000"/>
          <w:kern w:val="0"/>
          <w:sz w:val="28"/>
          <w:szCs w:val="28"/>
          <w:u w:val="none"/>
          <w:shd w:val="clear" w:fill="FFFFFF"/>
          <w:lang w:val="en-US" w:eastAsia="zh-CN" w:bidi="ar"/>
        </w:rPr>
        <w:t>(www.creditchina.gov.cn)</w:t>
      </w:r>
      <w:r>
        <w:rPr>
          <w:rFonts w:hint="eastAsia" w:ascii="仿宋" w:hAnsi="仿宋" w:eastAsia="仿宋" w:cs="仿宋"/>
          <w:b w:val="0"/>
          <w:i w:val="0"/>
          <w:color w:val="000000"/>
          <w:kern w:val="0"/>
          <w:sz w:val="28"/>
          <w:szCs w:val="28"/>
          <w:u w:val="none"/>
          <w:shd w:val="clear" w:fill="FFFFFF"/>
          <w:lang w:val="zh-CN" w:eastAsia="zh-CN" w:bidi="ar"/>
        </w:rPr>
        <w:t>、中国政府采购网</w:t>
      </w:r>
      <w:r>
        <w:rPr>
          <w:rFonts w:hint="eastAsia" w:ascii="仿宋" w:hAnsi="仿宋" w:eastAsia="仿宋" w:cs="仿宋"/>
          <w:b w:val="0"/>
          <w:i w:val="0"/>
          <w:color w:val="000000"/>
          <w:kern w:val="0"/>
          <w:sz w:val="28"/>
          <w:szCs w:val="28"/>
          <w:u w:val="none"/>
          <w:shd w:val="clear" w:fill="FFFFFF"/>
          <w:lang w:val="en-US" w:eastAsia="zh-CN" w:bidi="ar"/>
        </w:rPr>
        <w:t>（www.ccgp.gov.cn）</w:t>
      </w:r>
      <w:r>
        <w:rPr>
          <w:rFonts w:hint="eastAsia" w:ascii="仿宋" w:hAnsi="仿宋" w:eastAsia="仿宋" w:cs="仿宋"/>
          <w:b w:val="0"/>
          <w:i w:val="0"/>
          <w:color w:val="000000"/>
          <w:kern w:val="0"/>
          <w:sz w:val="28"/>
          <w:szCs w:val="28"/>
          <w:u w:val="none"/>
          <w:shd w:val="clear" w:fill="FFFFFF"/>
          <w:lang w:val="zh-CN" w:eastAsia="zh-CN" w:bidi="ar"/>
        </w:rPr>
        <w:t>渠道信用记录失信被执行人、重大税收违法案件当事人名单、政府采购严重违法失信行为记录名单的投标人。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textAlignment w:val="auto"/>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（三）本次招标不接受联合体的投标。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20" w:lineRule="exact"/>
        <w:ind w:right="0"/>
        <w:jc w:val="left"/>
        <w:textAlignment w:val="auto"/>
        <w:outlineLvl w:val="9"/>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（一）本项目需实现的功能或者目标</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为确保市区交通环境安全有序，创造良好、有序、安全的交通环境。本项目为东城区（陈庄街、天宝路）京式护栏安装项目，工程内容包含新建京式交通护栏、爆闪灯、警示立柱等。</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（二）质保期限：一年</w:t>
      </w:r>
    </w:p>
    <w:p>
      <w:pPr>
        <w:pStyle w:val="4"/>
        <w:shd w:val="clear" w:color="auto" w:fill="FFFFFF"/>
        <w:spacing w:before="0" w:beforeAutospacing="0" w:after="0" w:afterAutospacing="0" w:line="360" w:lineRule="auto"/>
        <w:ind w:firstLine="560" w:firstLineChars="200"/>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en-US" w:eastAsia="zh-CN" w:bidi="ar"/>
        </w:rPr>
        <w:t>（三）采购清单</w:t>
      </w:r>
    </w:p>
    <w:p>
      <w:pPr>
        <w:pStyle w:val="4"/>
        <w:shd w:val="clear" w:color="auto" w:fill="FFFFFF"/>
        <w:spacing w:before="0" w:beforeAutospacing="0" w:after="0" w:afterAutospacing="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陈庄大街（魏武路-魏文路）</w:t>
      </w:r>
    </w:p>
    <w:tbl>
      <w:tblPr>
        <w:tblStyle w:val="9"/>
        <w:tblW w:w="8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469"/>
        <w:gridCol w:w="4249"/>
        <w:gridCol w:w="1142"/>
        <w:gridCol w:w="1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724" w:type="dxa"/>
            <w:vAlign w:val="center"/>
          </w:tcPr>
          <w:p>
            <w:pPr>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序号</w:t>
            </w:r>
          </w:p>
        </w:tc>
        <w:tc>
          <w:tcPr>
            <w:tcW w:w="1469" w:type="dxa"/>
            <w:vAlign w:val="center"/>
          </w:tcPr>
          <w:p>
            <w:pPr>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名称</w:t>
            </w:r>
          </w:p>
        </w:tc>
        <w:tc>
          <w:tcPr>
            <w:tcW w:w="4249" w:type="dxa"/>
            <w:vAlign w:val="center"/>
          </w:tcPr>
          <w:p>
            <w:pPr>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规格型号、技术参数</w:t>
            </w:r>
          </w:p>
        </w:tc>
        <w:tc>
          <w:tcPr>
            <w:tcW w:w="1142" w:type="dxa"/>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单位</w:t>
            </w:r>
          </w:p>
        </w:tc>
        <w:tc>
          <w:tcPr>
            <w:tcW w:w="1016" w:type="dxa"/>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9" w:hRule="atLeast"/>
        </w:trPr>
        <w:tc>
          <w:tcPr>
            <w:tcW w:w="724" w:type="dxa"/>
            <w:shd w:val="clear" w:color="auto" w:fill="auto"/>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469"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隔离护栏</w:t>
            </w:r>
          </w:p>
        </w:tc>
        <w:tc>
          <w:tcPr>
            <w:tcW w:w="4249" w:type="dxa"/>
            <w:shd w:val="clear" w:color="FFFFFF" w:fill="FFFFFF"/>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1.长3.08米，高1.2米</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eastAsiaTheme="minorEastAsia" w:cstheme="minorEastAsia"/>
                <w:kern w:val="2"/>
                <w:sz w:val="21"/>
                <w:szCs w:val="21"/>
                <w:lang w:val="en-US" w:eastAsia="zh-CN" w:bidi="ar-SA"/>
              </w:rPr>
              <w:t>2.立柱80*80*3.0白色热镀锌静电喷涂</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eastAsiaTheme="minorEastAsia" w:cstheme="minorEastAsia"/>
                <w:kern w:val="2"/>
                <w:sz w:val="21"/>
                <w:szCs w:val="21"/>
                <w:lang w:val="en-US" w:eastAsia="zh-CN" w:bidi="ar-SA"/>
              </w:rPr>
              <w:t>3.上下横杆规格63*5.0mm槽钢，圆钢规格φ16</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eastAsiaTheme="minorEastAsia" w:cstheme="minorEastAsia"/>
                <w:kern w:val="2"/>
                <w:sz w:val="21"/>
                <w:szCs w:val="21"/>
                <w:lang w:val="en-US" w:eastAsia="zh-CN" w:bidi="ar-SA"/>
              </w:rPr>
              <w:t>4.热镀锌钢板填砼底座450*350*200</w:t>
            </w:r>
          </w:p>
        </w:tc>
        <w:tc>
          <w:tcPr>
            <w:tcW w:w="1142"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m</w:t>
            </w:r>
          </w:p>
        </w:tc>
        <w:tc>
          <w:tcPr>
            <w:tcW w:w="1016"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724" w:type="dxa"/>
            <w:shd w:val="clear" w:color="auto" w:fill="auto"/>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1469"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信号灯</w:t>
            </w:r>
          </w:p>
        </w:tc>
        <w:tc>
          <w:tcPr>
            <w:tcW w:w="4249" w:type="dxa"/>
            <w:shd w:val="clear" w:color="FFFFFF" w:fill="FFFFFF"/>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1.安装单柱式LED太阳能爆闪灯标志牌</w:t>
            </w:r>
          </w:p>
        </w:tc>
        <w:tc>
          <w:tcPr>
            <w:tcW w:w="1142"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套</w:t>
            </w:r>
          </w:p>
        </w:tc>
        <w:tc>
          <w:tcPr>
            <w:tcW w:w="1016"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26</w:t>
            </w:r>
          </w:p>
        </w:tc>
      </w:tr>
    </w:tbl>
    <w:p>
      <w:pPr>
        <w:pStyle w:val="4"/>
        <w:shd w:val="clear" w:color="auto" w:fill="FFFFFF"/>
        <w:spacing w:before="0" w:beforeAutospacing="0" w:after="0" w:afterAutospacing="0" w:line="360" w:lineRule="auto"/>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天宝路（许州路</w:t>
      </w:r>
      <w:r>
        <w:rPr>
          <w:rFonts w:hint="eastAsia" w:asciiTheme="minorEastAsia" w:hAnsiTheme="minorEastAsia" w:eastAsiaTheme="minorEastAsia" w:cstheme="minorEastAsia"/>
          <w:kern w:val="2"/>
          <w:sz w:val="21"/>
          <w:szCs w:val="21"/>
          <w:lang w:val="en-US" w:eastAsia="zh-CN" w:bidi="ar-SA"/>
        </w:rPr>
        <w:t>-文峰北路</w:t>
      </w:r>
      <w:r>
        <w:rPr>
          <w:rFonts w:hint="eastAsia" w:asciiTheme="minorEastAsia" w:hAnsiTheme="minorEastAsia" w:eastAsiaTheme="minorEastAsia" w:cstheme="minorEastAsia"/>
          <w:kern w:val="2"/>
          <w:sz w:val="21"/>
          <w:szCs w:val="21"/>
          <w:lang w:val="zh-CN" w:eastAsia="zh-CN" w:bidi="ar-SA"/>
        </w:rPr>
        <w:t>）</w:t>
      </w:r>
    </w:p>
    <w:tbl>
      <w:tblPr>
        <w:tblStyle w:val="9"/>
        <w:tblW w:w="8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469"/>
        <w:gridCol w:w="4249"/>
        <w:gridCol w:w="1142"/>
        <w:gridCol w:w="1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724" w:type="dxa"/>
            <w:vAlign w:val="center"/>
          </w:tcPr>
          <w:p>
            <w:pPr>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序号</w:t>
            </w:r>
          </w:p>
        </w:tc>
        <w:tc>
          <w:tcPr>
            <w:tcW w:w="1469" w:type="dxa"/>
            <w:vAlign w:val="center"/>
          </w:tcPr>
          <w:p>
            <w:pPr>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名称</w:t>
            </w:r>
          </w:p>
        </w:tc>
        <w:tc>
          <w:tcPr>
            <w:tcW w:w="4249" w:type="dxa"/>
            <w:vAlign w:val="center"/>
          </w:tcPr>
          <w:p>
            <w:pPr>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规格型号、技术参数</w:t>
            </w:r>
          </w:p>
        </w:tc>
        <w:tc>
          <w:tcPr>
            <w:tcW w:w="1142" w:type="dxa"/>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单位</w:t>
            </w:r>
          </w:p>
        </w:tc>
        <w:tc>
          <w:tcPr>
            <w:tcW w:w="1016" w:type="dxa"/>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9" w:hRule="atLeast"/>
        </w:trPr>
        <w:tc>
          <w:tcPr>
            <w:tcW w:w="724" w:type="dxa"/>
            <w:shd w:val="clear" w:color="auto" w:fill="auto"/>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469"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隔离护栏</w:t>
            </w:r>
          </w:p>
        </w:tc>
        <w:tc>
          <w:tcPr>
            <w:tcW w:w="4249" w:type="dxa"/>
            <w:shd w:val="clear" w:color="FFFFFF" w:fill="FFFFFF"/>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1.长3.08米，高1.2米</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eastAsiaTheme="minorEastAsia" w:cstheme="minorEastAsia"/>
                <w:kern w:val="2"/>
                <w:sz w:val="21"/>
                <w:szCs w:val="21"/>
                <w:lang w:val="en-US" w:eastAsia="zh-CN" w:bidi="ar-SA"/>
              </w:rPr>
              <w:t>2.立柱80*80*3.0白色热镀锌静电喷涂</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eastAsiaTheme="minorEastAsia" w:cstheme="minorEastAsia"/>
                <w:kern w:val="2"/>
                <w:sz w:val="21"/>
                <w:szCs w:val="21"/>
                <w:lang w:val="en-US" w:eastAsia="zh-CN" w:bidi="ar-SA"/>
              </w:rPr>
              <w:t>3.上下横杆规格63*5.0mm槽钢，圆钢规格φ16</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eastAsiaTheme="minorEastAsia" w:cstheme="minorEastAsia"/>
                <w:kern w:val="2"/>
                <w:sz w:val="21"/>
                <w:szCs w:val="21"/>
                <w:lang w:val="en-US" w:eastAsia="zh-CN" w:bidi="ar-SA"/>
              </w:rPr>
              <w:t>4.热镀锌钢板填砼底座450*350*200</w:t>
            </w:r>
          </w:p>
        </w:tc>
        <w:tc>
          <w:tcPr>
            <w:tcW w:w="1142"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m</w:t>
            </w:r>
          </w:p>
        </w:tc>
        <w:tc>
          <w:tcPr>
            <w:tcW w:w="1016"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724" w:type="dxa"/>
            <w:shd w:val="clear" w:color="auto" w:fill="auto"/>
            <w:vAlign w:val="center"/>
          </w:tcPr>
          <w:p>
            <w:pPr>
              <w:autoSpaceDE w:val="0"/>
              <w:autoSpaceDN w:val="0"/>
              <w:adjustRightIn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1469"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防撞柱</w:t>
            </w:r>
          </w:p>
        </w:tc>
        <w:tc>
          <w:tcPr>
            <w:tcW w:w="4249" w:type="dxa"/>
            <w:shd w:val="clear" w:color="FFFFFF" w:fill="FFFFFF"/>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1.类型：防撞柱</w:t>
            </w:r>
          </w:p>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2.规格、型号：80*40*1200mm立杆、200*6*1000mm弧形钢板 3M一级反光膜</w:t>
            </w:r>
          </w:p>
        </w:tc>
        <w:tc>
          <w:tcPr>
            <w:tcW w:w="1142"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w:t>
            </w:r>
          </w:p>
        </w:tc>
        <w:tc>
          <w:tcPr>
            <w:tcW w:w="1016" w:type="dxa"/>
            <w:shd w:val="clear" w:color="FFFFFF" w:fill="FFFFFF"/>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50</w:t>
            </w:r>
          </w:p>
        </w:tc>
      </w:tr>
    </w:tbl>
    <w:p>
      <w:pPr>
        <w:pStyle w:val="4"/>
        <w:shd w:val="clear" w:color="auto" w:fill="FFFFFF"/>
        <w:spacing w:before="0" w:beforeAutospacing="0" w:after="0" w:afterAutospacing="0" w:line="360" w:lineRule="auto"/>
        <w:ind w:firstLine="60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（四）</w:t>
      </w:r>
      <w:r>
        <w:rPr>
          <w:rFonts w:hint="eastAsia" w:ascii="仿宋" w:hAnsi="仿宋" w:eastAsia="仿宋" w:cs="仿宋"/>
          <w:b w:val="0"/>
          <w:i w:val="0"/>
          <w:color w:val="000000"/>
          <w:kern w:val="0"/>
          <w:sz w:val="28"/>
          <w:szCs w:val="28"/>
          <w:u w:val="none"/>
          <w:shd w:val="clear" w:fill="FFFFFF"/>
          <w:lang w:val="en-US" w:eastAsia="zh-CN" w:bidi="ar"/>
        </w:rPr>
        <w:t>验收标准</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zh-CN" w:eastAsia="zh-CN" w:bidi="ar"/>
        </w:rPr>
        <w:t>2、按照招标文件要求、投标文件响应和承诺验收；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200" w:lineRule="exact"/>
        <w:ind w:right="0"/>
        <w:jc w:val="left"/>
        <w:textAlignment w:val="auto"/>
        <w:outlineLvl w:val="9"/>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200" w:lineRule="exact"/>
        <w:ind w:left="0" w:right="0" w:firstLine="600"/>
        <w:jc w:val="left"/>
        <w:textAlignment w:val="auto"/>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评标方法：综合评分法</w:t>
      </w:r>
    </w:p>
    <w:tbl>
      <w:tblPr>
        <w:tblStyle w:val="9"/>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9"/>
        <w:gridCol w:w="57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(总分100分)</w:t>
            </w:r>
          </w:p>
        </w:tc>
        <w:tc>
          <w:tcPr>
            <w:tcW w:w="6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价格分值：</w:t>
            </w:r>
            <w:r>
              <w:rPr>
                <w:rFonts w:hint="eastAsia" w:ascii="仿宋" w:hAnsi="仿宋" w:eastAsia="仿宋" w:cs="仿宋"/>
                <w:b w:val="0"/>
                <w:i w:val="0"/>
                <w:color w:val="000000"/>
                <w:kern w:val="0"/>
                <w:sz w:val="24"/>
                <w:szCs w:val="24"/>
                <w:u w:val="single"/>
                <w:lang w:val="en-US" w:eastAsia="zh-CN" w:bidi="ar"/>
              </w:rPr>
              <w:t xml:space="preserve">     30   </w:t>
            </w:r>
            <w:r>
              <w:rPr>
                <w:rFonts w:hint="eastAsia" w:ascii="仿宋" w:hAnsi="仿宋" w:eastAsia="仿宋"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商务部分：</w:t>
            </w:r>
            <w:r>
              <w:rPr>
                <w:rFonts w:hint="eastAsia" w:ascii="仿宋" w:hAnsi="仿宋" w:eastAsia="仿宋" w:cs="仿宋"/>
                <w:b w:val="0"/>
                <w:i w:val="0"/>
                <w:color w:val="000000"/>
                <w:kern w:val="0"/>
                <w:sz w:val="24"/>
                <w:szCs w:val="24"/>
                <w:u w:val="single"/>
                <w:lang w:val="en-US" w:eastAsia="zh-CN" w:bidi="ar"/>
              </w:rPr>
              <w:t xml:space="preserve">   45   </w:t>
            </w:r>
            <w:r>
              <w:rPr>
                <w:rFonts w:hint="eastAsia" w:ascii="仿宋" w:hAnsi="仿宋" w:eastAsia="仿宋"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技术部分：</w:t>
            </w:r>
            <w:r>
              <w:rPr>
                <w:rFonts w:hint="eastAsia" w:ascii="仿宋" w:hAnsi="仿宋" w:eastAsia="仿宋" w:cs="仿宋"/>
                <w:b w:val="0"/>
                <w:i w:val="0"/>
                <w:color w:val="000000"/>
                <w:kern w:val="0"/>
                <w:sz w:val="24"/>
                <w:szCs w:val="24"/>
                <w:u w:val="single"/>
                <w:lang w:val="en-US" w:eastAsia="zh-CN" w:bidi="ar"/>
              </w:rPr>
              <w:t xml:space="preserve">     25  </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一、价格部分（满分</w:t>
            </w:r>
            <w:r>
              <w:rPr>
                <w:rFonts w:hint="eastAsia" w:ascii="仿宋" w:hAnsi="仿宋" w:eastAsia="仿宋" w:cs="仿宋"/>
                <w:b/>
                <w:i w:val="0"/>
                <w:color w:val="000000"/>
                <w:kern w:val="0"/>
                <w:sz w:val="24"/>
                <w:szCs w:val="24"/>
                <w:u w:val="single"/>
                <w:lang w:val="en-US" w:eastAsia="zh-CN" w:bidi="ar"/>
              </w:rPr>
              <w:t xml:space="preserve">  30 </w:t>
            </w:r>
            <w:r>
              <w:rPr>
                <w:rFonts w:hint="eastAsia" w:ascii="仿宋" w:hAnsi="仿宋" w:eastAsia="仿宋" w:cs="仿宋"/>
                <w:b/>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rPr>
            </w:pPr>
            <w:r>
              <w:rPr>
                <w:rFonts w:hint="eastAsia"/>
                <w:lang w:val="en-US" w:eastAsia="zh-CN"/>
              </w:rPr>
              <w:t>评标基准价：满足招标文件要求的有效投标报价中，最低的投标报价为评标基准价。</w:t>
            </w:r>
          </w:p>
          <w:p>
            <w:pPr>
              <w:widowControl/>
              <w:spacing w:line="276" w:lineRule="auto"/>
              <w:jc w:val="left"/>
            </w:pPr>
            <w:r>
              <w:rPr>
                <w:rFonts w:hint="eastAsia"/>
                <w:lang w:val="en-US" w:eastAsia="zh-CN"/>
              </w:rPr>
              <w:t xml:space="preserve">投标报价得分=（评标基准价/投标报价）×  30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 xml:space="preserve"> 30 </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二、商务部分（满分</w:t>
            </w:r>
            <w:r>
              <w:rPr>
                <w:rFonts w:hint="eastAsia" w:ascii="仿宋" w:hAnsi="仿宋" w:eastAsia="仿宋" w:cs="仿宋"/>
                <w:b/>
                <w:i w:val="0"/>
                <w:color w:val="000000"/>
                <w:kern w:val="0"/>
                <w:sz w:val="24"/>
                <w:szCs w:val="24"/>
                <w:u w:val="single"/>
                <w:lang w:val="en-US" w:eastAsia="zh-CN" w:bidi="ar"/>
              </w:rPr>
              <w:t xml:space="preserve">  45 </w:t>
            </w:r>
            <w:r>
              <w:rPr>
                <w:rFonts w:hint="eastAsia" w:ascii="仿宋" w:hAnsi="仿宋" w:eastAsia="仿宋" w:cs="仿宋"/>
                <w:b/>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企业实力</w:t>
            </w:r>
          </w:p>
          <w:p>
            <w:pPr>
              <w:widowControl/>
              <w:adjustRightInd w:val="0"/>
              <w:snapToGrid w:val="0"/>
              <w:jc w:val="center"/>
              <w:rPr>
                <w:b w:val="0"/>
                <w:i w:val="0"/>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both"/>
              <w:rPr>
                <w:rFonts w:hint="eastAsia" w:asciiTheme="minorHAnsi" w:hAnsiTheme="minorHAnsi" w:eastAsiaTheme="minorEastAsia" w:cstheme="minorBidi"/>
                <w:kern w:val="2"/>
                <w:sz w:val="21"/>
                <w:szCs w:val="22"/>
                <w:lang w:val="en-US" w:eastAsia="zh-CN" w:bidi="ar-SA"/>
              </w:rPr>
            </w:pPr>
            <w:r>
              <w:rPr>
                <w:rFonts w:hint="eastAsia"/>
              </w:rPr>
              <w:t>1、</w:t>
            </w:r>
            <w:r>
              <w:rPr>
                <w:rFonts w:hint="eastAsia" w:asciiTheme="minorHAnsi" w:hAnsiTheme="minorHAnsi" w:eastAsiaTheme="minorEastAsia" w:cstheme="minorBidi"/>
                <w:kern w:val="2"/>
                <w:sz w:val="21"/>
                <w:szCs w:val="22"/>
                <w:lang w:val="en-US" w:eastAsia="zh-CN" w:bidi="ar-SA"/>
              </w:rPr>
              <w:t>所投产品生产厂家具有静电喷涂生产线设备的得3分，没有的不得分。（投标文件中附生产线设备彩色照片或彩色图片及购买设备发票复印件。）</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2、具有国家涂料质量监督检验中心出具的静电喷涂护栏检验报告(耐人工老化试≧3800小时、耐中性盐雾试验验≧2000小时、耐低温性-18℃试验≧6200小时、耐湿热试验≧6000小时),检验报告委托单位须为生产企业,(以上检测报告提供复印件,共计8分,四者缺一不可，否则不得分)</w:t>
            </w:r>
          </w:p>
          <w:p>
            <w:pPr>
              <w:pStyle w:val="2"/>
              <w:ind w:left="0" w:leftChars="0" w:firstLine="0" w:firstLineChars="0"/>
            </w:pPr>
            <w:r>
              <w:rPr>
                <w:rFonts w:hint="eastAsia" w:asciiTheme="minorHAnsi" w:hAnsiTheme="minorHAnsi" w:eastAsiaTheme="minorEastAsia" w:cstheme="minorBidi"/>
                <w:kern w:val="2"/>
                <w:sz w:val="21"/>
                <w:szCs w:val="22"/>
                <w:lang w:val="en-US" w:eastAsia="zh-CN" w:bidi="ar-SA"/>
              </w:rPr>
              <w:t>3、生产厂家具有质量管理体系认证证书的得</w:t>
            </w:r>
            <w:r>
              <w:rPr>
                <w:rFonts w:hint="eastAsia" w:cstheme="minorBidi"/>
                <w:kern w:val="2"/>
                <w:sz w:val="21"/>
                <w:szCs w:val="22"/>
                <w:lang w:val="en-US" w:eastAsia="zh-CN" w:bidi="ar-SA"/>
              </w:rPr>
              <w:t>3</w:t>
            </w:r>
            <w:r>
              <w:rPr>
                <w:rFonts w:hint="eastAsia" w:asciiTheme="minorHAnsi" w:hAnsiTheme="minorHAnsi" w:eastAsiaTheme="minorEastAsia" w:cstheme="minorBidi"/>
                <w:kern w:val="2"/>
                <w:sz w:val="21"/>
                <w:szCs w:val="22"/>
                <w:lang w:val="en-US" w:eastAsia="zh-CN" w:bidi="ar-SA"/>
              </w:rPr>
              <w:t>分，没有的不得分。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 14</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供应商业绩</w:t>
            </w:r>
          </w:p>
          <w:p>
            <w:pPr>
              <w:jc w:val="center"/>
              <w:rPr>
                <w:b w:val="0"/>
                <w:i w:val="0"/>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b w:val="0"/>
                <w:i w:val="0"/>
              </w:rPr>
            </w:pPr>
            <w:r>
              <w:rPr>
                <w:rFonts w:hint="eastAsia" w:ascii="宋体" w:hAnsi="宋体" w:cs="宋体"/>
                <w:szCs w:val="21"/>
                <w:lang w:val="zh-CN"/>
              </w:rPr>
              <w:t>供应商自2014年</w:t>
            </w:r>
            <w:r>
              <w:rPr>
                <w:rFonts w:hint="eastAsia" w:ascii="宋体" w:hAnsi="宋体" w:cs="宋体"/>
                <w:szCs w:val="21"/>
              </w:rPr>
              <w:t>1月1日</w:t>
            </w:r>
            <w:r>
              <w:rPr>
                <w:rFonts w:hint="eastAsia" w:ascii="宋体" w:hAnsi="宋体" w:cs="宋体"/>
                <w:szCs w:val="21"/>
                <w:lang w:val="zh-CN"/>
              </w:rPr>
              <w:t>以来（以合同签订日期为准），单项合同金额</w:t>
            </w:r>
            <w:r>
              <w:rPr>
                <w:rFonts w:hint="eastAsia" w:ascii="宋体" w:hAnsi="宋体" w:cs="宋体"/>
                <w:szCs w:val="21"/>
              </w:rPr>
              <w:t>200</w:t>
            </w:r>
            <w:r>
              <w:rPr>
                <w:rFonts w:hint="eastAsia" w:ascii="宋体" w:hAnsi="宋体" w:cs="宋体"/>
                <w:szCs w:val="21"/>
                <w:lang w:val="zh-CN"/>
              </w:rPr>
              <w:t>万元及以上类似</w:t>
            </w:r>
            <w:r>
              <w:rPr>
                <w:rFonts w:hint="eastAsia" w:ascii="宋体" w:hAnsi="宋体" w:cs="宋体"/>
                <w:szCs w:val="21"/>
              </w:rPr>
              <w:t>项目业绩</w:t>
            </w:r>
            <w:r>
              <w:rPr>
                <w:rFonts w:hint="eastAsia" w:ascii="宋体" w:hAnsi="宋体" w:cs="宋体"/>
                <w:szCs w:val="21"/>
                <w:lang w:val="zh-CN"/>
              </w:rPr>
              <w:t>，具有中标通知书或</w:t>
            </w:r>
            <w:r>
              <w:rPr>
                <w:rFonts w:hint="eastAsia" w:ascii="宋体" w:hAnsi="宋体" w:cs="宋体"/>
                <w:szCs w:val="21"/>
              </w:rPr>
              <w:t>合同，每项</w:t>
            </w:r>
            <w:r>
              <w:rPr>
                <w:rFonts w:hint="eastAsia" w:ascii="宋体" w:hAnsi="宋体" w:cs="宋体"/>
                <w:szCs w:val="21"/>
                <w:lang w:val="zh-CN"/>
              </w:rPr>
              <w:t>得</w:t>
            </w:r>
            <w:r>
              <w:rPr>
                <w:rFonts w:hint="eastAsia" w:ascii="宋体" w:hAnsi="宋体" w:cs="宋体"/>
                <w:szCs w:val="21"/>
              </w:rPr>
              <w:t>4</w:t>
            </w:r>
            <w:r>
              <w:rPr>
                <w:rFonts w:hint="eastAsia" w:ascii="宋体" w:hAnsi="宋体" w:cs="宋体"/>
                <w:szCs w:val="21"/>
                <w:lang w:val="zh-CN"/>
              </w:rPr>
              <w:t>分,满分</w:t>
            </w:r>
            <w:r>
              <w:rPr>
                <w:rFonts w:hint="eastAsia" w:ascii="宋体" w:hAnsi="宋体" w:cs="宋体"/>
                <w:szCs w:val="21"/>
              </w:rPr>
              <w:t>8</w:t>
            </w:r>
            <w:r>
              <w:rPr>
                <w:rFonts w:hint="eastAsia" w:ascii="宋体" w:hAnsi="宋体" w:cs="宋体"/>
                <w:szCs w:val="21"/>
                <w:lang w:val="zh-CN"/>
              </w:rPr>
              <w:t>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 xml:space="preserve"> 8 </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服务承诺</w:t>
            </w:r>
          </w:p>
          <w:p>
            <w:pPr>
              <w:widowControl/>
              <w:jc w:val="center"/>
              <w:rPr>
                <w:b w:val="0"/>
                <w:i w:val="0"/>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lang w:val="zh-CN"/>
              </w:rPr>
              <w:t>按售后服务区域</w:t>
            </w:r>
            <w:r>
              <w:rPr>
                <w:rFonts w:hint="eastAsia" w:ascii="宋体" w:hAnsi="宋体" w:cs="宋体"/>
                <w:szCs w:val="21"/>
                <w:lang w:val="zh-CN" w:eastAsia="zh-CN"/>
              </w:rPr>
              <w:t>能满足</w:t>
            </w:r>
            <w:r>
              <w:rPr>
                <w:rFonts w:hint="eastAsia" w:ascii="宋体" w:hAnsi="宋体" w:cs="宋体"/>
                <w:szCs w:val="21"/>
                <w:lang w:val="en-US" w:eastAsia="zh-CN"/>
              </w:rPr>
              <w:t>2小时电话响应，12小时内到场，24小时内解决问题的，综合评比时间最短的得5分，次短的得3分，不满足不得分。</w:t>
            </w:r>
          </w:p>
          <w:p>
            <w:pPr>
              <w:snapToGrid w:val="0"/>
              <w:jc w:val="both"/>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2、投标人承诺配备有护栏清洗车的得</w:t>
            </w:r>
            <w:r>
              <w:rPr>
                <w:rFonts w:hint="eastAsia" w:asciiTheme="minorHAnsi" w:hAnsiTheme="minorHAnsi" w:eastAsiaTheme="minorEastAsia" w:cstheme="minorBidi"/>
                <w:kern w:val="2"/>
                <w:sz w:val="21"/>
                <w:szCs w:val="22"/>
                <w:lang w:val="en-US" w:eastAsia="zh-CN" w:bidi="ar-SA"/>
              </w:rPr>
              <w:t>3</w:t>
            </w:r>
            <w:r>
              <w:rPr>
                <w:rFonts w:hint="eastAsia" w:asciiTheme="minorHAnsi" w:hAnsiTheme="minorHAnsi" w:eastAsiaTheme="minorEastAsia" w:cstheme="minorBidi"/>
                <w:kern w:val="2"/>
                <w:sz w:val="21"/>
                <w:szCs w:val="22"/>
                <w:lang w:val="zh-CN" w:eastAsia="zh-CN" w:bidi="ar-SA"/>
              </w:rPr>
              <w:t>分，</w:t>
            </w:r>
            <w:r>
              <w:rPr>
                <w:rFonts w:hint="eastAsia" w:asciiTheme="minorHAnsi" w:hAnsiTheme="minorHAnsi" w:eastAsiaTheme="minorEastAsia" w:cstheme="minorBidi"/>
                <w:kern w:val="2"/>
                <w:sz w:val="21"/>
                <w:szCs w:val="22"/>
                <w:lang w:val="en-US" w:eastAsia="zh-CN" w:bidi="ar-SA"/>
              </w:rPr>
              <w:t>不提供</w:t>
            </w:r>
            <w:r>
              <w:rPr>
                <w:rFonts w:hint="eastAsia" w:asciiTheme="minorHAnsi" w:hAnsiTheme="minorHAnsi" w:eastAsiaTheme="minorEastAsia" w:cstheme="minorBidi"/>
                <w:kern w:val="2"/>
                <w:sz w:val="21"/>
                <w:szCs w:val="22"/>
                <w:lang w:val="zh-CN" w:eastAsia="zh-CN" w:bidi="ar-SA"/>
              </w:rPr>
              <w:t>的不得分。</w:t>
            </w:r>
          </w:p>
          <w:p>
            <w:pPr>
              <w:snapToGrid w:val="0"/>
              <w:jc w:val="both"/>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3、对质保期内服务承诺内容及方案完整的得</w:t>
            </w:r>
            <w:r>
              <w:rPr>
                <w:rFonts w:hint="eastAsia" w:asciiTheme="minorHAnsi" w:hAnsiTheme="minorHAnsi" w:eastAsiaTheme="minorEastAsia" w:cstheme="minorBidi"/>
                <w:kern w:val="2"/>
                <w:sz w:val="21"/>
                <w:szCs w:val="22"/>
                <w:lang w:val="en-US" w:eastAsia="zh-CN" w:bidi="ar-SA"/>
              </w:rPr>
              <w:t>8分，有相关描述的得5分，不提供不得分。</w:t>
            </w:r>
          </w:p>
          <w:p>
            <w:pPr>
              <w:snapToGrid w:val="0"/>
              <w:jc w:val="both"/>
              <w:rPr>
                <w:rFonts w:hint="eastAsia" w:ascii="宋体" w:hAnsi="宋体" w:cs="宋体"/>
                <w:color w:val="FF0000"/>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4、保修期满后服务承诺内容综合评定完整的得7分，有相关描述的得3分，不提供不得分。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u w:val="single"/>
                <w:lang w:val="en-US"/>
              </w:rPr>
            </w:pPr>
            <w:r>
              <w:rPr>
                <w:rFonts w:hint="eastAsia" w:ascii="仿宋" w:hAnsi="仿宋" w:eastAsia="仿宋" w:cs="仿宋"/>
                <w:b w:val="0"/>
                <w:i w:val="0"/>
                <w:color w:val="000000"/>
                <w:kern w:val="0"/>
                <w:sz w:val="24"/>
                <w:szCs w:val="24"/>
                <w:u w:val="single"/>
                <w:lang w:val="en-US" w:eastAsia="zh-CN" w:bidi="ar"/>
              </w:rPr>
              <w:t> 23</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三、技术部分（满分</w:t>
            </w:r>
            <w:r>
              <w:rPr>
                <w:rFonts w:hint="eastAsia" w:ascii="仿宋" w:hAnsi="仿宋" w:eastAsia="仿宋" w:cs="仿宋"/>
                <w:b/>
                <w:i w:val="0"/>
                <w:color w:val="000000"/>
                <w:kern w:val="0"/>
                <w:sz w:val="24"/>
                <w:szCs w:val="24"/>
                <w:u w:val="single"/>
                <w:lang w:val="en-US" w:eastAsia="zh-CN" w:bidi="ar"/>
              </w:rPr>
              <w:t xml:space="preserve">  25 </w:t>
            </w:r>
            <w:r>
              <w:rPr>
                <w:rFonts w:hint="eastAsia" w:ascii="仿宋" w:hAnsi="仿宋" w:eastAsia="仿宋" w:cs="仿宋"/>
                <w:b/>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firstLineChars="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对招标文件的响应程度</w:t>
            </w:r>
          </w:p>
          <w:p>
            <w:pPr>
              <w:pStyle w:val="10"/>
              <w:spacing w:line="240" w:lineRule="auto"/>
              <w:ind w:firstLine="0" w:firstLineChars="0"/>
              <w:jc w:val="center"/>
              <w:rPr>
                <w:rFonts w:hint="eastAsia" w:ascii="仿宋" w:hAnsi="仿宋" w:eastAsia="仿宋" w:cs="仿宋"/>
                <w:b w:val="0"/>
                <w:i w:val="0"/>
                <w:color w:val="000000"/>
                <w:kern w:val="0"/>
                <w:sz w:val="24"/>
                <w:szCs w:val="24"/>
                <w:u w:val="none"/>
                <w:lang w:val="en-US" w:eastAsia="zh-CN" w:bidi="ar"/>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szCs w:val="21"/>
                <w:lang w:val="en-US" w:eastAsia="zh-CN"/>
              </w:rPr>
            </w:pPr>
            <w:r>
              <w:rPr>
                <w:rFonts w:hint="eastAsia" w:ascii="宋体" w:hAnsi="宋体" w:cs="宋体"/>
              </w:rPr>
              <w:t>1、</w:t>
            </w:r>
            <w:r>
              <w:rPr>
                <w:rFonts w:hint="eastAsia" w:ascii="宋体" w:hAnsi="宋体" w:cs="宋体"/>
                <w:szCs w:val="21"/>
                <w:lang w:val="en-US" w:eastAsia="zh-CN"/>
              </w:rPr>
              <w:t>供应商所投主要产品的图片信息、文字说明体现产品技术性能的详细性进行综合评定准确完整的得12分，有相关描述的得6分，不提供不得分。</w:t>
            </w:r>
          </w:p>
          <w:p>
            <w:pPr>
              <w:rPr>
                <w:b w:val="0"/>
                <w:i w:val="0"/>
              </w:rPr>
            </w:pPr>
            <w:r>
              <w:rPr>
                <w:rFonts w:hint="eastAsia" w:ascii="宋体" w:hAnsi="宋体" w:cs="宋体"/>
                <w:szCs w:val="21"/>
                <w:lang w:val="en-US" w:eastAsia="zh-CN"/>
              </w:rPr>
              <w:t>2、供应商对本投标项目所制定的生产、运输、仓库保管、安装工艺及技术保障措施的合理性及可行性进行综合评定准确完整的得11分，有相关描述的得6分，不提供不得分。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 xml:space="preserve"> 23 </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投标文件规范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程度</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szCs w:val="21"/>
                <w:lang w:val="en-US" w:eastAsia="zh-CN"/>
              </w:rPr>
            </w:pPr>
            <w:r>
              <w:rPr>
                <w:rFonts w:hint="eastAsia" w:ascii="宋体" w:hAnsi="宋体" w:cs="宋体"/>
                <w:szCs w:val="21"/>
                <w:lang w:val="en-US" w:eastAsia="zh-CN"/>
              </w:rPr>
              <w:t>根据投标文件的装订、文字、图片及所提供资料的准确性和完整程度进行综合评审，准确完整的得2分，否则不得分。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olor w:val="000000"/>
                <w:kern w:val="0"/>
                <w:sz w:val="24"/>
                <w:szCs w:val="24"/>
                <w:u w:val="single"/>
                <w:lang w:val="en-US" w:eastAsia="zh-CN" w:bidi="ar"/>
              </w:rPr>
            </w:pPr>
            <w:r>
              <w:rPr>
                <w:rFonts w:hint="eastAsia" w:ascii="仿宋" w:hAnsi="仿宋" w:eastAsia="仿宋" w:cs="仿宋"/>
                <w:b w:val="0"/>
                <w:i w:val="0"/>
                <w:color w:val="000000"/>
                <w:kern w:val="0"/>
                <w:sz w:val="24"/>
                <w:szCs w:val="24"/>
                <w:u w:val="single"/>
                <w:lang w:val="en-US" w:eastAsia="zh-CN" w:bidi="ar"/>
              </w:rPr>
              <w:t xml:space="preserve"> 2 </w:t>
            </w:r>
            <w:r>
              <w:rPr>
                <w:rFonts w:hint="eastAsia" w:ascii="仿宋" w:hAnsi="仿宋" w:eastAsia="仿宋" w:cs="仿宋"/>
                <w:b w:val="0"/>
                <w:i w:val="0"/>
                <w:color w:val="000000"/>
                <w:kern w:val="0"/>
                <w:sz w:val="24"/>
                <w:szCs w:val="24"/>
                <w:u w:val="none"/>
                <w:lang w:val="en-US" w:eastAsia="zh-CN" w:bidi="ar"/>
              </w:rPr>
              <w:t>分</w:t>
            </w:r>
          </w:p>
        </w:tc>
      </w:tr>
    </w:tbl>
    <w:p>
      <w:pPr>
        <w:pStyle w:val="2"/>
        <w:keepNext w:val="0"/>
        <w:keepLines w:val="0"/>
        <w:pageBreakBefore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200" w:lineRule="exact"/>
        <w:ind w:right="0"/>
        <w:jc w:val="left"/>
        <w:textAlignment w:val="auto"/>
        <w:outlineLvl w:val="9"/>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shd w:val="clear" w:color="auto" w:fill="FFFFFF"/>
        <w:adjustRightInd/>
        <w:snapToGrid/>
        <w:spacing w:after="0" w:line="360" w:lineRule="atLeast"/>
        <w:ind w:firstLine="6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（一）支付方式：银行转账</w:t>
      </w:r>
    </w:p>
    <w:p>
      <w:pPr>
        <w:pStyle w:val="2"/>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（二）支付时间及条件：中标人将本合同约定的全部设备安装、调试完成验收通过后，采购人支付合同价款的60%，审计结束后支付合同价款35%。质保期满后，支付合同价款的5%（质保期一年）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160" w:lineRule="atLeast"/>
        <w:ind w:right="0"/>
        <w:jc w:val="left"/>
        <w:textAlignment w:val="auto"/>
        <w:outlineLvl w:val="9"/>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pStyle w:val="4"/>
        <w:shd w:val="clear" w:color="auto" w:fill="FFFFFF"/>
        <w:spacing w:before="0" w:beforeAutospacing="0" w:after="0" w:afterAutospacing="0"/>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联系人姓名：魏选民   </w:t>
      </w:r>
    </w:p>
    <w:p>
      <w:pPr>
        <w:pStyle w:val="4"/>
        <w:shd w:val="clear" w:color="auto" w:fill="FFFFFF"/>
        <w:spacing w:before="0" w:beforeAutospacing="0" w:after="0" w:afterAutospacing="0"/>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联系电话：13782296735</w:t>
      </w:r>
    </w:p>
    <w:p>
      <w:pPr>
        <w:pStyle w:val="4"/>
        <w:shd w:val="clear" w:color="auto" w:fill="FFFFFF"/>
        <w:spacing w:before="0" w:beforeAutospacing="0" w:after="0" w:afterAutospacing="0"/>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单位地址：许昌市新兴路东段</w:t>
      </w:r>
    </w:p>
    <w:p>
      <w:pPr>
        <w:pStyle w:val="4"/>
        <w:shd w:val="clear" w:color="auto" w:fill="FFFFFF"/>
        <w:spacing w:before="0" w:beforeAutospacing="0" w:after="0" w:afterAutospacing="0"/>
        <w:ind w:firstLine="560" w:firstLineChars="200"/>
        <w:jc w:val="righ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许昌市东城区市政管理中心</w:t>
      </w:r>
    </w:p>
    <w:p>
      <w:pPr>
        <w:pStyle w:val="4"/>
        <w:shd w:val="clear" w:color="auto" w:fill="FFFFFF"/>
        <w:spacing w:before="0" w:beforeAutospacing="0" w:after="0" w:afterAutospacing="0"/>
        <w:ind w:firstLine="560" w:firstLineChars="200"/>
        <w:jc w:val="center"/>
      </w:pPr>
      <w:r>
        <w:rPr>
          <w:rFonts w:hint="eastAsia" w:ascii="仿宋" w:hAnsi="仿宋" w:eastAsia="仿宋" w:cs="仿宋"/>
          <w:b w:val="0"/>
          <w:i w:val="0"/>
          <w:color w:val="000000"/>
          <w:kern w:val="0"/>
          <w:sz w:val="28"/>
          <w:szCs w:val="28"/>
          <w:u w:val="none"/>
          <w:shd w:val="clear" w:fill="FFFFFF"/>
          <w:lang w:val="en-US" w:eastAsia="zh-CN" w:bidi="ar"/>
        </w:rPr>
        <w:t xml:space="preserve">                              2018年6月21日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06DFA"/>
    <w:rsid w:val="00C45C79"/>
    <w:rsid w:val="01031D7F"/>
    <w:rsid w:val="01150896"/>
    <w:rsid w:val="01B65BC2"/>
    <w:rsid w:val="027B51E2"/>
    <w:rsid w:val="02857FFE"/>
    <w:rsid w:val="029832E7"/>
    <w:rsid w:val="03047121"/>
    <w:rsid w:val="03210DE5"/>
    <w:rsid w:val="03635569"/>
    <w:rsid w:val="03A70501"/>
    <w:rsid w:val="04454209"/>
    <w:rsid w:val="04937C72"/>
    <w:rsid w:val="05071E36"/>
    <w:rsid w:val="051C1E36"/>
    <w:rsid w:val="053F1F97"/>
    <w:rsid w:val="055F4ECC"/>
    <w:rsid w:val="060528B8"/>
    <w:rsid w:val="0619336E"/>
    <w:rsid w:val="067F5680"/>
    <w:rsid w:val="06F50D88"/>
    <w:rsid w:val="07335F65"/>
    <w:rsid w:val="075C5EE5"/>
    <w:rsid w:val="07DC6F58"/>
    <w:rsid w:val="08331AB0"/>
    <w:rsid w:val="09166FB0"/>
    <w:rsid w:val="092B4089"/>
    <w:rsid w:val="0A5178D4"/>
    <w:rsid w:val="0AD855C2"/>
    <w:rsid w:val="0AEF193C"/>
    <w:rsid w:val="0B704F55"/>
    <w:rsid w:val="0B791B48"/>
    <w:rsid w:val="0B8E2F56"/>
    <w:rsid w:val="0BC32E02"/>
    <w:rsid w:val="0C337636"/>
    <w:rsid w:val="0C3A3A49"/>
    <w:rsid w:val="0C4E13F9"/>
    <w:rsid w:val="0C82375C"/>
    <w:rsid w:val="0C993247"/>
    <w:rsid w:val="0CC66BD7"/>
    <w:rsid w:val="0CF47B08"/>
    <w:rsid w:val="0D932496"/>
    <w:rsid w:val="0DE001BB"/>
    <w:rsid w:val="0E846E96"/>
    <w:rsid w:val="0EA5750B"/>
    <w:rsid w:val="0EC40FD9"/>
    <w:rsid w:val="0EEB382F"/>
    <w:rsid w:val="0F3C6D45"/>
    <w:rsid w:val="0F5C296C"/>
    <w:rsid w:val="103F0874"/>
    <w:rsid w:val="11776F6E"/>
    <w:rsid w:val="12396393"/>
    <w:rsid w:val="12821FA4"/>
    <w:rsid w:val="13213D62"/>
    <w:rsid w:val="137712F7"/>
    <w:rsid w:val="13982F9D"/>
    <w:rsid w:val="13B87CAF"/>
    <w:rsid w:val="13F37B67"/>
    <w:rsid w:val="1469061A"/>
    <w:rsid w:val="1485778A"/>
    <w:rsid w:val="14BC10CB"/>
    <w:rsid w:val="15195848"/>
    <w:rsid w:val="158639E8"/>
    <w:rsid w:val="159149CE"/>
    <w:rsid w:val="15D6452A"/>
    <w:rsid w:val="16693218"/>
    <w:rsid w:val="16C350AF"/>
    <w:rsid w:val="16D24963"/>
    <w:rsid w:val="16F3474C"/>
    <w:rsid w:val="16FE0F1E"/>
    <w:rsid w:val="170F1DE6"/>
    <w:rsid w:val="173448D0"/>
    <w:rsid w:val="17814783"/>
    <w:rsid w:val="17BB6CBA"/>
    <w:rsid w:val="17EB7953"/>
    <w:rsid w:val="18CA7B60"/>
    <w:rsid w:val="18EE02D7"/>
    <w:rsid w:val="19256F4C"/>
    <w:rsid w:val="199B5EF8"/>
    <w:rsid w:val="19B06A0C"/>
    <w:rsid w:val="19DF3B5B"/>
    <w:rsid w:val="1A137002"/>
    <w:rsid w:val="1A1459CC"/>
    <w:rsid w:val="1A187BC8"/>
    <w:rsid w:val="1A761E5F"/>
    <w:rsid w:val="1A793BF7"/>
    <w:rsid w:val="1AB92876"/>
    <w:rsid w:val="1BBD7FCC"/>
    <w:rsid w:val="1C053C41"/>
    <w:rsid w:val="1C3762B3"/>
    <w:rsid w:val="1C653B61"/>
    <w:rsid w:val="1DA339FB"/>
    <w:rsid w:val="1DC60588"/>
    <w:rsid w:val="1E2E0D04"/>
    <w:rsid w:val="1E6B17B1"/>
    <w:rsid w:val="1E882085"/>
    <w:rsid w:val="1EC224DF"/>
    <w:rsid w:val="1ED3324A"/>
    <w:rsid w:val="1F887F59"/>
    <w:rsid w:val="1F9C301E"/>
    <w:rsid w:val="20310609"/>
    <w:rsid w:val="203160E2"/>
    <w:rsid w:val="2055193A"/>
    <w:rsid w:val="20A2406C"/>
    <w:rsid w:val="20BB38B4"/>
    <w:rsid w:val="20BF3AD9"/>
    <w:rsid w:val="21164CD7"/>
    <w:rsid w:val="21280148"/>
    <w:rsid w:val="22114FEC"/>
    <w:rsid w:val="225F4272"/>
    <w:rsid w:val="225F4CEE"/>
    <w:rsid w:val="229F4C54"/>
    <w:rsid w:val="23132003"/>
    <w:rsid w:val="23884972"/>
    <w:rsid w:val="23A50C02"/>
    <w:rsid w:val="24A91C08"/>
    <w:rsid w:val="25006DFA"/>
    <w:rsid w:val="252D0CF1"/>
    <w:rsid w:val="256A4B83"/>
    <w:rsid w:val="259E4ED8"/>
    <w:rsid w:val="26802E49"/>
    <w:rsid w:val="26AC4046"/>
    <w:rsid w:val="2752409D"/>
    <w:rsid w:val="278A246F"/>
    <w:rsid w:val="28FB0391"/>
    <w:rsid w:val="29145129"/>
    <w:rsid w:val="292D159B"/>
    <w:rsid w:val="294F2BBD"/>
    <w:rsid w:val="295775FF"/>
    <w:rsid w:val="299609AD"/>
    <w:rsid w:val="29B70125"/>
    <w:rsid w:val="29BE6622"/>
    <w:rsid w:val="2A5472A1"/>
    <w:rsid w:val="2ABE5D4E"/>
    <w:rsid w:val="2ADA7D13"/>
    <w:rsid w:val="2B4B78F2"/>
    <w:rsid w:val="2BC30ACB"/>
    <w:rsid w:val="2BDE44A5"/>
    <w:rsid w:val="2CBA3575"/>
    <w:rsid w:val="2D20610C"/>
    <w:rsid w:val="2D373B5F"/>
    <w:rsid w:val="2E776BC6"/>
    <w:rsid w:val="2ED017A0"/>
    <w:rsid w:val="2F806C78"/>
    <w:rsid w:val="2FD23126"/>
    <w:rsid w:val="30B60C4F"/>
    <w:rsid w:val="30C351F9"/>
    <w:rsid w:val="32C82593"/>
    <w:rsid w:val="32FA58C5"/>
    <w:rsid w:val="332154E2"/>
    <w:rsid w:val="33C27038"/>
    <w:rsid w:val="33EA7F73"/>
    <w:rsid w:val="344432D5"/>
    <w:rsid w:val="34EC22E9"/>
    <w:rsid w:val="355E055B"/>
    <w:rsid w:val="35B278F8"/>
    <w:rsid w:val="35D0478D"/>
    <w:rsid w:val="367271C7"/>
    <w:rsid w:val="36837B67"/>
    <w:rsid w:val="37076D9C"/>
    <w:rsid w:val="370825CC"/>
    <w:rsid w:val="37A566AF"/>
    <w:rsid w:val="37BE1B2D"/>
    <w:rsid w:val="383030F7"/>
    <w:rsid w:val="383D5A80"/>
    <w:rsid w:val="38857922"/>
    <w:rsid w:val="3891766C"/>
    <w:rsid w:val="3925257D"/>
    <w:rsid w:val="3951306B"/>
    <w:rsid w:val="39C45300"/>
    <w:rsid w:val="3AF74704"/>
    <w:rsid w:val="3B235622"/>
    <w:rsid w:val="3B685F6D"/>
    <w:rsid w:val="3BA60A2D"/>
    <w:rsid w:val="3BED6FEC"/>
    <w:rsid w:val="3C0D3E93"/>
    <w:rsid w:val="3CE80C5E"/>
    <w:rsid w:val="3D862B99"/>
    <w:rsid w:val="3DE95025"/>
    <w:rsid w:val="3DEA230D"/>
    <w:rsid w:val="3E171FD2"/>
    <w:rsid w:val="3E9E4B5F"/>
    <w:rsid w:val="3ED409E6"/>
    <w:rsid w:val="402911DD"/>
    <w:rsid w:val="40FA1ACF"/>
    <w:rsid w:val="415F7C05"/>
    <w:rsid w:val="41C33316"/>
    <w:rsid w:val="42431FDD"/>
    <w:rsid w:val="42556B8F"/>
    <w:rsid w:val="42A12BF7"/>
    <w:rsid w:val="42B00B73"/>
    <w:rsid w:val="435C6D4E"/>
    <w:rsid w:val="43700A61"/>
    <w:rsid w:val="43EB52CD"/>
    <w:rsid w:val="441B354D"/>
    <w:rsid w:val="442B6EEF"/>
    <w:rsid w:val="4444144F"/>
    <w:rsid w:val="446F46FF"/>
    <w:rsid w:val="449B11DD"/>
    <w:rsid w:val="45130C7C"/>
    <w:rsid w:val="453C75CA"/>
    <w:rsid w:val="45DF3C32"/>
    <w:rsid w:val="45FB6E93"/>
    <w:rsid w:val="45FD2E86"/>
    <w:rsid w:val="46171E6D"/>
    <w:rsid w:val="4622696B"/>
    <w:rsid w:val="464A676D"/>
    <w:rsid w:val="46C56654"/>
    <w:rsid w:val="47C169A3"/>
    <w:rsid w:val="481D7CFB"/>
    <w:rsid w:val="485823EA"/>
    <w:rsid w:val="486F1B06"/>
    <w:rsid w:val="48AC14EB"/>
    <w:rsid w:val="48D623DB"/>
    <w:rsid w:val="49473FBE"/>
    <w:rsid w:val="496962DE"/>
    <w:rsid w:val="497C39EB"/>
    <w:rsid w:val="4AD74DE9"/>
    <w:rsid w:val="4AFC76E4"/>
    <w:rsid w:val="4B127C09"/>
    <w:rsid w:val="4B182D68"/>
    <w:rsid w:val="4B4E63B4"/>
    <w:rsid w:val="4B6C6048"/>
    <w:rsid w:val="4BA2058E"/>
    <w:rsid w:val="4BEA4608"/>
    <w:rsid w:val="4C802D79"/>
    <w:rsid w:val="4CE26851"/>
    <w:rsid w:val="4D104647"/>
    <w:rsid w:val="4D296EAB"/>
    <w:rsid w:val="4D333658"/>
    <w:rsid w:val="4E2B4FD5"/>
    <w:rsid w:val="4E362229"/>
    <w:rsid w:val="4E716E2C"/>
    <w:rsid w:val="4EA8033D"/>
    <w:rsid w:val="4F380B23"/>
    <w:rsid w:val="4F916900"/>
    <w:rsid w:val="507C539B"/>
    <w:rsid w:val="50A64168"/>
    <w:rsid w:val="516B1CE0"/>
    <w:rsid w:val="5171445C"/>
    <w:rsid w:val="51C2099A"/>
    <w:rsid w:val="527502E3"/>
    <w:rsid w:val="53033D3D"/>
    <w:rsid w:val="5334610A"/>
    <w:rsid w:val="535B65CF"/>
    <w:rsid w:val="53FF42DE"/>
    <w:rsid w:val="54C170D3"/>
    <w:rsid w:val="551F7176"/>
    <w:rsid w:val="55BA6CAB"/>
    <w:rsid w:val="56071F48"/>
    <w:rsid w:val="566E1D5F"/>
    <w:rsid w:val="56B14963"/>
    <w:rsid w:val="584A7153"/>
    <w:rsid w:val="587B2AD8"/>
    <w:rsid w:val="58D216FB"/>
    <w:rsid w:val="596057F9"/>
    <w:rsid w:val="59775573"/>
    <w:rsid w:val="598034AF"/>
    <w:rsid w:val="59B34E51"/>
    <w:rsid w:val="5B0718A8"/>
    <w:rsid w:val="5B391E35"/>
    <w:rsid w:val="5B4C0D9E"/>
    <w:rsid w:val="5B7F629E"/>
    <w:rsid w:val="5BD34135"/>
    <w:rsid w:val="5C2E787E"/>
    <w:rsid w:val="5C63029A"/>
    <w:rsid w:val="5D364166"/>
    <w:rsid w:val="5D3A7C0A"/>
    <w:rsid w:val="5E0B2749"/>
    <w:rsid w:val="5E7E374B"/>
    <w:rsid w:val="5E975CD1"/>
    <w:rsid w:val="5EEB459D"/>
    <w:rsid w:val="5F08202F"/>
    <w:rsid w:val="60830EC8"/>
    <w:rsid w:val="60EB7F0D"/>
    <w:rsid w:val="60F90738"/>
    <w:rsid w:val="615700E1"/>
    <w:rsid w:val="61632312"/>
    <w:rsid w:val="61C209E3"/>
    <w:rsid w:val="62086B77"/>
    <w:rsid w:val="62145708"/>
    <w:rsid w:val="62D309A5"/>
    <w:rsid w:val="632A33BB"/>
    <w:rsid w:val="632F55C0"/>
    <w:rsid w:val="63772474"/>
    <w:rsid w:val="639A3F75"/>
    <w:rsid w:val="63EF220A"/>
    <w:rsid w:val="641158D7"/>
    <w:rsid w:val="64163EA3"/>
    <w:rsid w:val="645732DE"/>
    <w:rsid w:val="64EE42D5"/>
    <w:rsid w:val="657028AF"/>
    <w:rsid w:val="65C274D9"/>
    <w:rsid w:val="663A2913"/>
    <w:rsid w:val="66950BFF"/>
    <w:rsid w:val="66E55483"/>
    <w:rsid w:val="671472FA"/>
    <w:rsid w:val="674A41D0"/>
    <w:rsid w:val="67642F29"/>
    <w:rsid w:val="67E540BF"/>
    <w:rsid w:val="682319BE"/>
    <w:rsid w:val="6858680F"/>
    <w:rsid w:val="694B666B"/>
    <w:rsid w:val="69D6660D"/>
    <w:rsid w:val="6A0C3BC2"/>
    <w:rsid w:val="6A2D241B"/>
    <w:rsid w:val="6A844293"/>
    <w:rsid w:val="6A9441E2"/>
    <w:rsid w:val="6B80549B"/>
    <w:rsid w:val="6BA3724B"/>
    <w:rsid w:val="6BD4396C"/>
    <w:rsid w:val="6C8C33CF"/>
    <w:rsid w:val="6D424285"/>
    <w:rsid w:val="6D5B794A"/>
    <w:rsid w:val="6DF27AA9"/>
    <w:rsid w:val="6E060245"/>
    <w:rsid w:val="6E8C752D"/>
    <w:rsid w:val="6EE37D2C"/>
    <w:rsid w:val="6F440B4A"/>
    <w:rsid w:val="6FBB7677"/>
    <w:rsid w:val="70272D79"/>
    <w:rsid w:val="702901D5"/>
    <w:rsid w:val="704764C7"/>
    <w:rsid w:val="70A85DCA"/>
    <w:rsid w:val="70F7531C"/>
    <w:rsid w:val="71095BDC"/>
    <w:rsid w:val="7151649E"/>
    <w:rsid w:val="72340C84"/>
    <w:rsid w:val="728345FD"/>
    <w:rsid w:val="72BB4476"/>
    <w:rsid w:val="72C74020"/>
    <w:rsid w:val="73312DFC"/>
    <w:rsid w:val="73A41CB5"/>
    <w:rsid w:val="73BC5901"/>
    <w:rsid w:val="73CE3A90"/>
    <w:rsid w:val="74010C0C"/>
    <w:rsid w:val="74185EC3"/>
    <w:rsid w:val="747D474B"/>
    <w:rsid w:val="757619DF"/>
    <w:rsid w:val="75D4021A"/>
    <w:rsid w:val="75E34280"/>
    <w:rsid w:val="76251D66"/>
    <w:rsid w:val="76387A4D"/>
    <w:rsid w:val="76576763"/>
    <w:rsid w:val="76664C8F"/>
    <w:rsid w:val="76923B4F"/>
    <w:rsid w:val="76A72F6B"/>
    <w:rsid w:val="76F556CC"/>
    <w:rsid w:val="77406659"/>
    <w:rsid w:val="77923709"/>
    <w:rsid w:val="77DB2066"/>
    <w:rsid w:val="77F54792"/>
    <w:rsid w:val="77F639DD"/>
    <w:rsid w:val="782266A6"/>
    <w:rsid w:val="78A15FC7"/>
    <w:rsid w:val="78A24D94"/>
    <w:rsid w:val="78E81D0D"/>
    <w:rsid w:val="79A21681"/>
    <w:rsid w:val="79B7750E"/>
    <w:rsid w:val="7A104C76"/>
    <w:rsid w:val="7B0405C4"/>
    <w:rsid w:val="7B895122"/>
    <w:rsid w:val="7BAA55C6"/>
    <w:rsid w:val="7BAE2F82"/>
    <w:rsid w:val="7C8B6758"/>
    <w:rsid w:val="7C9A4F77"/>
    <w:rsid w:val="7CB22950"/>
    <w:rsid w:val="7CE85D47"/>
    <w:rsid w:val="7D3424CB"/>
    <w:rsid w:val="7D871FF8"/>
    <w:rsid w:val="7E585145"/>
    <w:rsid w:val="7E7B2EE0"/>
    <w:rsid w:val="7E873DBE"/>
    <w:rsid w:val="7E921028"/>
    <w:rsid w:val="7EE02970"/>
    <w:rsid w:val="7F151277"/>
    <w:rsid w:val="7FA14314"/>
    <w:rsid w:val="7FCE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Normal (Web)"/>
    <w:basedOn w:val="1"/>
    <w:qFormat/>
    <w:uiPriority w:val="0"/>
    <w:rPr>
      <w:sz w:val="24"/>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paragraph" w:customStyle="1" w:styleId="10">
    <w:name w:val="_Style 2"/>
    <w:basedOn w:val="1"/>
    <w:qFormat/>
    <w:uiPriority w:val="99"/>
    <w:pPr>
      <w:adjustRightInd w:val="0"/>
      <w:snapToGrid w:val="0"/>
      <w:spacing w:line="360" w:lineRule="auto"/>
      <w:ind w:firstLine="420" w:firstLineChars="200"/>
    </w:pPr>
    <w:rPr>
      <w:color w:val="000000"/>
      <w:szCs w:val="21"/>
    </w:rPr>
  </w:style>
  <w:style w:type="character" w:customStyle="1" w:styleId="11">
    <w:name w:val="right"/>
    <w:basedOn w:val="5"/>
    <w:qFormat/>
    <w:uiPriority w:val="0"/>
    <w:rPr>
      <w:color w:val="999999"/>
      <w:sz w:val="18"/>
      <w:szCs w:val="18"/>
    </w:rPr>
  </w:style>
  <w:style w:type="character" w:customStyle="1" w:styleId="12">
    <w:name w:val="blue"/>
    <w:basedOn w:val="5"/>
    <w:qFormat/>
    <w:uiPriority w:val="0"/>
    <w:rPr>
      <w:color w:val="0371C6"/>
      <w:sz w:val="21"/>
      <w:szCs w:val="21"/>
    </w:rPr>
  </w:style>
  <w:style w:type="character" w:customStyle="1" w:styleId="13">
    <w:name w:val="red"/>
    <w:basedOn w:val="5"/>
    <w:qFormat/>
    <w:uiPriority w:val="0"/>
    <w:rPr>
      <w:color w:val="FF0000"/>
      <w:sz w:val="18"/>
      <w:szCs w:val="18"/>
    </w:rPr>
  </w:style>
  <w:style w:type="character" w:customStyle="1" w:styleId="14">
    <w:name w:val="red1"/>
    <w:basedOn w:val="5"/>
    <w:qFormat/>
    <w:uiPriority w:val="0"/>
    <w:rPr>
      <w:color w:val="FF0000"/>
      <w:sz w:val="18"/>
      <w:szCs w:val="18"/>
    </w:rPr>
  </w:style>
  <w:style w:type="character" w:customStyle="1" w:styleId="15">
    <w:name w:val="red2"/>
    <w:basedOn w:val="5"/>
    <w:qFormat/>
    <w:uiPriority w:val="0"/>
    <w:rPr>
      <w:color w:val="FF0000"/>
    </w:rPr>
  </w:style>
  <w:style w:type="character" w:customStyle="1" w:styleId="16">
    <w:name w:val="green"/>
    <w:basedOn w:val="5"/>
    <w:qFormat/>
    <w:uiPriority w:val="0"/>
    <w:rPr>
      <w:color w:val="66AE00"/>
      <w:sz w:val="18"/>
      <w:szCs w:val="18"/>
    </w:rPr>
  </w:style>
  <w:style w:type="character" w:customStyle="1" w:styleId="17">
    <w:name w:val="green1"/>
    <w:basedOn w:val="5"/>
    <w:qFormat/>
    <w:uiPriority w:val="0"/>
    <w:rPr>
      <w:color w:val="66AE00"/>
      <w:sz w:val="18"/>
      <w:szCs w:val="18"/>
    </w:rPr>
  </w:style>
  <w:style w:type="character" w:customStyle="1" w:styleId="18">
    <w:name w:val="hover25"/>
    <w:basedOn w:val="5"/>
    <w:qFormat/>
    <w:uiPriority w:val="0"/>
  </w:style>
  <w:style w:type="character" w:customStyle="1" w:styleId="19">
    <w:name w:val="gb-j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2018-04-25T07:30:00Z</dcterms:created>
  <dc:creator>Administrator</dc:creator>
  <cp:lastModifiedBy>Administrator</cp:lastModifiedBy>
  <cp:lastPrinted>2018-06-21T01:47:00Z</cp:lastPrinted>
  <dcterms:modified xsi:type="dcterms:W3CDTF">2018-06-21T06:52:05Z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