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hd w:val="solid" w:color="FFFFFF" w:fill="auto"/>
        <w:autoSpaceDN w:val="0"/>
        <w:spacing w:line="360" w:lineRule="atLeast"/>
        <w:ind w:firstLine="600"/>
        <w:rPr>
          <w:rFonts w:ascii="仿宋" w:hAnsi="仿宋" w:eastAsia="仿宋"/>
          <w:color w:val="000000"/>
          <w:sz w:val="30"/>
          <w:shd w:val="clear" w:color="auto" w:fill="FFFFFF"/>
        </w:rPr>
      </w:pPr>
    </w:p>
    <w:p>
      <w:pPr>
        <w:shd w:val="solid" w:color="FFFFFF" w:fill="auto"/>
        <w:autoSpaceDN w:val="0"/>
        <w:spacing w:line="360" w:lineRule="atLeast"/>
        <w:ind w:firstLine="960"/>
        <w:jc w:val="center"/>
        <w:rPr>
          <w:rFonts w:ascii="仿宋_GB2312" w:hAnsi="宋体"/>
          <w:b/>
          <w:color w:val="000000"/>
          <w:sz w:val="36"/>
          <w:shd w:val="clear" w:color="auto" w:fill="FFFFFF"/>
        </w:rPr>
      </w:pPr>
      <w:r>
        <w:rPr>
          <w:rFonts w:hint="eastAsia" w:ascii="仿宋_GB2312" w:hAnsi="宋体"/>
          <w:b/>
          <w:color w:val="000000"/>
          <w:sz w:val="36"/>
          <w:shd w:val="clear" w:color="auto" w:fill="FFFFFF"/>
        </w:rPr>
        <w:t>许昌曹魏古城南城门浮雕项目</w:t>
      </w:r>
      <w:r>
        <w:rPr>
          <w:rFonts w:ascii="仿宋_GB2312" w:hAnsi="宋体"/>
          <w:b/>
          <w:color w:val="000000"/>
          <w:sz w:val="36"/>
          <w:shd w:val="clear" w:color="auto" w:fill="FFFFFF"/>
        </w:rPr>
        <w:t>采购需求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黑体" w:hAnsi="黑体" w:eastAsia="黑体"/>
          <w:color w:val="000000"/>
          <w:sz w:val="30"/>
          <w:shd w:val="clear" w:color="auto" w:fill="FFFFFF"/>
        </w:rPr>
        <w:t xml:space="preserve"> 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FF0000"/>
          <w:sz w:val="27"/>
          <w:shd w:val="clear" w:color="auto" w:fill="FFFFFF"/>
        </w:rPr>
      </w:pPr>
      <w:r>
        <w:rPr>
          <w:rFonts w:ascii="黑体" w:hAnsi="黑体" w:eastAsia="黑体"/>
          <w:color w:val="000000"/>
          <w:sz w:val="30"/>
          <w:shd w:val="clear" w:color="auto" w:fill="FFFFFF"/>
        </w:rPr>
        <w:t>一、项目概况</w:t>
      </w:r>
    </w:p>
    <w:p>
      <w:pPr>
        <w:shd w:val="solid" w:color="FFFFFF" w:fill="auto"/>
        <w:autoSpaceDN w:val="0"/>
        <w:spacing w:line="360" w:lineRule="atLeast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微软雅黑" w:hAnsi="微软雅黑" w:eastAsia="微软雅黑"/>
          <w:color w:val="000000"/>
          <w:sz w:val="30"/>
          <w:shd w:val="clear" w:color="auto" w:fill="FFFFFF"/>
        </w:rPr>
        <w:t xml:space="preserve">   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 （一）项目名称：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许昌曹魏古城南城门浮雕项目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（二）采购方式：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竞争性谈判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       </w:t>
      </w:r>
    </w:p>
    <w:p>
      <w:pPr>
        <w:shd w:val="solid" w:color="FFFFFF" w:fill="auto"/>
        <w:autoSpaceDN w:val="0"/>
        <w:spacing w:line="600" w:lineRule="exact"/>
        <w:ind w:firstLine="600"/>
        <w:rPr>
          <w:rFonts w:hint="eastAsia" w:ascii="仿宋" w:hAnsi="仿宋" w:eastAsia="仿宋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（三）主要内容、数量及要求：</w:t>
      </w:r>
      <w:r>
        <w:rPr>
          <w:rFonts w:hint="eastAsia" w:ascii="仿宋" w:hAnsi="仿宋" w:eastAsia="仿宋"/>
          <w:sz w:val="30"/>
          <w:shd w:val="clear" w:color="auto" w:fill="FFFFFF"/>
        </w:rPr>
        <w:t>许昌曹魏古城南城门大门左右两侧外墙浮雕制作，内容包括艺术造型、定样制模、石材浅浮雕、运输安装等。</w:t>
      </w:r>
    </w:p>
    <w:p>
      <w:pPr>
        <w:shd w:val="solid" w:color="FFFFFF" w:fill="auto"/>
        <w:autoSpaceDN w:val="0"/>
        <w:spacing w:line="600" w:lineRule="exact"/>
        <w:ind w:firstLine="600"/>
        <w:rPr>
          <w:rFonts w:hint="eastAsia" w:ascii="仿宋" w:hAnsi="仿宋" w:eastAsia="仿宋"/>
          <w:sz w:val="30"/>
          <w:shd w:val="clear" w:color="auto" w:fill="FFFFFF"/>
        </w:rPr>
      </w:pPr>
      <w:r>
        <w:rPr>
          <w:rFonts w:hint="eastAsia" w:ascii="仿宋" w:hAnsi="仿宋" w:eastAsia="仿宋"/>
          <w:sz w:val="30"/>
          <w:shd w:val="clear" w:color="auto" w:fill="FFFFFF"/>
        </w:rPr>
        <w:t>3、</w:t>
      </w:r>
      <w:r>
        <w:rPr>
          <w:rFonts w:hint="eastAsia" w:ascii="仿宋_GB2312" w:hAnsi="仿宋_GB2312" w:eastAsia="仿宋_GB2312" w:cs="仿宋_GB2312"/>
          <w:sz w:val="31"/>
          <w:szCs w:val="31"/>
          <w:shd w:val="clear" w:color="auto" w:fill="FFFFFF"/>
        </w:rPr>
        <w:t>标段划分：</w:t>
      </w:r>
      <w:r>
        <w:rPr>
          <w:rFonts w:hint="eastAsia" w:ascii="仿宋_GB2312" w:hAnsi="仿宋_GB2312" w:eastAsia="仿宋_GB2312" w:cs="仿宋_GB2312"/>
          <w:sz w:val="31"/>
          <w:szCs w:val="31"/>
        </w:rPr>
        <w:t>本项目设一个标段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（四）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采购预算：2721754.89元；最高限价：2721754.89元。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             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sz w:val="27"/>
          <w:shd w:val="clear" w:color="auto" w:fill="FFFFFF"/>
        </w:rPr>
      </w:pPr>
      <w:r>
        <w:rPr>
          <w:rFonts w:ascii="仿宋" w:hAnsi="仿宋" w:eastAsia="仿宋"/>
          <w:sz w:val="30"/>
          <w:shd w:val="clear" w:color="auto" w:fill="FFFFFF"/>
        </w:rPr>
        <w:t>（五）交付（服务、完工）时间：</w:t>
      </w:r>
      <w:r>
        <w:rPr>
          <w:rFonts w:hint="eastAsia" w:ascii="仿宋" w:hAnsi="仿宋" w:eastAsia="仿宋"/>
          <w:sz w:val="30"/>
          <w:shd w:val="clear" w:color="auto" w:fill="FFFFFF"/>
        </w:rPr>
        <w:t>签订合同之日起80日历天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sz w:val="30"/>
          <w:shd w:val="clear" w:color="auto" w:fill="FFFFFF"/>
        </w:rPr>
        <w:t>（六）交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>付（服务、施工）地点：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许昌市</w:t>
      </w:r>
      <w:r>
        <w:rPr>
          <w:rFonts w:hint="eastAsia" w:ascii="仿宋" w:hAnsi="仿宋" w:eastAsia="仿宋"/>
          <w:color w:val="000000"/>
          <w:sz w:val="30"/>
          <w:shd w:val="clear" w:color="auto" w:fill="FFFFFF"/>
          <w:lang w:eastAsia="zh-CN"/>
        </w:rPr>
        <w:t>曹魏古城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南城门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（七）进口产品：不允许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（八）分包：不允许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黑体" w:hAnsi="黑体" w:eastAsia="黑体"/>
          <w:color w:val="000000"/>
          <w:sz w:val="30"/>
          <w:shd w:val="clear" w:color="auto" w:fill="FFFFFF"/>
        </w:rPr>
        <w:t>二、需要落实的政府采购政策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本项目落实节能环保、中小微型企业扶持、支持监狱企业发展、残疾人福利性单位扶持等相关政府采购政策。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黑体" w:hAnsi="黑体" w:eastAsia="黑体"/>
          <w:color w:val="000000"/>
          <w:sz w:val="30"/>
          <w:shd w:val="clear" w:color="auto" w:fill="FFFFFF"/>
        </w:rPr>
        <w:t>三、投标人资格要求</w:t>
      </w:r>
    </w:p>
    <w:p>
      <w:pPr>
        <w:shd w:val="solid" w:color="FFFFFF" w:fill="auto"/>
        <w:autoSpaceDN w:val="0"/>
        <w:spacing w:line="600" w:lineRule="exact"/>
        <w:ind w:firstLine="60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1.符合《中华人民共和国政府采购法》第二十二条之规定；</w:t>
      </w:r>
    </w:p>
    <w:p>
      <w:pPr>
        <w:shd w:val="solid" w:color="FFFFFF" w:fill="auto"/>
        <w:autoSpaceDN w:val="0"/>
        <w:spacing w:line="600" w:lineRule="exact"/>
        <w:ind w:firstLine="450" w:firstLineChars="15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 2.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未被列入“信用中国”网站（www.creditchina.gov.cn）失信被执行人、重大税收违法案件当事人名单、政府采购严重违法失信名单的投标人：“政府采购网”（www.ccgp.gov.cn）政府采购严重违法失信行为记录名单的投标人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3.本项目不接受联合体投标。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黑体" w:hAnsi="黑体" w:eastAsia="黑体"/>
          <w:color w:val="000000"/>
          <w:sz w:val="30"/>
          <w:shd w:val="clear" w:color="auto" w:fill="FFFFFF"/>
        </w:rPr>
      </w:pPr>
      <w:r>
        <w:rPr>
          <w:rFonts w:hint="eastAsia" w:ascii="黑体" w:hAnsi="黑体" w:eastAsia="黑体"/>
          <w:color w:val="000000"/>
          <w:sz w:val="30"/>
          <w:shd w:val="clear" w:color="auto" w:fill="FFFFFF"/>
        </w:rPr>
        <w:t>四、采购需求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（一）本项目需实现的功能或者目标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仿宋" w:hAnsi="仿宋" w:eastAsia="仿宋" w:cs="Times New Roman"/>
          <w:color w:val="000000"/>
          <w:sz w:val="30"/>
          <w:szCs w:val="22"/>
          <w:shd w:val="clear" w:color="auto" w:fill="FFFFFF"/>
          <w:lang w:val="zh-CN"/>
        </w:rPr>
      </w:pPr>
      <w:r>
        <w:rPr>
          <w:rFonts w:hint="eastAsia" w:ascii="仿宋" w:hAnsi="仿宋" w:eastAsia="仿宋" w:cs="Times New Roman"/>
          <w:color w:val="000000"/>
          <w:sz w:val="30"/>
          <w:szCs w:val="22"/>
          <w:shd w:val="clear" w:color="auto" w:fill="FFFFFF"/>
          <w:lang w:val="zh-CN"/>
        </w:rPr>
        <w:t>本项目需完美体现曹魏古城历史典故中，两个最突出的人物曹操、关云长的英雄气概和忠诚正义。要求浮雕造型准确，形象生动，线条流畅，主体突出，左右呼应协调。成品尺寸：(高13.05m*长边9.2m*短边6.46m*)*2=204㎡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仿宋" w:hAnsi="仿宋" w:eastAsia="仿宋" w:cs="Times New Roman"/>
          <w:color w:val="000000"/>
          <w:sz w:val="30"/>
          <w:szCs w:val="22"/>
          <w:shd w:val="clear" w:color="auto" w:fill="FFFFFF"/>
          <w:lang w:val="zh-CN"/>
        </w:rPr>
      </w:pPr>
      <w:r>
        <w:rPr>
          <w:rFonts w:hint="eastAsia" w:ascii="仿宋" w:hAnsi="仿宋" w:eastAsia="仿宋" w:cs="Times New Roman"/>
          <w:color w:val="000000"/>
          <w:sz w:val="30"/>
          <w:szCs w:val="22"/>
          <w:shd w:val="clear" w:color="auto" w:fill="FFFFFF"/>
          <w:lang w:val="zh-CN"/>
        </w:rPr>
        <w:t>设计图：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 w:val="0"/>
        <w:autoSpaceDN w:val="0"/>
        <w:bidi w:val="0"/>
        <w:adjustRightInd w:val="0"/>
        <w:spacing w:before="0" w:beforeLines="0" w:after="0" w:afterLines="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733040" cy="3830955"/>
            <wp:effectExtent l="0" t="0" r="10160" b="17145"/>
            <wp:docPr id="1" name="图片 1" descr="C:\Users\Administrator\Desktop\各个手续要求2017.9.20\南城门浮雕\3许昌曹魏古城门浮雕壁画左设计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各个手续要求2017.9.20\南城门浮雕\3许昌曹魏古城门浮雕壁画左设计图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1135" cy="38271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tLeast"/>
        <w:rPr>
          <w:rFonts w:ascii="仿宋" w:hAnsi="仿宋" w:eastAsia="仿宋"/>
          <w:color w:val="000000"/>
          <w:sz w:val="30"/>
          <w:shd w:val="clear" w:color="auto" w:fill="FFFFFF"/>
        </w:rPr>
      </w:pP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（二）采购清单</w:t>
      </w:r>
    </w:p>
    <w:tbl>
      <w:tblPr>
        <w:tblStyle w:val="11"/>
        <w:tblW w:w="8957" w:type="dxa"/>
        <w:jc w:val="center"/>
        <w:tblInd w:w="6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268"/>
        <w:gridCol w:w="2693"/>
        <w:gridCol w:w="2602"/>
        <w:gridCol w:w="638"/>
        <w:gridCol w:w="1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57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序号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名称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内容</w:t>
            </w:r>
          </w:p>
        </w:tc>
        <w:tc>
          <w:tcPr>
            <w:tcW w:w="2602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材质</w:t>
            </w:r>
          </w:p>
        </w:tc>
        <w:tc>
          <w:tcPr>
            <w:tcW w:w="63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单位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restart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宋体"/>
                <w:sz w:val="18"/>
                <w:szCs w:val="18"/>
                <w:lang w:eastAsia="zh-CN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26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艺术造型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比例放线</w:t>
            </w:r>
          </w:p>
        </w:tc>
        <w:tc>
          <w:tcPr>
            <w:tcW w:w="2602" w:type="dxa"/>
            <w:vMerge w:val="restart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陶泥、木材综合、棕绳、其他材料</w:t>
            </w:r>
          </w:p>
        </w:tc>
        <w:tc>
          <w:tcPr>
            <w:tcW w:w="63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㎡</w:t>
            </w:r>
          </w:p>
        </w:tc>
        <w:tc>
          <w:tcPr>
            <w:tcW w:w="117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搭制钢木骨架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上大泥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艺术塑造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艺术刻划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保养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restart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宋体"/>
                <w:sz w:val="18"/>
                <w:szCs w:val="18"/>
                <w:lang w:eastAsia="zh-CN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26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定样制模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浇制外模</w:t>
            </w:r>
          </w:p>
        </w:tc>
        <w:tc>
          <w:tcPr>
            <w:tcW w:w="2602" w:type="dxa"/>
            <w:vMerge w:val="restart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树脂综合、木材综合、石膏、玻纤布、其他材料</w:t>
            </w:r>
          </w:p>
        </w:tc>
        <w:tc>
          <w:tcPr>
            <w:tcW w:w="63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㎡</w:t>
            </w:r>
          </w:p>
        </w:tc>
        <w:tc>
          <w:tcPr>
            <w:tcW w:w="117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掏泥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拆卸钢木骨架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组合外模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浇制内模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内模整形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清运垃圾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restart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宋体"/>
                <w:sz w:val="18"/>
                <w:szCs w:val="18"/>
                <w:lang w:eastAsia="zh-CN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26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石材浅浮雕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购料</w:t>
            </w:r>
          </w:p>
        </w:tc>
        <w:tc>
          <w:tcPr>
            <w:tcW w:w="2602" w:type="dxa"/>
            <w:vMerge w:val="restart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福建青石材料雕刻、打磨处理等。</w:t>
            </w:r>
          </w:p>
        </w:tc>
        <w:tc>
          <w:tcPr>
            <w:tcW w:w="63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㎡</w:t>
            </w:r>
          </w:p>
        </w:tc>
        <w:tc>
          <w:tcPr>
            <w:tcW w:w="1178" w:type="dxa"/>
            <w:vMerge w:val="restart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放样下料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雕切大形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造型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刻画细节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表面处理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修补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保护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126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艺术家监制</w:t>
            </w:r>
          </w:p>
        </w:tc>
        <w:tc>
          <w:tcPr>
            <w:tcW w:w="2602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</w:p>
        </w:tc>
        <w:tc>
          <w:tcPr>
            <w:tcW w:w="63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rPr>
                <w:rFonts w:ascii="华文细黑" w:hAnsi="华文细黑" w:eastAsia="华文细黑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7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</w:rPr>
            </w:pPr>
            <w:r>
              <w:rPr>
                <w:rFonts w:hint="eastAsia" w:ascii="华文细黑" w:hAnsi="华文细黑" w:eastAsia="华文细黑" w:cs="宋体"/>
              </w:rPr>
              <w:t>运输安装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　</w:t>
            </w:r>
          </w:p>
        </w:tc>
        <w:tc>
          <w:tcPr>
            <w:tcW w:w="2602" w:type="dxa"/>
            <w:vAlign w:val="center"/>
          </w:tcPr>
          <w:p>
            <w:pPr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　</w:t>
            </w:r>
          </w:p>
        </w:tc>
        <w:tc>
          <w:tcPr>
            <w:tcW w:w="63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㎡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ascii="华文细黑" w:hAnsi="华文细黑" w:eastAsia="华文细黑" w:cs="宋体"/>
                <w:sz w:val="18"/>
                <w:szCs w:val="18"/>
              </w:rPr>
            </w:pPr>
            <w:r>
              <w:rPr>
                <w:rFonts w:hint="eastAsia" w:ascii="华文细黑" w:hAnsi="华文细黑" w:eastAsia="华文细黑" w:cs="宋体"/>
                <w:sz w:val="18"/>
                <w:szCs w:val="18"/>
              </w:rPr>
              <w:t>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8957" w:type="dxa"/>
            <w:gridSpan w:val="6"/>
            <w:vMerge w:val="restart"/>
            <w:vAlign w:val="center"/>
          </w:tcPr>
          <w:p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报价说明：包含设计、制作、安装、运输、税金。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>报价依据：《2014版城市雕塑工程工程量清单计价定额》。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957" w:type="dxa"/>
            <w:gridSpan w:val="6"/>
            <w:vMerge w:val="continue"/>
            <w:vAlign w:val="center"/>
          </w:tcPr>
          <w:p>
            <w:pPr>
              <w:rPr>
                <w:rFonts w:ascii="宋体" w:hAnsi="宋体" w:cs="宋体"/>
                <w:color w:val="000000"/>
              </w:rPr>
            </w:pPr>
          </w:p>
        </w:tc>
      </w:tr>
    </w:tbl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（</w:t>
      </w:r>
      <w:r>
        <w:rPr>
          <w:rFonts w:hint="eastAsia" w:ascii="仿宋" w:hAnsi="仿宋" w:eastAsia="仿宋"/>
          <w:color w:val="000000"/>
          <w:sz w:val="30"/>
          <w:shd w:val="clear" w:color="auto" w:fill="FFFFFF"/>
          <w:lang w:eastAsia="zh-CN"/>
        </w:rPr>
        <w:t>三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>）验收标准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由采购人成立验收小组,按照采购合同的约定对中标人履约情况进行验收。验收时,按照采购合同的约定对每一项技术、服务、安全标准的履约情况进行确认。验收结束后,出具验收书。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黑体" w:hAnsi="黑体" w:eastAsia="黑体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按照招标文件要求、投标文件响应和承诺验收</w:t>
      </w:r>
    </w:p>
    <w:p>
      <w:pPr>
        <w:shd w:val="solid" w:color="FFFFFF" w:fill="auto"/>
        <w:autoSpaceDN w:val="0"/>
        <w:spacing w:line="360" w:lineRule="atLeast"/>
        <w:ind w:firstLine="600" w:firstLineChars="200"/>
        <w:rPr>
          <w:rFonts w:hint="eastAsia" w:ascii="黑体" w:hAnsi="黑体" w:eastAsia="黑体"/>
          <w:color w:val="000000"/>
          <w:sz w:val="30"/>
          <w:shd w:val="clear" w:color="auto" w:fill="FFFFFF"/>
        </w:rPr>
      </w:pPr>
      <w:r>
        <w:rPr>
          <w:rFonts w:hint="eastAsia" w:ascii="黑体" w:hAnsi="黑体" w:eastAsia="黑体"/>
          <w:color w:val="000000"/>
          <w:sz w:val="30"/>
          <w:shd w:val="clear" w:color="auto" w:fill="FFFFFF"/>
        </w:rPr>
        <w:t>五、资金支付</w:t>
      </w:r>
    </w:p>
    <w:p>
      <w:pPr>
        <w:shd w:val="solid" w:color="FFFFFF" w:fill="auto"/>
        <w:autoSpaceDN w:val="0"/>
        <w:spacing w:line="360" w:lineRule="atLeast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    1、支付方式：转帐支付</w:t>
      </w:r>
    </w:p>
    <w:p>
      <w:pPr>
        <w:shd w:val="solid" w:color="FFFFFF" w:fill="auto"/>
        <w:autoSpaceDN w:val="0"/>
        <w:spacing w:line="360" w:lineRule="atLeast"/>
        <w:ind w:left="120" w:leftChars="60" w:firstLine="600" w:firstLineChars="20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2、支付时间及条件：</w:t>
      </w:r>
    </w:p>
    <w:p>
      <w:pPr>
        <w:shd w:val="solid" w:color="FFFFFF" w:fill="auto"/>
        <w:autoSpaceDN w:val="0"/>
        <w:spacing w:line="360" w:lineRule="atLeast"/>
        <w:ind w:left="120" w:leftChars="60" w:firstLine="600" w:firstLineChars="20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（1）合同签订后，7个工作日内，支付合同总价款的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</w:rPr>
        <w:t xml:space="preserve">  50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 %，</w:t>
      </w:r>
    </w:p>
    <w:p>
      <w:pPr>
        <w:shd w:val="solid" w:color="FFFFFF" w:fill="auto"/>
        <w:autoSpaceDN w:val="0"/>
        <w:spacing w:line="360" w:lineRule="atLeast"/>
        <w:ind w:left="120" w:leftChars="60" w:firstLine="600" w:firstLineChars="200"/>
        <w:rPr>
          <w:rFonts w:hint="eastAsia"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（2）工程安装完成，15个工作日内组织验收，经验收合格后，7个工作日内</w:t>
      </w:r>
      <w:r>
        <w:rPr>
          <w:rFonts w:hint="eastAsia" w:ascii="仿宋" w:hAnsi="仿宋" w:eastAsia="仿宋"/>
          <w:color w:val="000000"/>
          <w:sz w:val="30"/>
          <w:shd w:val="clear" w:color="auto" w:fill="FFFFFF"/>
          <w:lang w:eastAsia="zh-CN"/>
        </w:rPr>
        <w:t>，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支付供应商至合同总价款的  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</w:rPr>
        <w:t xml:space="preserve">95 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%，</w:t>
      </w:r>
    </w:p>
    <w:p>
      <w:pPr>
        <w:shd w:val="solid" w:color="FFFFFF" w:fill="auto"/>
        <w:autoSpaceDN w:val="0"/>
        <w:spacing w:line="360" w:lineRule="atLeast"/>
        <w:ind w:left="120" w:leftChars="60" w:firstLine="600" w:firstLineChars="200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（3）剩余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</w:rPr>
        <w:t xml:space="preserve"> 5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%满 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/>
          <w:color w:val="000000"/>
          <w:sz w:val="30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年无质量问题一次付清。　 </w:t>
      </w:r>
    </w:p>
    <w:p>
      <w:pPr>
        <w:shd w:val="solid" w:color="FFFFFF" w:fill="auto"/>
        <w:autoSpaceDN w:val="0"/>
        <w:spacing w:line="360" w:lineRule="atLeast"/>
        <w:ind w:firstLine="600"/>
        <w:rPr>
          <w:rFonts w:hint="eastAsia" w:ascii="黑体" w:hAnsi="黑体" w:eastAsia="黑体"/>
          <w:color w:val="000000"/>
          <w:sz w:val="30"/>
          <w:shd w:val="clear" w:color="auto" w:fill="FFFFFF"/>
        </w:rPr>
      </w:pPr>
    </w:p>
    <w:p>
      <w:pPr>
        <w:shd w:val="solid" w:color="FFFFFF" w:fill="auto"/>
        <w:autoSpaceDN w:val="0"/>
        <w:spacing w:line="360" w:lineRule="atLeast"/>
        <w:ind w:firstLine="600"/>
        <w:rPr>
          <w:rFonts w:ascii="微软雅黑" w:hAnsi="微软雅黑" w:eastAsia="微软雅黑"/>
          <w:color w:val="000000"/>
          <w:sz w:val="27"/>
          <w:shd w:val="clear" w:color="auto" w:fill="FFFFFF"/>
        </w:rPr>
      </w:pPr>
      <w:r>
        <w:rPr>
          <w:rFonts w:hint="eastAsia" w:ascii="黑体" w:hAnsi="黑体" w:eastAsia="黑体"/>
          <w:color w:val="000000"/>
          <w:sz w:val="30"/>
          <w:shd w:val="clear" w:color="auto" w:fill="FFFFFF"/>
        </w:rPr>
        <w:t>六</w:t>
      </w:r>
      <w:r>
        <w:rPr>
          <w:rFonts w:ascii="黑体" w:hAnsi="黑体" w:eastAsia="黑体"/>
          <w:color w:val="000000"/>
          <w:sz w:val="30"/>
          <w:shd w:val="clear" w:color="auto" w:fill="FFFFFF"/>
        </w:rPr>
        <w:t>、联系方式</w:t>
      </w:r>
    </w:p>
    <w:p>
      <w:pPr>
        <w:shd w:val="solid" w:color="FFFFFF" w:fill="auto"/>
        <w:autoSpaceDN w:val="0"/>
        <w:spacing w:line="525" w:lineRule="atLeast"/>
        <w:ind w:firstLine="795"/>
        <w:rPr>
          <w:rFonts w:ascii="仿宋" w:hAnsi="仿宋" w:eastAsia="仿宋"/>
          <w:color w:val="000000"/>
          <w:sz w:val="30"/>
          <w:shd w:val="clear" w:color="auto" w:fill="FFFFFF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>联系人姓名：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李晶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  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 xml:space="preserve">       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>联系电话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（固话）</w:t>
      </w:r>
      <w:r>
        <w:rPr>
          <w:rFonts w:ascii="仿宋" w:hAnsi="仿宋" w:eastAsia="仿宋"/>
          <w:color w:val="000000"/>
          <w:sz w:val="30"/>
          <w:shd w:val="clear" w:color="auto" w:fill="FFFFFF"/>
        </w:rPr>
        <w:t>：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6060619</w:t>
      </w:r>
    </w:p>
    <w:p>
      <w:pPr>
        <w:shd w:val="solid" w:color="FFFFFF" w:fill="auto"/>
        <w:autoSpaceDN w:val="0"/>
        <w:spacing w:line="525" w:lineRule="atLeast"/>
        <w:ind w:firstLine="795"/>
        <w:rPr>
          <w:rFonts w:hint="eastAsia" w:ascii="仿宋_GB2312" w:eastAsia="仿宋_GB2312" w:cs="仿宋_GB2312"/>
          <w:sz w:val="28"/>
          <w:szCs w:val="28"/>
        </w:rPr>
      </w:pPr>
      <w:r>
        <w:rPr>
          <w:rFonts w:ascii="仿宋" w:hAnsi="仿宋" w:eastAsia="仿宋"/>
          <w:color w:val="000000"/>
          <w:sz w:val="30"/>
          <w:shd w:val="clear" w:color="auto" w:fill="FFFFFF"/>
        </w:rPr>
        <w:t xml:space="preserve">单位地址： </w:t>
      </w:r>
      <w:r>
        <w:rPr>
          <w:rFonts w:hint="eastAsia" w:ascii="仿宋" w:hAnsi="仿宋" w:eastAsia="仿宋"/>
          <w:color w:val="000000"/>
          <w:sz w:val="30"/>
          <w:shd w:val="clear" w:color="auto" w:fill="FFFFFF"/>
        </w:rPr>
        <w:t>许昌市劳动路1012号</w:t>
      </w:r>
      <w:bookmarkStart w:id="0" w:name="_GoBack"/>
      <w:bookmarkEnd w:id="0"/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Footer w:val="1"/>
  <w:documentProtection w:enforcement="0"/>
  <w:defaultTabStop w:val="720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172A27"/>
    <w:rsid w:val="00052D7C"/>
    <w:rsid w:val="000841A0"/>
    <w:rsid w:val="0014384C"/>
    <w:rsid w:val="0016592E"/>
    <w:rsid w:val="00182FCE"/>
    <w:rsid w:val="001F07FF"/>
    <w:rsid w:val="002474B7"/>
    <w:rsid w:val="002D5278"/>
    <w:rsid w:val="00377D95"/>
    <w:rsid w:val="00490406"/>
    <w:rsid w:val="00491A63"/>
    <w:rsid w:val="004D3EF0"/>
    <w:rsid w:val="004E4EA4"/>
    <w:rsid w:val="004F1C07"/>
    <w:rsid w:val="00515A51"/>
    <w:rsid w:val="00553953"/>
    <w:rsid w:val="00565418"/>
    <w:rsid w:val="00565E5A"/>
    <w:rsid w:val="00586D9C"/>
    <w:rsid w:val="00600B92"/>
    <w:rsid w:val="00691226"/>
    <w:rsid w:val="006C1E2C"/>
    <w:rsid w:val="006E19C3"/>
    <w:rsid w:val="0070058A"/>
    <w:rsid w:val="007323BF"/>
    <w:rsid w:val="0078470B"/>
    <w:rsid w:val="007A5EEF"/>
    <w:rsid w:val="007C5329"/>
    <w:rsid w:val="007D70BB"/>
    <w:rsid w:val="00805714"/>
    <w:rsid w:val="00857A11"/>
    <w:rsid w:val="008D6F92"/>
    <w:rsid w:val="00905C9C"/>
    <w:rsid w:val="00906156"/>
    <w:rsid w:val="0093668F"/>
    <w:rsid w:val="00A03094"/>
    <w:rsid w:val="00A20F07"/>
    <w:rsid w:val="00B117CC"/>
    <w:rsid w:val="00C273E7"/>
    <w:rsid w:val="00CF1117"/>
    <w:rsid w:val="00CF66CA"/>
    <w:rsid w:val="00D06016"/>
    <w:rsid w:val="00D110B8"/>
    <w:rsid w:val="00D64BD5"/>
    <w:rsid w:val="00DD27AE"/>
    <w:rsid w:val="00DF3554"/>
    <w:rsid w:val="00DF71DD"/>
    <w:rsid w:val="00E07658"/>
    <w:rsid w:val="00E3377F"/>
    <w:rsid w:val="00E42EE5"/>
    <w:rsid w:val="00E71411"/>
    <w:rsid w:val="00F50A3A"/>
    <w:rsid w:val="00F615D7"/>
    <w:rsid w:val="00F62085"/>
    <w:rsid w:val="00F97625"/>
    <w:rsid w:val="00FB5BF4"/>
    <w:rsid w:val="01AE211F"/>
    <w:rsid w:val="2123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b/>
    </w:rPr>
  </w:style>
  <w:style w:type="character" w:default="1" w:styleId="8">
    <w:name w:val="Default Paragraph Font"/>
    <w:qFormat/>
    <w:uiPriority w:val="0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00"/>
      <w:u w:val="none"/>
    </w:rPr>
  </w:style>
  <w:style w:type="paragraph" w:customStyle="1" w:styleId="12">
    <w:name w:val="Normal (Web)"/>
    <w:basedOn w:val="1"/>
    <w:qFormat/>
    <w:uiPriority w:val="0"/>
    <w:pPr>
      <w:spacing w:before="100" w:beforeAutospacing="1" w:after="100" w:afterAutospacing="1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9</Pages>
  <Words>769</Words>
  <Characters>4385</Characters>
  <Lines>36</Lines>
  <Paragraphs>10</Paragraphs>
  <TotalTime>2</TotalTime>
  <ScaleCrop>false</ScaleCrop>
  <LinksUpToDate>false</LinksUpToDate>
  <CharactersWithSpaces>5144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2018-06-13T00:19:00Z</dcterms:created>
  <dc:creator>桑三博客</dc:creator>
  <cp:lastModifiedBy>吉旦</cp:lastModifiedBy>
  <cp:lastPrinted>2018-06-07T00:11:00Z</cp:lastPrinted>
  <dcterms:modified xsi:type="dcterms:W3CDTF">2018-06-13T03:43:36Z</dcterms:modified>
  <dc:title>关于进一步规范集中采购项目采购业务程序的通知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