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hint="eastAsia" w:ascii="仿宋_GB2312" w:hAnsi="微软雅黑" w:eastAsia="仿宋_GB2312" w:cs="仿宋_GB2312"/>
          <w:b/>
          <w:color w:val="000000"/>
          <w:kern w:val="0"/>
          <w:sz w:val="36"/>
          <w:szCs w:val="36"/>
          <w:shd w:val="clear" w:color="auto" w:fill="FFFFFF"/>
        </w:rPr>
      </w:pPr>
      <w:r>
        <w:rPr>
          <w:rFonts w:hint="eastAsia" w:ascii="仿宋_GB2312" w:hAnsi="微软雅黑" w:eastAsia="仿宋_GB2312" w:cs="仿宋_GB2312"/>
          <w:b/>
          <w:color w:val="000000"/>
          <w:kern w:val="0"/>
          <w:sz w:val="36"/>
          <w:szCs w:val="36"/>
          <w:shd w:val="clear" w:color="auto" w:fill="FFFFFF"/>
        </w:rPr>
        <w:t>JZFCG-G201</w:t>
      </w:r>
      <w:r>
        <w:rPr>
          <w:rFonts w:hint="eastAsia" w:ascii="仿宋_GB2312" w:hAnsi="微软雅黑" w:eastAsia="仿宋_GB2312" w:cs="仿宋_GB2312"/>
          <w:b/>
          <w:color w:val="000000"/>
          <w:kern w:val="0"/>
          <w:sz w:val="36"/>
          <w:szCs w:val="36"/>
          <w:shd w:val="clear" w:color="auto" w:fill="FFFFFF"/>
          <w:lang w:val="en-US" w:eastAsia="zh-CN"/>
        </w:rPr>
        <w:t>8040</w:t>
      </w:r>
      <w:r>
        <w:rPr>
          <w:rFonts w:hint="eastAsia" w:ascii="仿宋_GB2312" w:hAnsi="微软雅黑" w:eastAsia="仿宋_GB2312" w:cs="仿宋_GB2312"/>
          <w:b/>
          <w:color w:val="000000"/>
          <w:kern w:val="0"/>
          <w:sz w:val="36"/>
          <w:szCs w:val="36"/>
          <w:shd w:val="clear" w:color="auto" w:fill="FFFFFF"/>
        </w:rPr>
        <w:t>号许昌经济技术开发区法制与社会服务局</w:t>
      </w:r>
    </w:p>
    <w:p>
      <w:pPr>
        <w:widowControl/>
        <w:shd w:val="clear" w:color="auto" w:fill="FFFFFF"/>
        <w:spacing w:line="360" w:lineRule="atLeast"/>
        <w:jc w:val="center"/>
        <w:rPr>
          <w:rFonts w:hint="eastAsia" w:ascii="仿宋_GB2312" w:hAnsi="微软雅黑" w:eastAsia="仿宋_GB2312" w:cs="仿宋_GB2312"/>
          <w:b/>
          <w:color w:val="000000"/>
          <w:kern w:val="0"/>
          <w:sz w:val="36"/>
          <w:szCs w:val="36"/>
          <w:shd w:val="clear" w:color="auto" w:fill="FFFFFF"/>
        </w:rPr>
      </w:pPr>
      <w:r>
        <w:rPr>
          <w:rFonts w:hint="eastAsia" w:ascii="仿宋_GB2312" w:hAnsi="微软雅黑" w:eastAsia="仿宋_GB2312" w:cs="仿宋_GB2312"/>
          <w:b/>
          <w:color w:val="000000"/>
          <w:kern w:val="0"/>
          <w:sz w:val="36"/>
          <w:szCs w:val="36"/>
          <w:shd w:val="clear" w:color="auto" w:fill="FFFFFF"/>
        </w:rPr>
        <w:t>“许昌经济技术开发区水资源综合规划编制”项目</w:t>
      </w:r>
    </w:p>
    <w:p>
      <w:pPr>
        <w:widowControl/>
        <w:shd w:val="clear" w:color="auto" w:fill="FFFFFF"/>
        <w:spacing w:line="360" w:lineRule="atLeast"/>
        <w:jc w:val="center"/>
        <w:rPr>
          <w:rFonts w:ascii="宋体" w:hAnsi="宋体" w:eastAsia="宋体" w:cs="宋体"/>
          <w:color w:val="000000"/>
          <w:kern w:val="0"/>
          <w:sz w:val="28"/>
          <w:szCs w:val="28"/>
        </w:rPr>
      </w:pPr>
      <w:r>
        <w:rPr>
          <w:rFonts w:hint="eastAsia" w:ascii="仿宋_GB2312" w:hAnsi="微软雅黑" w:eastAsia="仿宋_GB2312" w:cs="仿宋_GB2312"/>
          <w:b/>
          <w:color w:val="000000"/>
          <w:kern w:val="0"/>
          <w:sz w:val="36"/>
          <w:szCs w:val="36"/>
          <w:shd w:val="clear" w:color="auto" w:fill="FFFFFF"/>
        </w:rPr>
        <w:t>采购需求、评标标准等说明</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一、项目概况</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微软雅黑" w:hAnsi="微软雅黑" w:eastAsia="微软雅黑" w:cs="微软雅黑"/>
          <w:color w:val="000000"/>
          <w:kern w:val="0"/>
          <w:sz w:val="30"/>
          <w:szCs w:val="30"/>
          <w:shd w:val="clear" w:color="auto" w:fill="FFFFFF"/>
        </w:rPr>
        <w:t>   </w:t>
      </w:r>
      <w:r>
        <w:rPr>
          <w:rFonts w:hint="eastAsia" w:ascii="宋体" w:hAnsi="宋体" w:eastAsia="宋体" w:cs="宋体"/>
          <w:color w:val="000000"/>
          <w:kern w:val="0"/>
          <w:sz w:val="30"/>
          <w:szCs w:val="30"/>
          <w:shd w:val="clear" w:color="auto" w:fill="FFFFFF"/>
        </w:rPr>
        <w:t> </w:t>
      </w:r>
      <w:r>
        <w:rPr>
          <w:rFonts w:hint="eastAsia" w:ascii="仿宋" w:hAnsi="仿宋" w:eastAsia="仿宋" w:cs="仿宋"/>
          <w:color w:val="000000"/>
          <w:kern w:val="0"/>
          <w:sz w:val="30"/>
          <w:szCs w:val="30"/>
          <w:shd w:val="clear" w:color="auto" w:fill="FFFFFF"/>
        </w:rPr>
        <w:t>（一）项目名称：许昌经济技术开发区法制与社会服务局“许昌经济技术开发区水资源综合规划编制”项目</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（二）采购方式：公开招标</w:t>
      </w:r>
      <w:r>
        <w:rPr>
          <w:rFonts w:hint="eastAsia" w:ascii="宋体" w:hAnsi="宋体" w:eastAsia="宋体" w:cs="宋体"/>
          <w:color w:val="000000"/>
          <w:kern w:val="0"/>
          <w:sz w:val="30"/>
          <w:szCs w:val="30"/>
          <w:shd w:val="clear" w:color="auto" w:fill="FFFFFF"/>
        </w:rPr>
        <w:t>       </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（三）主要内容、数量及要求：许昌经济技术开发区水资源综合规划编制</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（四）预算金额：</w:t>
      </w:r>
      <w:r>
        <w:rPr>
          <w:rFonts w:hint="eastAsia" w:ascii="仿宋" w:hAnsi="仿宋" w:eastAsia="仿宋" w:cs="仿宋"/>
          <w:color w:val="000000"/>
          <w:kern w:val="0"/>
          <w:sz w:val="30"/>
          <w:szCs w:val="30"/>
          <w:shd w:val="clear" w:color="auto" w:fill="FFFFFF"/>
          <w:lang w:val="en-US" w:eastAsia="zh-CN"/>
        </w:rPr>
        <w:t xml:space="preserve">90万元    </w:t>
      </w:r>
      <w:r>
        <w:rPr>
          <w:rFonts w:hint="eastAsia" w:ascii="仿宋" w:hAnsi="仿宋" w:eastAsia="仿宋" w:cs="仿宋"/>
          <w:color w:val="000000"/>
          <w:kern w:val="0"/>
          <w:sz w:val="30"/>
          <w:szCs w:val="30"/>
          <w:shd w:val="clear" w:color="auto" w:fill="FFFFFF"/>
          <w:lang w:eastAsia="zh-CN"/>
        </w:rPr>
        <w:t>最高限价：</w:t>
      </w:r>
      <w:r>
        <w:rPr>
          <w:rFonts w:hint="eastAsia" w:ascii="仿宋" w:hAnsi="仿宋" w:eastAsia="仿宋" w:cs="仿宋"/>
          <w:color w:val="000000"/>
          <w:kern w:val="0"/>
          <w:sz w:val="30"/>
          <w:szCs w:val="30"/>
          <w:shd w:val="clear" w:color="auto" w:fill="FFFFFF"/>
          <w:lang w:val="en-US" w:eastAsia="zh-CN"/>
        </w:rPr>
        <w:t>90万元</w:t>
      </w:r>
    </w:p>
    <w:p>
      <w:pPr>
        <w:widowControl/>
        <w:shd w:val="clear" w:color="auto" w:fill="FFFFFF"/>
        <w:spacing w:line="360" w:lineRule="atLeast"/>
        <w:ind w:firstLine="600"/>
        <w:jc w:val="left"/>
        <w:rPr>
          <w:rFonts w:hint="eastAsia" w:ascii="宋体" w:hAnsi="宋体" w:eastAsia="仿宋" w:cs="宋体"/>
          <w:color w:val="000000"/>
          <w:kern w:val="0"/>
          <w:sz w:val="24"/>
          <w:szCs w:val="24"/>
          <w:lang w:val="en-US" w:eastAsia="zh-CN"/>
        </w:rPr>
      </w:pPr>
      <w:r>
        <w:rPr>
          <w:rFonts w:hint="eastAsia" w:ascii="仿宋" w:hAnsi="仿宋" w:eastAsia="仿宋" w:cs="仿宋"/>
          <w:color w:val="000000"/>
          <w:kern w:val="0"/>
          <w:sz w:val="30"/>
          <w:szCs w:val="30"/>
          <w:shd w:val="clear" w:color="auto" w:fill="FFFFFF"/>
        </w:rPr>
        <w:t>（五）交付（服务、完工）时间：</w:t>
      </w:r>
      <w:r>
        <w:rPr>
          <w:rFonts w:hint="eastAsia" w:ascii="仿宋" w:hAnsi="仿宋" w:eastAsia="仿宋" w:cs="仿宋"/>
          <w:color w:val="000000"/>
          <w:kern w:val="0"/>
          <w:sz w:val="30"/>
          <w:szCs w:val="30"/>
          <w:shd w:val="clear" w:color="auto" w:fill="FFFFFF"/>
          <w:lang w:eastAsia="zh-CN"/>
        </w:rPr>
        <w:t>合同签订后</w:t>
      </w:r>
      <w:r>
        <w:rPr>
          <w:rFonts w:hint="eastAsia" w:ascii="仿宋" w:hAnsi="仿宋" w:eastAsia="仿宋" w:cs="仿宋"/>
          <w:color w:val="000000"/>
          <w:kern w:val="0"/>
          <w:sz w:val="30"/>
          <w:szCs w:val="30"/>
          <w:shd w:val="clear" w:color="auto" w:fill="FFFFFF"/>
          <w:lang w:val="en-US" w:eastAsia="zh-CN"/>
        </w:rPr>
        <w:t>180日历天</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（六）交付（服务、施工）地点：许昌经济技术开发区</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w:t>
      </w:r>
      <w:r>
        <w:rPr>
          <w:rFonts w:hint="eastAsia" w:ascii="仿宋" w:hAnsi="仿宋" w:eastAsia="仿宋" w:cs="仿宋"/>
          <w:color w:val="000000"/>
          <w:kern w:val="0"/>
          <w:sz w:val="30"/>
          <w:szCs w:val="30"/>
          <w:shd w:val="clear" w:color="auto" w:fill="FFFFFF"/>
          <w:lang w:eastAsia="zh-CN"/>
        </w:rPr>
        <w:t>七</w:t>
      </w:r>
      <w:r>
        <w:rPr>
          <w:rFonts w:hint="eastAsia" w:ascii="仿宋" w:hAnsi="仿宋" w:eastAsia="仿宋" w:cs="仿宋"/>
          <w:color w:val="000000"/>
          <w:kern w:val="0"/>
          <w:sz w:val="30"/>
          <w:szCs w:val="30"/>
          <w:shd w:val="clear" w:color="auto" w:fill="FFFFFF"/>
        </w:rPr>
        <w:t>）分包：不允许</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本项目落实节能环保</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、中小微型企业扶持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、残疾人福利性单位扶持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三、投标人资格要求</w:t>
      </w:r>
    </w:p>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（一）符合《中华人民共和国政府采购法》第二十二条之规定；</w:t>
      </w:r>
    </w:p>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(二) 同时具有水文、水资源调查评价和建设项目水资源论证乙级及以上资质（含乙级）；</w:t>
      </w:r>
    </w:p>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w:t>
      </w:r>
      <w:r>
        <w:rPr>
          <w:rFonts w:hint="eastAsia" w:ascii="仿宋" w:hAnsi="仿宋" w:eastAsia="仿宋" w:cs="仿宋"/>
          <w:color w:val="000000"/>
          <w:kern w:val="0"/>
          <w:sz w:val="30"/>
          <w:szCs w:val="30"/>
          <w:shd w:val="clear" w:color="auto" w:fill="FFFFFF"/>
          <w:lang w:eastAsia="zh-CN"/>
        </w:rPr>
        <w:t>三</w:t>
      </w:r>
      <w:r>
        <w:rPr>
          <w:rFonts w:hint="eastAsia" w:ascii="仿宋" w:hAnsi="仿宋" w:eastAsia="仿宋" w:cs="仿宋"/>
          <w:color w:val="000000"/>
          <w:kern w:val="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360" w:lineRule="atLeast"/>
        <w:ind w:firstLine="600"/>
        <w:jc w:val="left"/>
        <w:rPr>
          <w:rFonts w:hint="eastAsia" w:ascii="黑体" w:hAnsi="宋体" w:eastAsia="黑体" w:cs="黑体"/>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w:t>
      </w:r>
      <w:r>
        <w:rPr>
          <w:rFonts w:hint="eastAsia" w:ascii="仿宋" w:hAnsi="仿宋" w:eastAsia="仿宋" w:cs="仿宋"/>
          <w:color w:val="000000"/>
          <w:kern w:val="0"/>
          <w:sz w:val="30"/>
          <w:szCs w:val="30"/>
          <w:shd w:val="clear" w:color="auto" w:fill="FFFFFF"/>
          <w:lang w:eastAsia="zh-CN"/>
        </w:rPr>
        <w:t>四</w:t>
      </w:r>
      <w:r>
        <w:rPr>
          <w:rFonts w:hint="eastAsia" w:ascii="仿宋" w:hAnsi="仿宋" w:eastAsia="仿宋" w:cs="仿宋"/>
          <w:color w:val="000000"/>
          <w:kern w:val="0"/>
          <w:sz w:val="30"/>
          <w:szCs w:val="30"/>
          <w:shd w:val="clear" w:color="auto" w:fill="FFFFFF"/>
        </w:rPr>
        <w:t>）本次招标不接受联合体投标。</w:t>
      </w:r>
    </w:p>
    <w:p>
      <w:pPr>
        <w:widowControl/>
        <w:shd w:val="clear" w:color="auto" w:fill="FFFFFF"/>
        <w:spacing w:line="360" w:lineRule="atLeast"/>
        <w:ind w:firstLine="600"/>
        <w:jc w:val="left"/>
        <w:rPr>
          <w:rFonts w:hint="eastAsia" w:ascii="黑体" w:hAnsi="宋体" w:eastAsia="黑体" w:cs="黑体"/>
          <w:color w:val="000000"/>
          <w:kern w:val="0"/>
          <w:sz w:val="30"/>
          <w:szCs w:val="30"/>
          <w:shd w:val="clear" w:color="auto" w:fill="FFFFFF"/>
        </w:rPr>
      </w:pPr>
      <w:r>
        <w:rPr>
          <w:rFonts w:hint="eastAsia" w:ascii="黑体" w:hAnsi="宋体" w:eastAsia="黑体" w:cs="黑体"/>
          <w:color w:val="000000"/>
          <w:kern w:val="0"/>
          <w:sz w:val="30"/>
          <w:szCs w:val="30"/>
          <w:shd w:val="clear" w:color="auto" w:fill="FFFFFF"/>
        </w:rPr>
        <w:t>四、采购需求</w:t>
      </w:r>
    </w:p>
    <w:p>
      <w:pPr>
        <w:widowControl/>
        <w:shd w:val="clear" w:color="auto" w:fill="FFFFFF"/>
        <w:spacing w:line="360" w:lineRule="atLeast"/>
        <w:ind w:firstLine="600"/>
        <w:jc w:val="left"/>
        <w:rPr>
          <w:rFonts w:hint="eastAsia" w:ascii="仿宋" w:hAnsi="仿宋" w:eastAsia="仿宋" w:cs="Arial"/>
          <w:color w:val="1E1C11" w:themeColor="background2" w:themeShade="1A"/>
          <w:sz w:val="28"/>
          <w:szCs w:val="28"/>
        </w:rPr>
      </w:pPr>
      <w:r>
        <w:rPr>
          <w:rFonts w:hint="eastAsia" w:ascii="仿宋" w:hAnsi="仿宋" w:eastAsia="仿宋" w:cs="Arial"/>
          <w:color w:val="1E1C11" w:themeColor="background2" w:themeShade="1A"/>
          <w:sz w:val="28"/>
          <w:szCs w:val="28"/>
        </w:rPr>
        <w:t>水是生命之源、生产之要、生态之基。为贯彻落实党的十八大重要精神，加快推进水生态文明建设和水资源管理工作，水利部于2013年1月印发了《水利部关于加快推进水生态文明建设工作的意见》（水资源[2013]1号），提出把生态文明理念融入到水资源开发、利用、治理、配置、节约、保护的各方面和水利规划、建设、管理的各环节，加快推进水生态文明建设。同时，《国务院关于实行最严格水资源管理制度的意见》（国发[2012]3号）和《水污染防治行动计划》国发〔2015〕17号的相继发布，进一步明确了严格水资源管理、严格环境准入，加强水资源管理工作的重要性。新时期的水资源管理体系，是建立以“三条红线”为核心的用水总量控制制度、用水效率控制制度、水功能区限制纳污制度以及水资源管理的责任与考核制度，即最严格水资源管理制度。为保障新的水资源管理体系的建立，国家提出了要以水资源配置、节约和保护为重点、全面落实“三条红线”的指导思想，同时结合水利发展的实际状况，制定出了全国2015年、2020年和2030年的主要红线控制指标。因此，按照坚持以人为本、统筹兼顾、改革创新、因地制宜的基本原则，做好水资源科学开发利用规划及实施，对促进实现水资源可持续利用、促进区域可持续发展及生态文明建设具有重要意义。</w:t>
      </w:r>
    </w:p>
    <w:p>
      <w:pPr>
        <w:spacing w:line="360" w:lineRule="auto"/>
        <w:ind w:firstLine="560" w:firstLineChars="200"/>
        <w:jc w:val="left"/>
        <w:rPr>
          <w:rFonts w:hint="eastAsia" w:ascii="仿宋" w:hAnsi="仿宋" w:eastAsia="仿宋" w:cs="Arial"/>
          <w:color w:val="1E1C11" w:themeColor="background2" w:themeShade="1A"/>
          <w:sz w:val="28"/>
          <w:szCs w:val="28"/>
        </w:rPr>
      </w:pPr>
      <w:r>
        <w:rPr>
          <w:rFonts w:hint="eastAsia" w:ascii="仿宋" w:hAnsi="仿宋" w:eastAsia="仿宋" w:cs="Arial"/>
          <w:color w:val="1E1C11" w:themeColor="background2" w:themeShade="1A"/>
          <w:sz w:val="28"/>
          <w:szCs w:val="28"/>
        </w:rPr>
        <w:t>科学编制《许昌经济技术开发区水资源综合规划》，将为许昌经济技术开发区水资源可持续利用和管理提供基础数据和规划支撑。在进一步查清许昌经济技术开发区水资源及其开发利用现状、分析和评价水资源承载能力的基础上，结合经济社会可持续发展和生态环境保护对水资源的要求，提出水资源合理开发、优化配置、高效利用、有效保护和综合治理的总体布局及实施方案，作为今后一定时期内水资源开发利用与管理活动的重要依据和准则，促进和保障“人水和谐”发展，以水资源的可持续利用支撑经济社会的可持续发展。</w:t>
      </w:r>
    </w:p>
    <w:p>
      <w:pPr>
        <w:spacing w:line="360" w:lineRule="auto"/>
        <w:ind w:firstLine="560" w:firstLineChars="200"/>
        <w:jc w:val="left"/>
        <w:rPr>
          <w:rFonts w:hint="eastAsia" w:ascii="仿宋" w:hAnsi="仿宋" w:eastAsia="仿宋" w:cs="Arial"/>
          <w:color w:val="1E1C11" w:themeColor="background2" w:themeShade="1A"/>
          <w:sz w:val="28"/>
          <w:szCs w:val="28"/>
        </w:rPr>
      </w:pPr>
      <w:r>
        <w:rPr>
          <w:rFonts w:hint="eastAsia" w:ascii="仿宋" w:hAnsi="仿宋" w:eastAsia="仿宋" w:cs="Arial"/>
          <w:color w:val="1E1C11" w:themeColor="background2" w:themeShade="1A"/>
          <w:sz w:val="28"/>
          <w:szCs w:val="28"/>
        </w:rPr>
        <w:t>本次规划编制内容具体包括：水资源量评价、水资源开发利用现状调查评价、节水规划、需水预测、供水预测、水资源配置、水资源保护，以及水资源利用与保护的管理建议等内容，要求符合《水资源规划规范》（GB/T51051-2014）技术要求，并通过采购方组织的专家评审验收。</w:t>
      </w:r>
    </w:p>
    <w:p>
      <w:pPr>
        <w:adjustRightInd w:val="0"/>
        <w:snapToGrid w:val="0"/>
        <w:spacing w:line="360" w:lineRule="auto"/>
        <w:rPr>
          <w:rFonts w:hint="eastAsia" w:ascii="仿宋" w:hAnsi="仿宋" w:eastAsia="仿宋" w:cs="仿宋"/>
          <w:b/>
          <w:bCs/>
          <w:color w:val="000000"/>
          <w:sz w:val="30"/>
          <w:szCs w:val="30"/>
          <w:shd w:val="clear" w:color="auto" w:fill="FFFFFF"/>
        </w:rPr>
      </w:pPr>
      <w:r>
        <w:rPr>
          <w:rFonts w:hint="eastAsia" w:ascii="仿宋" w:hAnsi="仿宋" w:eastAsia="仿宋" w:cs="仿宋"/>
          <w:b/>
          <w:bCs/>
          <w:color w:val="000000"/>
          <w:sz w:val="30"/>
          <w:szCs w:val="30"/>
          <w:shd w:val="clear" w:color="auto" w:fill="FFFFFF"/>
          <w:lang w:eastAsia="zh-CN"/>
        </w:rPr>
        <w:t>（一）</w:t>
      </w:r>
      <w:r>
        <w:rPr>
          <w:rFonts w:hint="eastAsia" w:ascii="仿宋" w:hAnsi="仿宋" w:eastAsia="仿宋" w:cs="仿宋"/>
          <w:b/>
          <w:bCs/>
          <w:color w:val="000000"/>
          <w:sz w:val="30"/>
          <w:szCs w:val="30"/>
          <w:shd w:val="clear" w:color="auto" w:fill="FFFFFF"/>
        </w:rPr>
        <w:t>采购标的执行标准</w:t>
      </w:r>
    </w:p>
    <w:p>
      <w:pPr>
        <w:adjustRightInd w:val="0"/>
        <w:snapToGrid w:val="0"/>
        <w:spacing w:line="360" w:lineRule="auto"/>
        <w:ind w:firstLine="450" w:firstLineChars="15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1、行业标准：</w:t>
      </w:r>
    </w:p>
    <w:p>
      <w:pPr>
        <w:adjustRightInd w:val="0"/>
        <w:snapToGrid w:val="0"/>
        <w:spacing w:line="360" w:lineRule="auto"/>
        <w:ind w:firstLine="450" w:firstLineChars="15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（1）《水资源规划规范》（GB/T51051-2014）</w:t>
      </w:r>
    </w:p>
    <w:p>
      <w:pPr>
        <w:adjustRightInd w:val="0"/>
        <w:snapToGrid w:val="0"/>
        <w:spacing w:line="360" w:lineRule="auto"/>
        <w:ind w:firstLine="450" w:firstLineChars="15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（2）《全国水资源综合规划技术大纲》（2002年）</w:t>
      </w:r>
    </w:p>
    <w:p>
      <w:pPr>
        <w:adjustRightInd w:val="0"/>
        <w:snapToGrid w:val="0"/>
        <w:spacing w:line="360" w:lineRule="auto"/>
        <w:ind w:firstLine="450" w:firstLineChars="15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（3）《全国水资源综合规划技术细则（试行）》</w:t>
      </w:r>
    </w:p>
    <w:p>
      <w:pPr>
        <w:adjustRightInd w:val="0"/>
        <w:snapToGrid w:val="0"/>
        <w:spacing w:line="360" w:lineRule="auto"/>
        <w:ind w:firstLine="450" w:firstLineChars="15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（4）《河南省水资源调查评价技术细则》</w:t>
      </w:r>
    </w:p>
    <w:p>
      <w:pPr>
        <w:adjustRightInd w:val="0"/>
        <w:snapToGrid w:val="0"/>
        <w:spacing w:line="360" w:lineRule="auto"/>
        <w:ind w:firstLine="450" w:firstLineChars="15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（5）《水资源评价导则》（SL/T238-1999）</w:t>
      </w:r>
    </w:p>
    <w:p>
      <w:pPr>
        <w:adjustRightInd w:val="0"/>
        <w:snapToGrid w:val="0"/>
        <w:spacing w:line="360" w:lineRule="auto"/>
        <w:rPr>
          <w:rFonts w:hint="eastAsia" w:ascii="仿宋" w:hAnsi="仿宋" w:eastAsia="仿宋" w:cs="仿宋"/>
          <w:b/>
          <w:bCs/>
          <w:color w:val="000000"/>
          <w:sz w:val="30"/>
          <w:szCs w:val="30"/>
          <w:shd w:val="clear" w:color="auto" w:fill="FFFFFF"/>
        </w:rPr>
      </w:pPr>
      <w:r>
        <w:rPr>
          <w:rFonts w:hint="eastAsia" w:ascii="仿宋" w:hAnsi="仿宋" w:eastAsia="仿宋" w:cs="仿宋"/>
          <w:b/>
          <w:bCs/>
          <w:color w:val="000000"/>
          <w:sz w:val="30"/>
          <w:szCs w:val="30"/>
          <w:shd w:val="clear" w:color="auto" w:fill="FFFFFF"/>
          <w:lang w:eastAsia="zh-CN"/>
        </w:rPr>
        <w:t>（二）</w:t>
      </w:r>
      <w:r>
        <w:rPr>
          <w:rFonts w:hint="eastAsia" w:ascii="仿宋" w:hAnsi="仿宋" w:eastAsia="仿宋" w:cs="仿宋"/>
          <w:b/>
          <w:bCs/>
          <w:color w:val="000000"/>
          <w:sz w:val="30"/>
          <w:szCs w:val="30"/>
          <w:shd w:val="clear" w:color="auto" w:fill="FFFFFF"/>
        </w:rPr>
        <w:t>服务标准、期限、效率等要求</w:t>
      </w:r>
    </w:p>
    <w:p>
      <w:pPr>
        <w:adjustRightInd w:val="0"/>
        <w:snapToGrid w:val="0"/>
        <w:spacing w:line="360" w:lineRule="auto"/>
        <w:ind w:firstLine="450" w:firstLineChars="15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服务标准：符合《水资源规划规范》（GB/T51051-2014）的技术要求，以及国家、省、市行政主管部门的质量要求，顺利通过专家评审验收。</w:t>
      </w:r>
    </w:p>
    <w:p>
      <w:pPr>
        <w:adjustRightInd w:val="0"/>
        <w:snapToGrid w:val="0"/>
        <w:spacing w:line="360" w:lineRule="auto"/>
        <w:ind w:firstLine="450" w:firstLineChars="15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编制周期：</w:t>
      </w:r>
      <w:r>
        <w:rPr>
          <w:rFonts w:hint="eastAsia" w:ascii="仿宋" w:hAnsi="仿宋" w:eastAsia="仿宋" w:cs="仿宋"/>
          <w:color w:val="000000"/>
          <w:sz w:val="30"/>
          <w:szCs w:val="30"/>
          <w:shd w:val="clear" w:color="auto" w:fill="FFFFFF"/>
          <w:lang w:eastAsia="zh-CN"/>
        </w:rPr>
        <w:t>合同签订后</w:t>
      </w:r>
      <w:r>
        <w:rPr>
          <w:rFonts w:hint="eastAsia" w:ascii="仿宋" w:hAnsi="仿宋" w:eastAsia="仿宋" w:cs="仿宋"/>
          <w:color w:val="000000"/>
          <w:sz w:val="30"/>
          <w:szCs w:val="30"/>
          <w:shd w:val="clear" w:color="auto" w:fill="FFFFFF"/>
        </w:rPr>
        <w:t>180日历天。</w:t>
      </w:r>
    </w:p>
    <w:p>
      <w:pPr>
        <w:adjustRightInd w:val="0"/>
        <w:snapToGrid w:val="0"/>
        <w:spacing w:line="360" w:lineRule="auto"/>
        <w:rPr>
          <w:rFonts w:hint="eastAsia" w:ascii="仿宋" w:hAnsi="仿宋" w:eastAsia="仿宋" w:cs="仿宋"/>
          <w:b/>
          <w:bCs/>
          <w:color w:val="000000"/>
          <w:sz w:val="30"/>
          <w:szCs w:val="30"/>
          <w:shd w:val="clear" w:color="auto" w:fill="FFFFFF"/>
        </w:rPr>
      </w:pPr>
      <w:r>
        <w:rPr>
          <w:rFonts w:hint="eastAsia" w:ascii="仿宋" w:hAnsi="仿宋" w:eastAsia="仿宋" w:cs="仿宋"/>
          <w:b/>
          <w:bCs/>
          <w:color w:val="000000"/>
          <w:sz w:val="30"/>
          <w:szCs w:val="30"/>
          <w:shd w:val="clear" w:color="auto" w:fill="FFFFFF"/>
          <w:lang w:eastAsia="zh-CN"/>
        </w:rPr>
        <w:t>（三）</w:t>
      </w:r>
      <w:r>
        <w:rPr>
          <w:rFonts w:hint="eastAsia" w:ascii="仿宋" w:hAnsi="仿宋" w:eastAsia="仿宋" w:cs="仿宋"/>
          <w:b/>
          <w:bCs/>
          <w:color w:val="000000"/>
          <w:sz w:val="30"/>
          <w:szCs w:val="30"/>
          <w:shd w:val="clear" w:color="auto" w:fill="FFFFFF"/>
        </w:rPr>
        <w:t>采购标的的其他技术、服务等要求</w:t>
      </w:r>
    </w:p>
    <w:p>
      <w:pPr>
        <w:adjustRightInd w:val="0"/>
        <w:snapToGrid w:val="0"/>
        <w:spacing w:line="360" w:lineRule="auto"/>
        <w:ind w:firstLine="450" w:firstLineChars="15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1.项目实施过程中，若国家或省的相关技术要求变化，项目承担人需无条件服从并整改；</w:t>
      </w:r>
    </w:p>
    <w:p>
      <w:pPr>
        <w:adjustRightInd w:val="0"/>
        <w:snapToGrid w:val="0"/>
        <w:spacing w:line="360" w:lineRule="auto"/>
        <w:ind w:firstLine="450" w:firstLineChars="15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2.自验收之日起，至少提供1年的免费服务期。在服务期内，技术服务单位免费为本项目提供售后保障及升级服务；</w:t>
      </w:r>
    </w:p>
    <w:p>
      <w:pPr>
        <w:adjustRightInd w:val="0"/>
        <w:snapToGrid w:val="0"/>
        <w:spacing w:line="360" w:lineRule="auto"/>
        <w:ind w:firstLine="450" w:firstLineChars="15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3.中标单位需编制详细的培训计划，为采购人提供全面、优质的技术培训服务，保证采购人在相关业务中顺利使用各项成果。</w:t>
      </w:r>
    </w:p>
    <w:p>
      <w:pPr>
        <w:adjustRightInd w:val="0"/>
        <w:snapToGrid w:val="0"/>
        <w:spacing w:line="360" w:lineRule="auto"/>
        <w:rPr>
          <w:rFonts w:hint="eastAsia" w:ascii="仿宋" w:hAnsi="仿宋" w:eastAsia="仿宋" w:cs="仿宋"/>
          <w:b/>
          <w:bCs/>
          <w:color w:val="000000"/>
          <w:sz w:val="30"/>
          <w:szCs w:val="30"/>
          <w:shd w:val="clear" w:color="auto" w:fill="FFFFFF"/>
        </w:rPr>
      </w:pPr>
      <w:r>
        <w:rPr>
          <w:rFonts w:hint="eastAsia" w:ascii="仿宋" w:hAnsi="仿宋" w:eastAsia="仿宋" w:cs="仿宋"/>
          <w:b/>
          <w:bCs/>
          <w:color w:val="000000"/>
          <w:sz w:val="30"/>
          <w:szCs w:val="30"/>
          <w:shd w:val="clear" w:color="auto" w:fill="FFFFFF"/>
          <w:lang w:eastAsia="zh-CN"/>
        </w:rPr>
        <w:t>（四）</w:t>
      </w:r>
      <w:r>
        <w:rPr>
          <w:rFonts w:hint="eastAsia" w:ascii="仿宋" w:hAnsi="仿宋" w:eastAsia="仿宋" w:cs="仿宋"/>
          <w:b/>
          <w:bCs/>
          <w:color w:val="000000"/>
          <w:sz w:val="30"/>
          <w:szCs w:val="30"/>
          <w:shd w:val="clear" w:color="auto" w:fill="FFFFFF"/>
        </w:rPr>
        <w:t>验收标准</w:t>
      </w:r>
    </w:p>
    <w:p>
      <w:pPr>
        <w:adjustRightInd w:val="0"/>
        <w:snapToGrid w:val="0"/>
        <w:spacing w:line="360" w:lineRule="auto"/>
        <w:ind w:firstLine="450" w:firstLineChars="15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adjustRightInd w:val="0"/>
        <w:snapToGrid w:val="0"/>
        <w:spacing w:line="360" w:lineRule="auto"/>
        <w:ind w:firstLine="450" w:firstLineChars="15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2、按照招标文件要求、投标文件响应和承诺验收；</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（一）评标方法：最低评标价法□ 综合评分法</w:t>
      </w:r>
      <w:r>
        <w:rPr>
          <w:rFonts w:hint="eastAsia" w:ascii="楷体" w:hAnsi="楷体" w:eastAsia="楷体" w:cs="宋体"/>
          <w:color w:val="000000"/>
          <w:kern w:val="0"/>
          <w:sz w:val="28"/>
          <w:szCs w:val="28"/>
          <w:lang w:val="zh-CN"/>
        </w:rPr>
        <w:t>√</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（二）综合评分法评标标准：</w:t>
      </w:r>
    </w:p>
    <w:tbl>
      <w:tblPr>
        <w:tblStyle w:val="8"/>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015"/>
        <w:gridCol w:w="510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2896" w:type="dxa"/>
            <w:gridSpan w:val="2"/>
            <w:vAlign w:val="center"/>
          </w:tcPr>
          <w:p>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分值构成</w:t>
            </w:r>
          </w:p>
          <w:p>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(总分100分)</w:t>
            </w:r>
          </w:p>
        </w:tc>
        <w:tc>
          <w:tcPr>
            <w:tcW w:w="6070" w:type="dxa"/>
            <w:gridSpan w:val="2"/>
            <w:vAlign w:val="center"/>
          </w:tcPr>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价格分值：</w:t>
            </w:r>
            <w:r>
              <w:rPr>
                <w:rFonts w:hint="eastAsia" w:asciiTheme="minorEastAsia" w:hAnsiTheme="minorEastAsia"/>
                <w:color w:val="auto"/>
                <w:sz w:val="24"/>
                <w:szCs w:val="24"/>
                <w:highlight w:val="none"/>
                <w:u w:val="single"/>
              </w:rPr>
              <w:t xml:space="preserve">    10     </w:t>
            </w:r>
            <w:r>
              <w:rPr>
                <w:rFonts w:hint="eastAsia" w:asciiTheme="minorEastAsia" w:hAnsiTheme="minorEastAsia"/>
                <w:color w:val="auto"/>
                <w:sz w:val="24"/>
                <w:szCs w:val="24"/>
                <w:highlight w:val="none"/>
              </w:rPr>
              <w:t>分</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商务部分：</w:t>
            </w:r>
            <w:r>
              <w:rPr>
                <w:rFonts w:hint="eastAsia" w:asciiTheme="minorEastAsia" w:hAnsiTheme="minorEastAsia"/>
                <w:color w:val="auto"/>
                <w:sz w:val="24"/>
                <w:szCs w:val="24"/>
                <w:highlight w:val="none"/>
                <w:u w:val="single"/>
              </w:rPr>
              <w:t xml:space="preserve">    60     </w:t>
            </w:r>
            <w:r>
              <w:rPr>
                <w:rFonts w:hint="eastAsia" w:asciiTheme="minorEastAsia" w:hAnsiTheme="minorEastAsia"/>
                <w:color w:val="auto"/>
                <w:sz w:val="24"/>
                <w:szCs w:val="24"/>
                <w:highlight w:val="none"/>
              </w:rPr>
              <w:t>分</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技术部分：</w:t>
            </w:r>
            <w:r>
              <w:rPr>
                <w:rFonts w:hint="eastAsia" w:asciiTheme="minorEastAsia" w:hAnsiTheme="minorEastAsia"/>
                <w:color w:val="auto"/>
                <w:sz w:val="24"/>
                <w:szCs w:val="24"/>
                <w:highlight w:val="none"/>
                <w:u w:val="single"/>
              </w:rPr>
              <w:t xml:space="preserve">    30     </w:t>
            </w:r>
            <w:r>
              <w:rPr>
                <w:rFonts w:hint="eastAsia" w:asciiTheme="minorEastAsia" w:hAnsiTheme="minorEastAsia"/>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4"/>
            <w:tcBorders>
              <w:bottom w:val="single" w:color="auto" w:sz="4" w:space="0"/>
            </w:tcBorders>
            <w:vAlign w:val="center"/>
          </w:tcPr>
          <w:p>
            <w:pPr>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价格部分（满分</w:t>
            </w:r>
            <w:r>
              <w:rPr>
                <w:rFonts w:hint="eastAsia" w:asciiTheme="minorEastAsia" w:hAnsiTheme="minorEastAsia"/>
                <w:b/>
                <w:color w:val="auto"/>
                <w:sz w:val="24"/>
                <w:szCs w:val="24"/>
                <w:highlight w:val="none"/>
                <w:u w:val="single"/>
              </w:rPr>
              <w:t xml:space="preserve">  10  </w:t>
            </w:r>
            <w:r>
              <w:rPr>
                <w:rFonts w:hint="eastAsia" w:asciiTheme="minorEastAsia" w:hAnsiTheme="minorEastAsia"/>
                <w:b/>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96" w:type="dxa"/>
            <w:gridSpan w:val="2"/>
            <w:tcBorders>
              <w:top w:val="single" w:color="auto" w:sz="4" w:space="0"/>
            </w:tcBorders>
            <w:vAlign w:val="center"/>
          </w:tcPr>
          <w:p>
            <w:pPr>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评分因素</w:t>
            </w:r>
          </w:p>
        </w:tc>
        <w:tc>
          <w:tcPr>
            <w:tcW w:w="5103" w:type="dxa"/>
            <w:tcBorders>
              <w:top w:val="single" w:color="auto" w:sz="4" w:space="0"/>
            </w:tcBorders>
            <w:vAlign w:val="center"/>
          </w:tcPr>
          <w:p>
            <w:pPr>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评标标准</w:t>
            </w:r>
          </w:p>
        </w:tc>
        <w:tc>
          <w:tcPr>
            <w:tcW w:w="967" w:type="dxa"/>
            <w:tcBorders>
              <w:top w:val="single" w:color="auto" w:sz="4" w:space="0"/>
            </w:tcBorders>
            <w:vAlign w:val="center"/>
          </w:tcPr>
          <w:p>
            <w:pPr>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2896" w:type="dxa"/>
            <w:gridSpan w:val="2"/>
            <w:tcBorders>
              <w:top w:val="single" w:color="auto" w:sz="4" w:space="0"/>
            </w:tcBorders>
            <w:vAlign w:val="center"/>
          </w:tcPr>
          <w:p>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投标报价</w:t>
            </w:r>
          </w:p>
          <w:p>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评分标准</w:t>
            </w:r>
          </w:p>
        </w:tc>
        <w:tc>
          <w:tcPr>
            <w:tcW w:w="5103" w:type="dxa"/>
            <w:tcBorders>
              <w:top w:val="single" w:color="auto" w:sz="4" w:space="0"/>
            </w:tcBorders>
            <w:vAlign w:val="center"/>
          </w:tcPr>
          <w:p>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评标基准价：满足招标文件要求的有效投标报价中，最低的投标报价为评标基准价。</w:t>
            </w:r>
          </w:p>
          <w:p>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投标报价得分=（评标基准价/投标报价）×</w:t>
            </w:r>
            <w:r>
              <w:rPr>
                <w:rFonts w:hint="eastAsia" w:asciiTheme="minorEastAsia" w:hAnsiTheme="minorEastAsia"/>
                <w:color w:val="auto"/>
                <w:sz w:val="24"/>
                <w:szCs w:val="24"/>
                <w:highlight w:val="none"/>
                <w:u w:val="single"/>
              </w:rPr>
              <w:t xml:space="preserve"> 10  </w:t>
            </w:r>
          </w:p>
        </w:tc>
        <w:tc>
          <w:tcPr>
            <w:tcW w:w="967" w:type="dxa"/>
            <w:tcBorders>
              <w:top w:val="single" w:color="auto" w:sz="4" w:space="0"/>
            </w:tcBorders>
            <w:vAlign w:val="center"/>
          </w:tcPr>
          <w:p>
            <w:pPr>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u w:val="single"/>
              </w:rPr>
              <w:t xml:space="preserve"> 10 </w:t>
            </w:r>
            <w:r>
              <w:rPr>
                <w:rFonts w:hint="eastAsia" w:asciiTheme="minorEastAsia" w:hAnsiTheme="minorEastAsia"/>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4"/>
            <w:vAlign w:val="center"/>
          </w:tcPr>
          <w:p>
            <w:pPr>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商务部分（满分</w:t>
            </w:r>
            <w:r>
              <w:rPr>
                <w:rFonts w:hint="eastAsia" w:asciiTheme="minorEastAsia" w:hAnsiTheme="minorEastAsia"/>
                <w:b/>
                <w:color w:val="auto"/>
                <w:sz w:val="24"/>
                <w:szCs w:val="24"/>
                <w:highlight w:val="none"/>
                <w:u w:val="single"/>
              </w:rPr>
              <w:t xml:space="preserve"> 60  </w:t>
            </w:r>
            <w:r>
              <w:rPr>
                <w:rFonts w:hint="eastAsia" w:asciiTheme="minorEastAsia" w:hAnsiTheme="minorEastAsia"/>
                <w:b/>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96" w:type="dxa"/>
            <w:gridSpan w:val="2"/>
            <w:tcBorders>
              <w:bottom w:val="single" w:color="auto" w:sz="4" w:space="0"/>
            </w:tcBorders>
            <w:vAlign w:val="center"/>
          </w:tcPr>
          <w:p>
            <w:pPr>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评分因素</w:t>
            </w:r>
          </w:p>
        </w:tc>
        <w:tc>
          <w:tcPr>
            <w:tcW w:w="5103" w:type="dxa"/>
            <w:vAlign w:val="center"/>
          </w:tcPr>
          <w:p>
            <w:pPr>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评标标准</w:t>
            </w:r>
          </w:p>
        </w:tc>
        <w:tc>
          <w:tcPr>
            <w:tcW w:w="967" w:type="dxa"/>
            <w:vAlign w:val="center"/>
          </w:tcPr>
          <w:p>
            <w:pPr>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1" w:type="dxa"/>
            <w:vMerge w:val="restart"/>
            <w:vAlign w:val="center"/>
          </w:tcPr>
          <w:p>
            <w:pPr>
              <w:spacing w:line="360" w:lineRule="exact"/>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企业综合能力</w:t>
            </w:r>
          </w:p>
          <w:p>
            <w:pPr>
              <w:spacing w:line="360" w:lineRule="exact"/>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（30分）</w:t>
            </w:r>
          </w:p>
        </w:tc>
        <w:tc>
          <w:tcPr>
            <w:tcW w:w="2015" w:type="dxa"/>
            <w:vAlign w:val="center"/>
          </w:tcPr>
          <w:p>
            <w:pPr>
              <w:widowControl/>
              <w:adjustRightInd w:val="0"/>
              <w:snapToGrid w:val="0"/>
              <w:jc w:val="center"/>
              <w:rPr>
                <w:rFonts w:ascii="宋体" w:hAnsi="宋体"/>
                <w:bCs/>
                <w:color w:val="auto"/>
                <w:kern w:val="0"/>
                <w:szCs w:val="21"/>
                <w:highlight w:val="none"/>
              </w:rPr>
            </w:pPr>
            <w:r>
              <w:rPr>
                <w:rFonts w:hint="eastAsia" w:ascii="宋体" w:hAnsi="宋体"/>
                <w:bCs/>
                <w:color w:val="auto"/>
                <w:kern w:val="0"/>
                <w:szCs w:val="21"/>
                <w:highlight w:val="none"/>
              </w:rPr>
              <w:t>企业业绩</w:t>
            </w:r>
          </w:p>
          <w:p>
            <w:pPr>
              <w:widowControl/>
              <w:adjustRightInd w:val="0"/>
              <w:snapToGrid w:val="0"/>
              <w:jc w:val="center"/>
              <w:rPr>
                <w:rFonts w:ascii="宋体" w:hAnsi="宋体"/>
                <w:bCs/>
                <w:color w:val="auto"/>
                <w:kern w:val="0"/>
                <w:szCs w:val="21"/>
                <w:highlight w:val="none"/>
              </w:rPr>
            </w:pPr>
            <w:r>
              <w:rPr>
                <w:rFonts w:hint="eastAsia" w:ascii="宋体" w:hAnsi="宋体"/>
                <w:bCs/>
                <w:color w:val="auto"/>
                <w:kern w:val="0"/>
                <w:szCs w:val="21"/>
                <w:highlight w:val="none"/>
              </w:rPr>
              <w:t>（20分）</w:t>
            </w:r>
          </w:p>
        </w:tc>
        <w:tc>
          <w:tcPr>
            <w:tcW w:w="5103" w:type="dxa"/>
            <w:vAlign w:val="center"/>
          </w:tcPr>
          <w:p>
            <w:pPr>
              <w:widowControl/>
              <w:adjustRightInd w:val="0"/>
              <w:snapToGrid w:val="0"/>
              <w:jc w:val="left"/>
              <w:rPr>
                <w:rFonts w:hint="eastAsia" w:ascii="宋体" w:hAnsi="宋体"/>
                <w:bCs/>
                <w:color w:val="auto"/>
                <w:kern w:val="0"/>
                <w:szCs w:val="21"/>
                <w:highlight w:val="none"/>
              </w:rPr>
            </w:pPr>
            <w:r>
              <w:rPr>
                <w:rFonts w:hint="eastAsia" w:ascii="宋体" w:hAnsi="宋体"/>
                <w:bCs/>
                <w:color w:val="auto"/>
                <w:kern w:val="0"/>
                <w:szCs w:val="21"/>
                <w:highlight w:val="none"/>
              </w:rPr>
              <w:t>2013年以来，以合同签订时间为准，企业承担过类似业绩，每一项业绩得2分，最高可得20分。（</w:t>
            </w:r>
            <w:r>
              <w:rPr>
                <w:rFonts w:hint="eastAsia"/>
                <w:bCs/>
                <w:color w:val="auto"/>
                <w:highlight w:val="none"/>
              </w:rPr>
              <w:t>以中标通知书、合同和网站下载的中标公示为准，未提供的或提供不全的不计分</w:t>
            </w:r>
            <w:r>
              <w:rPr>
                <w:rFonts w:hint="eastAsia" w:ascii="宋体" w:hAnsi="宋体"/>
                <w:bCs/>
                <w:color w:val="auto"/>
                <w:kern w:val="0"/>
                <w:szCs w:val="21"/>
                <w:highlight w:val="none"/>
              </w:rPr>
              <w:t>）。</w:t>
            </w:r>
          </w:p>
          <w:p>
            <w:pPr>
              <w:widowControl/>
              <w:adjustRightInd w:val="0"/>
              <w:snapToGrid w:val="0"/>
              <w:jc w:val="left"/>
              <w:rPr>
                <w:rFonts w:hint="eastAsia" w:ascii="宋体" w:hAnsi="宋体" w:eastAsiaTheme="minorEastAsia"/>
                <w:bCs/>
                <w:color w:val="auto"/>
                <w:kern w:val="0"/>
                <w:szCs w:val="21"/>
                <w:highlight w:val="none"/>
                <w:lang w:eastAsia="zh-CN"/>
              </w:rPr>
            </w:pPr>
            <w:r>
              <w:rPr>
                <w:rFonts w:hint="eastAsia" w:ascii="宋体" w:hAnsi="宋体"/>
                <w:bCs/>
                <w:color w:val="auto"/>
                <w:kern w:val="0"/>
                <w:szCs w:val="21"/>
                <w:highlight w:val="none"/>
                <w:lang w:eastAsia="zh-CN"/>
              </w:rPr>
              <w:t>类似业绩指</w:t>
            </w:r>
            <w:r>
              <w:rPr>
                <w:rFonts w:hint="eastAsia" w:ascii="宋体" w:hAnsi="宋体"/>
                <w:bCs/>
                <w:color w:val="auto"/>
                <w:kern w:val="0"/>
                <w:szCs w:val="21"/>
                <w:highlight w:val="none"/>
              </w:rPr>
              <w:t>水资源调查评价或水资源综合规划或者水资源保护规划或流域生态流量试点方案等</w:t>
            </w:r>
            <w:r>
              <w:rPr>
                <w:rFonts w:hint="eastAsia" w:ascii="宋体" w:hAnsi="宋体"/>
                <w:bCs/>
                <w:color w:val="auto"/>
                <w:kern w:val="0"/>
                <w:szCs w:val="21"/>
                <w:highlight w:val="none"/>
                <w:lang w:eastAsia="zh-CN"/>
              </w:rPr>
              <w:t>。</w:t>
            </w:r>
          </w:p>
        </w:tc>
        <w:tc>
          <w:tcPr>
            <w:tcW w:w="967"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1" w:type="dxa"/>
            <w:vMerge w:val="continue"/>
            <w:vAlign w:val="center"/>
          </w:tcPr>
          <w:p>
            <w:pPr>
              <w:spacing w:line="360" w:lineRule="exact"/>
              <w:jc w:val="center"/>
              <w:rPr>
                <w:rFonts w:ascii="仿宋" w:hAnsi="仿宋" w:eastAsia="仿宋"/>
                <w:color w:val="auto"/>
                <w:sz w:val="28"/>
                <w:szCs w:val="28"/>
                <w:highlight w:val="none"/>
              </w:rPr>
            </w:pPr>
          </w:p>
        </w:tc>
        <w:tc>
          <w:tcPr>
            <w:tcW w:w="2015" w:type="dxa"/>
            <w:vAlign w:val="center"/>
          </w:tcPr>
          <w:p>
            <w:pPr>
              <w:widowControl/>
              <w:adjustRightInd w:val="0"/>
              <w:snapToGrid w:val="0"/>
              <w:jc w:val="center"/>
              <w:rPr>
                <w:rFonts w:ascii="宋体" w:hAnsi="宋体"/>
                <w:bCs/>
                <w:color w:val="auto"/>
                <w:kern w:val="0"/>
                <w:szCs w:val="21"/>
                <w:highlight w:val="none"/>
              </w:rPr>
            </w:pPr>
            <w:r>
              <w:rPr>
                <w:rFonts w:hint="eastAsia" w:ascii="宋体" w:hAnsi="宋体"/>
                <w:bCs/>
                <w:color w:val="auto"/>
                <w:kern w:val="0"/>
                <w:szCs w:val="21"/>
                <w:highlight w:val="none"/>
              </w:rPr>
              <w:t>获奖情况</w:t>
            </w:r>
          </w:p>
          <w:p>
            <w:pPr>
              <w:widowControl/>
              <w:adjustRightInd w:val="0"/>
              <w:snapToGrid w:val="0"/>
              <w:jc w:val="center"/>
              <w:rPr>
                <w:rFonts w:ascii="宋体" w:hAnsi="宋体"/>
                <w:bCs/>
                <w:color w:val="auto"/>
                <w:kern w:val="0"/>
                <w:szCs w:val="21"/>
                <w:highlight w:val="none"/>
              </w:rPr>
            </w:pPr>
            <w:r>
              <w:rPr>
                <w:rFonts w:hint="eastAsia" w:ascii="宋体" w:hAnsi="宋体"/>
                <w:bCs/>
                <w:color w:val="auto"/>
                <w:kern w:val="0"/>
                <w:szCs w:val="21"/>
                <w:highlight w:val="none"/>
              </w:rPr>
              <w:t>（10分）</w:t>
            </w:r>
          </w:p>
        </w:tc>
        <w:tc>
          <w:tcPr>
            <w:tcW w:w="5103" w:type="dxa"/>
            <w:vAlign w:val="center"/>
          </w:tcPr>
          <w:p>
            <w:pPr>
              <w:widowControl/>
              <w:adjustRightInd w:val="0"/>
              <w:snapToGrid w:val="0"/>
              <w:jc w:val="left"/>
              <w:rPr>
                <w:rFonts w:ascii="宋体" w:hAnsi="宋体"/>
                <w:bCs/>
                <w:color w:val="auto"/>
                <w:kern w:val="0"/>
                <w:szCs w:val="21"/>
                <w:highlight w:val="none"/>
              </w:rPr>
            </w:pPr>
            <w:r>
              <w:rPr>
                <w:rFonts w:hint="eastAsia" w:ascii="宋体" w:hAnsi="宋体"/>
                <w:bCs/>
                <w:color w:val="auto"/>
                <w:kern w:val="0"/>
                <w:szCs w:val="21"/>
                <w:highlight w:val="none"/>
              </w:rPr>
              <w:t>2013年以来获得水资源类省部级科技进步（或者规划类）奖一等得4分、二等得3分、三等得2分；最高可得</w:t>
            </w:r>
            <w:r>
              <w:rPr>
                <w:rFonts w:hint="eastAsia" w:ascii="宋体" w:hAnsi="宋体"/>
                <w:bCs/>
                <w:color w:val="auto"/>
                <w:kern w:val="0"/>
                <w:szCs w:val="21"/>
                <w:highlight w:val="none"/>
                <w:lang w:val="en-US" w:eastAsia="zh-CN"/>
              </w:rPr>
              <w:t>10</w:t>
            </w:r>
            <w:r>
              <w:rPr>
                <w:rFonts w:hint="eastAsia" w:ascii="宋体" w:hAnsi="宋体"/>
                <w:bCs/>
                <w:color w:val="auto"/>
                <w:kern w:val="0"/>
                <w:szCs w:val="21"/>
                <w:highlight w:val="none"/>
              </w:rPr>
              <w:t>分。（以</w:t>
            </w:r>
            <w:r>
              <w:rPr>
                <w:rFonts w:hint="eastAsia" w:ascii="宋体" w:hAnsi="宋体"/>
                <w:bCs/>
                <w:color w:val="auto"/>
                <w:kern w:val="0"/>
                <w:szCs w:val="21"/>
                <w:highlight w:val="none"/>
                <w:lang w:eastAsia="zh-CN"/>
              </w:rPr>
              <w:t>获奖证书</w:t>
            </w:r>
            <w:r>
              <w:rPr>
                <w:rFonts w:hint="eastAsia" w:ascii="宋体" w:hAnsi="宋体"/>
                <w:bCs/>
                <w:color w:val="auto"/>
                <w:kern w:val="0"/>
                <w:szCs w:val="21"/>
                <w:highlight w:val="none"/>
              </w:rPr>
              <w:t>为准</w:t>
            </w:r>
            <w:r>
              <w:rPr>
                <w:rFonts w:hint="eastAsia" w:ascii="宋体" w:hAnsi="宋体"/>
                <w:bCs/>
                <w:color w:val="auto"/>
                <w:kern w:val="0"/>
                <w:szCs w:val="21"/>
                <w:highlight w:val="none"/>
                <w:lang w:eastAsia="zh-CN"/>
              </w:rPr>
              <w:t>，未提供或提供不全的不计分</w:t>
            </w:r>
            <w:r>
              <w:rPr>
                <w:rFonts w:hint="eastAsia" w:ascii="宋体" w:hAnsi="宋体"/>
                <w:bCs/>
                <w:color w:val="auto"/>
                <w:kern w:val="0"/>
                <w:szCs w:val="21"/>
                <w:highlight w:val="none"/>
              </w:rPr>
              <w:t>）</w:t>
            </w:r>
          </w:p>
        </w:tc>
        <w:tc>
          <w:tcPr>
            <w:tcW w:w="967"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10</w:t>
            </w:r>
            <w:r>
              <w:rPr>
                <w:rFonts w:hint="eastAsia" w:ascii="仿宋" w:hAnsi="仿宋" w:eastAsia="仿宋"/>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1" w:type="dxa"/>
            <w:vMerge w:val="restart"/>
            <w:vAlign w:val="center"/>
          </w:tcPr>
          <w:p>
            <w:pPr>
              <w:adjustRightInd w:val="0"/>
              <w:snapToGrid w:val="0"/>
              <w:jc w:val="center"/>
              <w:rPr>
                <w:rFonts w:ascii="宋体" w:hAnsi="宋体"/>
                <w:bCs/>
                <w:color w:val="auto"/>
                <w:kern w:val="0"/>
                <w:szCs w:val="21"/>
                <w:highlight w:val="none"/>
              </w:rPr>
            </w:pPr>
            <w:r>
              <w:rPr>
                <w:rFonts w:hint="eastAsia" w:ascii="宋体" w:hAnsi="宋体"/>
                <w:bCs/>
                <w:color w:val="auto"/>
                <w:kern w:val="0"/>
                <w:szCs w:val="21"/>
                <w:highlight w:val="none"/>
              </w:rPr>
              <w:t>项目负责人的资历、能力和业绩等</w:t>
            </w:r>
          </w:p>
          <w:p>
            <w:pPr>
              <w:adjustRightInd w:val="0"/>
              <w:snapToGrid w:val="0"/>
              <w:jc w:val="center"/>
              <w:rPr>
                <w:rFonts w:ascii="宋体" w:hAnsi="宋体"/>
                <w:bCs/>
                <w:color w:val="auto"/>
                <w:kern w:val="0"/>
                <w:szCs w:val="21"/>
                <w:highlight w:val="none"/>
              </w:rPr>
            </w:pPr>
            <w:r>
              <w:rPr>
                <w:rFonts w:hint="eastAsia" w:ascii="宋体" w:hAnsi="宋体"/>
                <w:bCs/>
                <w:color w:val="auto"/>
                <w:kern w:val="0"/>
                <w:szCs w:val="21"/>
                <w:highlight w:val="none"/>
              </w:rPr>
              <w:t>（20分）</w:t>
            </w:r>
          </w:p>
        </w:tc>
        <w:tc>
          <w:tcPr>
            <w:tcW w:w="2015" w:type="dxa"/>
            <w:vAlign w:val="center"/>
          </w:tcPr>
          <w:p>
            <w:pPr>
              <w:widowControl/>
              <w:adjustRightInd w:val="0"/>
              <w:snapToGrid w:val="0"/>
              <w:jc w:val="center"/>
              <w:rPr>
                <w:rFonts w:ascii="宋体" w:hAnsi="宋体"/>
                <w:bCs/>
                <w:color w:val="auto"/>
                <w:kern w:val="0"/>
                <w:szCs w:val="21"/>
                <w:highlight w:val="none"/>
              </w:rPr>
            </w:pPr>
            <w:r>
              <w:rPr>
                <w:rFonts w:hint="eastAsia" w:ascii="宋体" w:hAnsi="宋体"/>
                <w:bCs/>
                <w:color w:val="auto"/>
                <w:kern w:val="0"/>
                <w:szCs w:val="21"/>
                <w:highlight w:val="none"/>
              </w:rPr>
              <w:t>项目负责人获奖情况（8分）</w:t>
            </w:r>
          </w:p>
        </w:tc>
        <w:tc>
          <w:tcPr>
            <w:tcW w:w="5103" w:type="dxa"/>
            <w:vAlign w:val="center"/>
          </w:tcPr>
          <w:p>
            <w:pPr>
              <w:widowControl/>
              <w:adjustRightInd w:val="0"/>
              <w:snapToGrid w:val="0"/>
              <w:jc w:val="left"/>
              <w:rPr>
                <w:rFonts w:hint="eastAsia" w:ascii="宋体" w:hAnsi="宋体"/>
                <w:bCs/>
                <w:color w:val="auto"/>
                <w:kern w:val="0"/>
                <w:szCs w:val="21"/>
                <w:highlight w:val="none"/>
              </w:rPr>
            </w:pPr>
            <w:r>
              <w:rPr>
                <w:rFonts w:hint="eastAsia" w:ascii="宋体" w:hAnsi="宋体"/>
                <w:bCs/>
                <w:color w:val="auto"/>
                <w:kern w:val="0"/>
                <w:szCs w:val="21"/>
                <w:highlight w:val="none"/>
              </w:rPr>
              <w:t>项目负责人类似业绩获得省部级奖项的,每一项得2分，最多得8分。</w:t>
            </w:r>
          </w:p>
          <w:p>
            <w:pPr>
              <w:widowControl/>
              <w:adjustRightInd w:val="0"/>
              <w:snapToGrid w:val="0"/>
              <w:jc w:val="left"/>
              <w:rPr>
                <w:rFonts w:hint="eastAsia" w:ascii="宋体" w:hAnsi="宋体" w:eastAsiaTheme="minorEastAsia"/>
                <w:bCs/>
                <w:color w:val="auto"/>
                <w:kern w:val="0"/>
                <w:szCs w:val="21"/>
                <w:highlight w:val="none"/>
                <w:lang w:eastAsia="zh-CN"/>
              </w:rPr>
            </w:pPr>
            <w:r>
              <w:rPr>
                <w:rFonts w:hint="eastAsia" w:ascii="宋体" w:hAnsi="宋体"/>
                <w:bCs/>
                <w:color w:val="auto"/>
                <w:kern w:val="0"/>
                <w:szCs w:val="21"/>
                <w:highlight w:val="none"/>
                <w:lang w:eastAsia="zh-CN"/>
              </w:rPr>
              <w:t>类似业绩指</w:t>
            </w:r>
            <w:r>
              <w:rPr>
                <w:rFonts w:hint="eastAsia" w:ascii="宋体" w:hAnsi="宋体"/>
                <w:bCs/>
                <w:color w:val="auto"/>
                <w:kern w:val="0"/>
                <w:szCs w:val="21"/>
                <w:highlight w:val="none"/>
              </w:rPr>
              <w:t>水资源调查评价或水资源综合规划或者水资源保护规划或流域生态流量试点方案等</w:t>
            </w:r>
            <w:r>
              <w:rPr>
                <w:rFonts w:hint="eastAsia" w:ascii="宋体" w:hAnsi="宋体"/>
                <w:bCs/>
                <w:color w:val="auto"/>
                <w:kern w:val="0"/>
                <w:szCs w:val="21"/>
                <w:highlight w:val="none"/>
                <w:lang w:eastAsia="zh-CN"/>
              </w:rPr>
              <w:t>。</w:t>
            </w:r>
          </w:p>
        </w:tc>
        <w:tc>
          <w:tcPr>
            <w:tcW w:w="967" w:type="dxa"/>
            <w:vAlign w:val="center"/>
          </w:tcPr>
          <w:p>
            <w:pPr>
              <w:jc w:val="center"/>
              <w:rPr>
                <w:rFonts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1" w:type="dxa"/>
            <w:vMerge w:val="continue"/>
            <w:vAlign w:val="center"/>
          </w:tcPr>
          <w:p>
            <w:pPr>
              <w:spacing w:line="360" w:lineRule="exact"/>
              <w:jc w:val="center"/>
              <w:rPr>
                <w:rFonts w:ascii="仿宋" w:hAnsi="仿宋" w:eastAsia="仿宋"/>
                <w:color w:val="auto"/>
                <w:sz w:val="28"/>
                <w:szCs w:val="28"/>
                <w:highlight w:val="none"/>
              </w:rPr>
            </w:pPr>
          </w:p>
        </w:tc>
        <w:tc>
          <w:tcPr>
            <w:tcW w:w="2015" w:type="dxa"/>
            <w:vAlign w:val="center"/>
          </w:tcPr>
          <w:p>
            <w:pPr>
              <w:widowControl/>
              <w:adjustRightInd w:val="0"/>
              <w:snapToGrid w:val="0"/>
              <w:jc w:val="center"/>
              <w:rPr>
                <w:rFonts w:ascii="宋体" w:hAnsi="宋体"/>
                <w:bCs/>
                <w:color w:val="auto"/>
                <w:kern w:val="0"/>
                <w:szCs w:val="21"/>
                <w:highlight w:val="none"/>
              </w:rPr>
            </w:pPr>
            <w:r>
              <w:rPr>
                <w:rFonts w:hint="eastAsia" w:ascii="宋体" w:hAnsi="宋体"/>
                <w:bCs/>
                <w:color w:val="auto"/>
                <w:kern w:val="0"/>
                <w:szCs w:val="21"/>
                <w:highlight w:val="none"/>
              </w:rPr>
              <w:t>项目负责人业绩（12分）</w:t>
            </w:r>
          </w:p>
        </w:tc>
        <w:tc>
          <w:tcPr>
            <w:tcW w:w="5103" w:type="dxa"/>
            <w:vAlign w:val="center"/>
          </w:tcPr>
          <w:p>
            <w:pPr>
              <w:widowControl/>
              <w:adjustRightInd w:val="0"/>
              <w:snapToGrid w:val="0"/>
              <w:jc w:val="left"/>
              <w:rPr>
                <w:rFonts w:ascii="宋体" w:hAnsi="宋体"/>
                <w:bCs/>
                <w:color w:val="auto"/>
                <w:kern w:val="0"/>
                <w:szCs w:val="21"/>
                <w:highlight w:val="none"/>
              </w:rPr>
            </w:pPr>
            <w:r>
              <w:rPr>
                <w:rFonts w:hint="eastAsia" w:ascii="宋体" w:hAnsi="宋体"/>
                <w:bCs/>
                <w:color w:val="auto"/>
                <w:kern w:val="0"/>
                <w:szCs w:val="21"/>
                <w:highlight w:val="none"/>
              </w:rPr>
              <w:t>2013年以来，以合同签订时间为准，拟投入的项目负责人每负责以上企业业绩中的一个得2分，最多得12分。（</w:t>
            </w:r>
            <w:r>
              <w:rPr>
                <w:rFonts w:hint="eastAsia"/>
                <w:bCs/>
                <w:color w:val="auto"/>
                <w:highlight w:val="none"/>
              </w:rPr>
              <w:t>以中标通知书显示的项目负责人为准，未提供的或提供不全的不计分</w:t>
            </w:r>
            <w:r>
              <w:rPr>
                <w:rFonts w:hint="eastAsia" w:ascii="宋体" w:hAnsi="宋体"/>
                <w:bCs/>
                <w:color w:val="auto"/>
                <w:kern w:val="0"/>
                <w:szCs w:val="21"/>
                <w:highlight w:val="none"/>
              </w:rPr>
              <w:t>）。</w:t>
            </w:r>
          </w:p>
        </w:tc>
        <w:tc>
          <w:tcPr>
            <w:tcW w:w="967" w:type="dxa"/>
            <w:vAlign w:val="center"/>
          </w:tcPr>
          <w:p>
            <w:pPr>
              <w:jc w:val="center"/>
              <w:rPr>
                <w:rFonts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1" w:type="dxa"/>
            <w:vAlign w:val="center"/>
          </w:tcPr>
          <w:p>
            <w:pPr>
              <w:widowControl/>
              <w:adjustRightInd w:val="0"/>
              <w:snapToGrid w:val="0"/>
              <w:jc w:val="center"/>
              <w:rPr>
                <w:rFonts w:ascii="宋体" w:hAnsi="宋体"/>
                <w:bCs/>
                <w:color w:val="auto"/>
                <w:kern w:val="0"/>
                <w:szCs w:val="21"/>
                <w:highlight w:val="none"/>
              </w:rPr>
            </w:pPr>
            <w:r>
              <w:rPr>
                <w:rFonts w:hint="eastAsia" w:ascii="宋体" w:hAnsi="宋体"/>
                <w:bCs/>
                <w:color w:val="auto"/>
                <w:kern w:val="0"/>
                <w:szCs w:val="21"/>
                <w:highlight w:val="none"/>
              </w:rPr>
              <w:t>规划编制组的各专业人员配备（10分）</w:t>
            </w:r>
          </w:p>
        </w:tc>
        <w:tc>
          <w:tcPr>
            <w:tcW w:w="2015" w:type="dxa"/>
            <w:vAlign w:val="center"/>
          </w:tcPr>
          <w:p>
            <w:pPr>
              <w:widowControl/>
              <w:adjustRightInd w:val="0"/>
              <w:snapToGrid w:val="0"/>
              <w:jc w:val="center"/>
              <w:rPr>
                <w:rFonts w:ascii="宋体" w:hAnsi="宋体"/>
                <w:bCs/>
                <w:color w:val="auto"/>
                <w:kern w:val="0"/>
                <w:szCs w:val="21"/>
                <w:highlight w:val="none"/>
              </w:rPr>
            </w:pPr>
            <w:r>
              <w:rPr>
                <w:rFonts w:hint="eastAsia" w:ascii="宋体" w:hAnsi="宋体"/>
                <w:bCs/>
                <w:color w:val="auto"/>
                <w:kern w:val="0"/>
                <w:szCs w:val="21"/>
                <w:highlight w:val="none"/>
              </w:rPr>
              <w:t>项目部人员</w:t>
            </w:r>
          </w:p>
          <w:p>
            <w:pPr>
              <w:widowControl/>
              <w:adjustRightInd w:val="0"/>
              <w:snapToGrid w:val="0"/>
              <w:jc w:val="center"/>
              <w:rPr>
                <w:rFonts w:ascii="宋体" w:hAnsi="宋体"/>
                <w:bCs/>
                <w:color w:val="auto"/>
                <w:kern w:val="0"/>
                <w:szCs w:val="21"/>
                <w:highlight w:val="none"/>
              </w:rPr>
            </w:pPr>
            <w:r>
              <w:rPr>
                <w:rFonts w:hint="eastAsia" w:ascii="宋体" w:hAnsi="宋体"/>
                <w:bCs/>
                <w:color w:val="auto"/>
                <w:kern w:val="0"/>
                <w:szCs w:val="21"/>
                <w:highlight w:val="none"/>
              </w:rPr>
              <w:t>构成及配备</w:t>
            </w:r>
          </w:p>
          <w:p>
            <w:pPr>
              <w:widowControl/>
              <w:adjustRightInd w:val="0"/>
              <w:snapToGrid w:val="0"/>
              <w:jc w:val="center"/>
              <w:rPr>
                <w:rFonts w:ascii="宋体" w:hAnsi="宋体"/>
                <w:bCs/>
                <w:color w:val="auto"/>
                <w:kern w:val="0"/>
                <w:szCs w:val="21"/>
                <w:highlight w:val="none"/>
              </w:rPr>
            </w:pPr>
            <w:r>
              <w:rPr>
                <w:rFonts w:hint="eastAsia" w:ascii="宋体" w:hAnsi="宋体"/>
                <w:bCs/>
                <w:color w:val="auto"/>
                <w:kern w:val="0"/>
                <w:szCs w:val="21"/>
                <w:highlight w:val="none"/>
              </w:rPr>
              <w:t>（10分）</w:t>
            </w:r>
          </w:p>
        </w:tc>
        <w:tc>
          <w:tcPr>
            <w:tcW w:w="5103" w:type="dxa"/>
            <w:vAlign w:val="center"/>
          </w:tcPr>
          <w:p>
            <w:pPr>
              <w:widowControl/>
              <w:adjustRightInd w:val="0"/>
              <w:snapToGrid w:val="0"/>
              <w:jc w:val="left"/>
              <w:rPr>
                <w:rFonts w:ascii="宋体" w:hAnsi="宋体"/>
                <w:bCs/>
                <w:color w:val="auto"/>
                <w:kern w:val="0"/>
                <w:szCs w:val="21"/>
                <w:highlight w:val="none"/>
              </w:rPr>
            </w:pPr>
            <w:r>
              <w:rPr>
                <w:rFonts w:hint="eastAsia" w:ascii="宋体" w:hAnsi="宋体"/>
                <w:bCs/>
                <w:color w:val="auto"/>
                <w:kern w:val="0"/>
                <w:szCs w:val="21"/>
                <w:highlight w:val="none"/>
              </w:rPr>
              <w:t>项目部人员配备具有水利类专业高级技术职称的（不含项目负责人），每有</w:t>
            </w:r>
            <w:r>
              <w:rPr>
                <w:rFonts w:ascii="宋体" w:hAnsi="宋体"/>
                <w:bCs/>
                <w:color w:val="auto"/>
                <w:kern w:val="0"/>
                <w:szCs w:val="21"/>
                <w:highlight w:val="none"/>
              </w:rPr>
              <w:t>1</w:t>
            </w:r>
            <w:r>
              <w:rPr>
                <w:rFonts w:hint="eastAsia" w:ascii="宋体" w:hAnsi="宋体"/>
                <w:bCs/>
                <w:color w:val="auto"/>
                <w:kern w:val="0"/>
                <w:szCs w:val="21"/>
                <w:highlight w:val="none"/>
              </w:rPr>
              <w:t>人加2分，最多加</w:t>
            </w:r>
            <w:r>
              <w:rPr>
                <w:rFonts w:hint="eastAsia" w:ascii="宋体" w:hAnsi="宋体"/>
                <w:bCs/>
                <w:color w:val="auto"/>
                <w:kern w:val="0"/>
                <w:szCs w:val="21"/>
                <w:highlight w:val="none"/>
                <w:lang w:val="en-US" w:eastAsia="zh-CN"/>
              </w:rPr>
              <w:t>10</w:t>
            </w:r>
            <w:r>
              <w:rPr>
                <w:rFonts w:hint="eastAsia" w:ascii="宋体" w:hAnsi="宋体"/>
                <w:bCs/>
                <w:color w:val="auto"/>
                <w:kern w:val="0"/>
                <w:szCs w:val="21"/>
                <w:highlight w:val="none"/>
              </w:rPr>
              <w:t>分，没有不得分。职称证书工作单位与投标单位名称一致，如不一致提供社保证明。</w:t>
            </w:r>
          </w:p>
        </w:tc>
        <w:tc>
          <w:tcPr>
            <w:tcW w:w="967" w:type="dxa"/>
            <w:vAlign w:val="center"/>
          </w:tcPr>
          <w:p>
            <w:pPr>
              <w:jc w:val="center"/>
              <w:rPr>
                <w:rFonts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4"/>
            <w:vAlign w:val="center"/>
          </w:tcPr>
          <w:p>
            <w:pPr>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技术部分（满分</w:t>
            </w:r>
            <w:r>
              <w:rPr>
                <w:rFonts w:hint="eastAsia" w:asciiTheme="minorEastAsia" w:hAnsiTheme="minorEastAsia"/>
                <w:b/>
                <w:color w:val="auto"/>
                <w:sz w:val="24"/>
                <w:szCs w:val="24"/>
                <w:highlight w:val="none"/>
                <w:u w:val="single"/>
              </w:rPr>
              <w:t xml:space="preserve"> 30 </w:t>
            </w:r>
            <w:r>
              <w:rPr>
                <w:rFonts w:hint="eastAsia" w:asciiTheme="minorEastAsia" w:hAnsiTheme="minorEastAsia"/>
                <w:b/>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96" w:type="dxa"/>
            <w:gridSpan w:val="2"/>
            <w:vAlign w:val="center"/>
          </w:tcPr>
          <w:p>
            <w:pPr>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评分因素</w:t>
            </w:r>
          </w:p>
        </w:tc>
        <w:tc>
          <w:tcPr>
            <w:tcW w:w="5103" w:type="dxa"/>
            <w:vAlign w:val="center"/>
          </w:tcPr>
          <w:p>
            <w:pPr>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评标标准</w:t>
            </w:r>
          </w:p>
        </w:tc>
        <w:tc>
          <w:tcPr>
            <w:tcW w:w="967" w:type="dxa"/>
            <w:vAlign w:val="center"/>
          </w:tcPr>
          <w:p>
            <w:pPr>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96" w:type="dxa"/>
            <w:gridSpan w:val="2"/>
            <w:vAlign w:val="center"/>
          </w:tcPr>
          <w:p>
            <w:pPr>
              <w:widowControl/>
              <w:adjustRightInd w:val="0"/>
              <w:snapToGrid w:val="0"/>
              <w:jc w:val="center"/>
              <w:rPr>
                <w:rFonts w:ascii="宋体" w:hAnsi="宋体"/>
                <w:bCs/>
                <w:color w:val="auto"/>
                <w:kern w:val="0"/>
                <w:szCs w:val="21"/>
                <w:highlight w:val="none"/>
              </w:rPr>
            </w:pPr>
            <w:r>
              <w:rPr>
                <w:rFonts w:hint="eastAsia" w:ascii="宋体" w:hAnsi="宋体"/>
                <w:bCs/>
                <w:color w:val="auto"/>
                <w:kern w:val="0"/>
                <w:szCs w:val="21"/>
                <w:highlight w:val="none"/>
              </w:rPr>
              <w:t>规划方案（15分）</w:t>
            </w:r>
          </w:p>
        </w:tc>
        <w:tc>
          <w:tcPr>
            <w:tcW w:w="5103" w:type="dxa"/>
            <w:vAlign w:val="center"/>
          </w:tcPr>
          <w:p>
            <w:pPr>
              <w:numPr>
                <w:ilvl w:val="0"/>
                <w:numId w:val="1"/>
              </w:numPr>
              <w:spacing w:line="360" w:lineRule="exact"/>
              <w:rPr>
                <w:rFonts w:hint="eastAsia" w:ascii="宋体" w:hAnsi="宋体"/>
                <w:bCs/>
                <w:color w:val="auto"/>
                <w:kern w:val="0"/>
                <w:szCs w:val="21"/>
                <w:highlight w:val="none"/>
              </w:rPr>
            </w:pPr>
            <w:r>
              <w:rPr>
                <w:rFonts w:hint="eastAsia" w:ascii="宋体" w:hAnsi="宋体"/>
                <w:bCs/>
                <w:color w:val="auto"/>
                <w:kern w:val="0"/>
                <w:szCs w:val="21"/>
                <w:highlight w:val="none"/>
              </w:rPr>
              <w:t>对项目规划的理解、以及规划编制的整体思路符合项目本质内容</w:t>
            </w:r>
            <w:r>
              <w:rPr>
                <w:rFonts w:hint="eastAsia" w:ascii="宋体" w:hAnsi="宋体"/>
                <w:bCs/>
                <w:color w:val="auto"/>
                <w:kern w:val="0"/>
                <w:szCs w:val="21"/>
                <w:highlight w:val="none"/>
                <w:lang w:eastAsia="zh-CN"/>
              </w:rPr>
              <w:t>且提供具体方案</w:t>
            </w:r>
            <w:r>
              <w:rPr>
                <w:rFonts w:hint="eastAsia" w:ascii="宋体" w:hAnsi="宋体"/>
                <w:bCs/>
                <w:color w:val="auto"/>
                <w:kern w:val="0"/>
                <w:szCs w:val="21"/>
                <w:highlight w:val="none"/>
              </w:rPr>
              <w:t>的得</w:t>
            </w:r>
            <w:r>
              <w:rPr>
                <w:rFonts w:hint="eastAsia" w:ascii="宋体" w:hAnsi="宋体"/>
                <w:bCs/>
                <w:color w:val="auto"/>
                <w:kern w:val="0"/>
                <w:szCs w:val="21"/>
                <w:highlight w:val="none"/>
                <w:lang w:val="en-US" w:eastAsia="zh-CN"/>
              </w:rPr>
              <w:t>6</w:t>
            </w:r>
            <w:r>
              <w:rPr>
                <w:rFonts w:hint="eastAsia" w:ascii="宋体" w:hAnsi="宋体"/>
                <w:bCs/>
                <w:color w:val="auto"/>
                <w:kern w:val="0"/>
                <w:szCs w:val="21"/>
                <w:highlight w:val="none"/>
              </w:rPr>
              <w:t>分</w:t>
            </w:r>
            <w:r>
              <w:rPr>
                <w:rFonts w:hint="eastAsia" w:ascii="宋体" w:hAnsi="宋体"/>
                <w:bCs/>
                <w:color w:val="auto"/>
                <w:kern w:val="0"/>
                <w:szCs w:val="21"/>
                <w:highlight w:val="none"/>
                <w:lang w:eastAsia="zh-CN"/>
              </w:rPr>
              <w:t>，有相关描述的得</w:t>
            </w:r>
            <w:r>
              <w:rPr>
                <w:rFonts w:hint="eastAsia" w:ascii="宋体" w:hAnsi="宋体"/>
                <w:bCs/>
                <w:color w:val="auto"/>
                <w:kern w:val="0"/>
                <w:szCs w:val="21"/>
                <w:highlight w:val="none"/>
                <w:lang w:val="en-US" w:eastAsia="zh-CN"/>
              </w:rPr>
              <w:t>3</w:t>
            </w:r>
            <w:r>
              <w:rPr>
                <w:rFonts w:hint="eastAsia" w:ascii="宋体" w:hAnsi="宋体"/>
                <w:bCs/>
                <w:color w:val="auto"/>
                <w:kern w:val="0"/>
                <w:szCs w:val="21"/>
                <w:highlight w:val="none"/>
              </w:rPr>
              <w:t>分，</w:t>
            </w:r>
            <w:r>
              <w:rPr>
                <w:rFonts w:hint="eastAsia" w:ascii="宋体" w:hAnsi="宋体"/>
                <w:bCs/>
                <w:color w:val="auto"/>
                <w:kern w:val="0"/>
                <w:szCs w:val="21"/>
                <w:highlight w:val="none"/>
                <w:lang w:eastAsia="zh-CN"/>
              </w:rPr>
              <w:t>不提供不得分。</w:t>
            </w:r>
          </w:p>
          <w:p>
            <w:pPr>
              <w:numPr>
                <w:ilvl w:val="0"/>
                <w:numId w:val="1"/>
              </w:numPr>
              <w:spacing w:line="360" w:lineRule="exact"/>
              <w:rPr>
                <w:rFonts w:ascii="宋体" w:hAnsi="宋体"/>
                <w:bCs/>
                <w:color w:val="auto"/>
                <w:kern w:val="0"/>
                <w:szCs w:val="21"/>
                <w:highlight w:val="none"/>
              </w:rPr>
            </w:pPr>
            <w:r>
              <w:rPr>
                <w:rFonts w:hint="eastAsia" w:ascii="宋体" w:hAnsi="宋体"/>
                <w:bCs/>
                <w:color w:val="auto"/>
                <w:kern w:val="0"/>
                <w:szCs w:val="21"/>
                <w:highlight w:val="none"/>
              </w:rPr>
              <w:t>项目的主要规划方案，有基础的资料收集方案，有必要的图标及说明，能把项目规划方案整体表达清晰，相关说明等符合实际情况的得</w:t>
            </w:r>
            <w:r>
              <w:rPr>
                <w:rFonts w:hint="eastAsia" w:ascii="宋体" w:hAnsi="宋体"/>
                <w:bCs/>
                <w:color w:val="auto"/>
                <w:kern w:val="0"/>
                <w:szCs w:val="21"/>
                <w:highlight w:val="none"/>
                <w:lang w:val="en-US" w:eastAsia="zh-CN"/>
              </w:rPr>
              <w:t>9</w:t>
            </w:r>
            <w:r>
              <w:rPr>
                <w:rFonts w:hint="eastAsia" w:ascii="宋体" w:hAnsi="宋体"/>
                <w:bCs/>
                <w:color w:val="auto"/>
                <w:kern w:val="0"/>
                <w:szCs w:val="21"/>
                <w:highlight w:val="none"/>
              </w:rPr>
              <w:t>分</w:t>
            </w:r>
            <w:r>
              <w:rPr>
                <w:rFonts w:hint="eastAsia" w:ascii="宋体" w:hAnsi="宋体"/>
                <w:bCs/>
                <w:color w:val="auto"/>
                <w:kern w:val="0"/>
                <w:szCs w:val="21"/>
                <w:highlight w:val="none"/>
                <w:lang w:eastAsia="zh-CN"/>
              </w:rPr>
              <w:t>，有相关描述的得</w:t>
            </w:r>
            <w:r>
              <w:rPr>
                <w:rFonts w:hint="eastAsia" w:ascii="宋体" w:hAnsi="宋体"/>
                <w:bCs/>
                <w:color w:val="auto"/>
                <w:kern w:val="0"/>
                <w:szCs w:val="21"/>
                <w:highlight w:val="none"/>
                <w:lang w:val="en-US" w:eastAsia="zh-CN"/>
              </w:rPr>
              <w:t>3</w:t>
            </w:r>
            <w:r>
              <w:rPr>
                <w:rFonts w:hint="eastAsia" w:ascii="宋体" w:hAnsi="宋体"/>
                <w:bCs/>
                <w:color w:val="auto"/>
                <w:kern w:val="0"/>
                <w:szCs w:val="21"/>
                <w:highlight w:val="none"/>
              </w:rPr>
              <w:t>分，</w:t>
            </w:r>
            <w:r>
              <w:rPr>
                <w:rFonts w:hint="eastAsia" w:ascii="宋体" w:hAnsi="宋体"/>
                <w:bCs/>
                <w:color w:val="auto"/>
                <w:kern w:val="0"/>
                <w:szCs w:val="21"/>
                <w:highlight w:val="none"/>
                <w:lang w:eastAsia="zh-CN"/>
              </w:rPr>
              <w:t>不提供不得分。</w:t>
            </w:r>
          </w:p>
        </w:tc>
        <w:tc>
          <w:tcPr>
            <w:tcW w:w="967" w:type="dxa"/>
            <w:vAlign w:val="center"/>
          </w:tcPr>
          <w:p>
            <w:pPr>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u w:val="single"/>
                <w:lang w:val="en-US" w:eastAsia="zh-CN"/>
              </w:rPr>
              <w:t>15</w:t>
            </w:r>
            <w:r>
              <w:rPr>
                <w:rFonts w:hint="eastAsia" w:asciiTheme="minorEastAsia" w:hAnsiTheme="minorEastAsia"/>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96" w:type="dxa"/>
            <w:gridSpan w:val="2"/>
            <w:vAlign w:val="center"/>
          </w:tcPr>
          <w:p>
            <w:pPr>
              <w:widowControl/>
              <w:adjustRightInd w:val="0"/>
              <w:snapToGrid w:val="0"/>
              <w:jc w:val="center"/>
              <w:rPr>
                <w:rFonts w:ascii="宋体" w:hAnsi="宋体"/>
                <w:bCs/>
                <w:color w:val="auto"/>
                <w:kern w:val="0"/>
                <w:szCs w:val="21"/>
                <w:highlight w:val="none"/>
              </w:rPr>
            </w:pPr>
            <w:r>
              <w:rPr>
                <w:rFonts w:hint="eastAsia" w:ascii="宋体" w:hAnsi="宋体"/>
                <w:bCs/>
                <w:color w:val="auto"/>
                <w:kern w:val="0"/>
                <w:szCs w:val="21"/>
                <w:highlight w:val="none"/>
              </w:rPr>
              <w:t>规划编制的实施（15分）</w:t>
            </w:r>
          </w:p>
        </w:tc>
        <w:tc>
          <w:tcPr>
            <w:tcW w:w="5103" w:type="dxa"/>
            <w:vAlign w:val="center"/>
          </w:tcPr>
          <w:p>
            <w:pPr>
              <w:numPr>
                <w:ilvl w:val="0"/>
                <w:numId w:val="2"/>
              </w:numPr>
              <w:spacing w:line="360" w:lineRule="exact"/>
              <w:rPr>
                <w:rFonts w:hint="eastAsia" w:ascii="宋体" w:hAnsi="宋体"/>
                <w:bCs/>
                <w:color w:val="auto"/>
                <w:kern w:val="0"/>
                <w:szCs w:val="21"/>
                <w:highlight w:val="none"/>
              </w:rPr>
            </w:pPr>
            <w:r>
              <w:rPr>
                <w:rFonts w:hint="eastAsia" w:ascii="宋体" w:hAnsi="宋体"/>
                <w:bCs/>
                <w:color w:val="auto"/>
                <w:kern w:val="0"/>
                <w:szCs w:val="21"/>
                <w:highlight w:val="none"/>
              </w:rPr>
              <w:t>项目实施计划及项目进度措施，项目规划编制的质量及保证措施</w:t>
            </w:r>
            <w:r>
              <w:rPr>
                <w:rFonts w:hint="eastAsia" w:ascii="宋体" w:hAnsi="宋体"/>
                <w:bCs/>
                <w:color w:val="auto"/>
                <w:kern w:val="0"/>
                <w:szCs w:val="21"/>
                <w:highlight w:val="none"/>
                <w:lang w:eastAsia="zh-CN"/>
              </w:rPr>
              <w:t>，</w:t>
            </w:r>
            <w:r>
              <w:rPr>
                <w:rFonts w:hint="eastAsia" w:ascii="宋体" w:hAnsi="宋体"/>
                <w:bCs/>
                <w:color w:val="auto"/>
                <w:kern w:val="0"/>
                <w:szCs w:val="21"/>
                <w:highlight w:val="none"/>
              </w:rPr>
              <w:t>有相关的具体描述及安排情况得</w:t>
            </w:r>
            <w:r>
              <w:rPr>
                <w:rFonts w:hint="eastAsia" w:ascii="宋体" w:hAnsi="宋体"/>
                <w:bCs/>
                <w:color w:val="auto"/>
                <w:kern w:val="0"/>
                <w:szCs w:val="21"/>
                <w:highlight w:val="none"/>
                <w:lang w:val="en-US" w:eastAsia="zh-CN"/>
              </w:rPr>
              <w:t>6</w:t>
            </w:r>
            <w:r>
              <w:rPr>
                <w:rFonts w:hint="eastAsia" w:ascii="宋体" w:hAnsi="宋体"/>
                <w:bCs/>
                <w:color w:val="auto"/>
                <w:kern w:val="0"/>
                <w:szCs w:val="21"/>
                <w:highlight w:val="none"/>
              </w:rPr>
              <w:t>分</w:t>
            </w:r>
            <w:r>
              <w:rPr>
                <w:rFonts w:hint="eastAsia" w:ascii="宋体" w:hAnsi="宋体"/>
                <w:bCs/>
                <w:color w:val="auto"/>
                <w:kern w:val="0"/>
                <w:szCs w:val="21"/>
                <w:highlight w:val="none"/>
                <w:lang w:val="en-US" w:eastAsia="zh-CN"/>
              </w:rPr>
              <w:t>,</w:t>
            </w:r>
            <w:r>
              <w:rPr>
                <w:rFonts w:hint="eastAsia" w:ascii="宋体" w:hAnsi="宋体"/>
                <w:bCs/>
                <w:color w:val="auto"/>
                <w:kern w:val="0"/>
                <w:szCs w:val="21"/>
                <w:highlight w:val="none"/>
                <w:lang w:eastAsia="zh-CN"/>
              </w:rPr>
              <w:t>，有相关描述的得</w:t>
            </w:r>
            <w:r>
              <w:rPr>
                <w:rFonts w:hint="eastAsia" w:ascii="宋体" w:hAnsi="宋体"/>
                <w:bCs/>
                <w:color w:val="auto"/>
                <w:kern w:val="0"/>
                <w:szCs w:val="21"/>
                <w:highlight w:val="none"/>
                <w:lang w:val="en-US" w:eastAsia="zh-CN"/>
              </w:rPr>
              <w:t>3</w:t>
            </w:r>
            <w:r>
              <w:rPr>
                <w:rFonts w:hint="eastAsia" w:ascii="宋体" w:hAnsi="宋体"/>
                <w:bCs/>
                <w:color w:val="auto"/>
                <w:kern w:val="0"/>
                <w:szCs w:val="21"/>
                <w:highlight w:val="none"/>
              </w:rPr>
              <w:t>分，</w:t>
            </w:r>
            <w:r>
              <w:rPr>
                <w:rFonts w:hint="eastAsia" w:ascii="宋体" w:hAnsi="宋体"/>
                <w:bCs/>
                <w:color w:val="auto"/>
                <w:kern w:val="0"/>
                <w:szCs w:val="21"/>
                <w:highlight w:val="none"/>
                <w:lang w:eastAsia="zh-CN"/>
              </w:rPr>
              <w:t>不提供不得分。</w:t>
            </w:r>
          </w:p>
          <w:p>
            <w:pPr>
              <w:numPr>
                <w:ilvl w:val="0"/>
                <w:numId w:val="2"/>
              </w:numPr>
              <w:spacing w:line="360" w:lineRule="exact"/>
              <w:ind w:left="0" w:leftChars="0" w:firstLine="0" w:firstLineChars="0"/>
              <w:rPr>
                <w:rFonts w:hint="eastAsia" w:ascii="宋体" w:hAnsi="宋体"/>
                <w:bCs/>
                <w:color w:val="auto"/>
                <w:kern w:val="0"/>
                <w:szCs w:val="21"/>
                <w:highlight w:val="none"/>
              </w:rPr>
            </w:pPr>
            <w:r>
              <w:rPr>
                <w:rFonts w:hint="eastAsia" w:ascii="宋体" w:hAnsi="宋体"/>
                <w:bCs/>
                <w:color w:val="auto"/>
                <w:kern w:val="0"/>
                <w:szCs w:val="21"/>
                <w:highlight w:val="none"/>
              </w:rPr>
              <w:t>项目的技术支持与保障，技术路线等符合国家、省、市标准和实际情况得</w:t>
            </w:r>
            <w:r>
              <w:rPr>
                <w:rFonts w:hint="eastAsia" w:ascii="宋体" w:hAnsi="宋体"/>
                <w:bCs/>
                <w:color w:val="auto"/>
                <w:kern w:val="0"/>
                <w:szCs w:val="21"/>
                <w:highlight w:val="none"/>
                <w:lang w:val="en-US" w:eastAsia="zh-CN"/>
              </w:rPr>
              <w:t>6</w:t>
            </w:r>
            <w:r>
              <w:rPr>
                <w:rFonts w:hint="eastAsia" w:ascii="宋体" w:hAnsi="宋体"/>
                <w:bCs/>
                <w:color w:val="auto"/>
                <w:kern w:val="0"/>
                <w:szCs w:val="21"/>
                <w:highlight w:val="none"/>
              </w:rPr>
              <w:t>分</w:t>
            </w:r>
            <w:r>
              <w:rPr>
                <w:rFonts w:hint="eastAsia" w:ascii="宋体" w:hAnsi="宋体"/>
                <w:bCs/>
                <w:color w:val="auto"/>
                <w:kern w:val="0"/>
                <w:szCs w:val="21"/>
                <w:highlight w:val="none"/>
                <w:lang w:eastAsia="zh-CN"/>
              </w:rPr>
              <w:t>，有相关描述的得</w:t>
            </w:r>
            <w:r>
              <w:rPr>
                <w:rFonts w:hint="eastAsia" w:ascii="宋体" w:hAnsi="宋体"/>
                <w:bCs/>
                <w:color w:val="auto"/>
                <w:kern w:val="0"/>
                <w:szCs w:val="21"/>
                <w:highlight w:val="none"/>
                <w:lang w:val="en-US" w:eastAsia="zh-CN"/>
              </w:rPr>
              <w:t>3</w:t>
            </w:r>
            <w:r>
              <w:rPr>
                <w:rFonts w:hint="eastAsia" w:ascii="宋体" w:hAnsi="宋体"/>
                <w:bCs/>
                <w:color w:val="auto"/>
                <w:kern w:val="0"/>
                <w:szCs w:val="21"/>
                <w:highlight w:val="none"/>
              </w:rPr>
              <w:t>分，</w:t>
            </w:r>
            <w:r>
              <w:rPr>
                <w:rFonts w:hint="eastAsia" w:ascii="宋体" w:hAnsi="宋体"/>
                <w:bCs/>
                <w:color w:val="auto"/>
                <w:kern w:val="0"/>
                <w:szCs w:val="21"/>
                <w:highlight w:val="none"/>
                <w:lang w:eastAsia="zh-CN"/>
              </w:rPr>
              <w:t>不提供不得分。</w:t>
            </w:r>
          </w:p>
          <w:p>
            <w:pPr>
              <w:numPr>
                <w:ilvl w:val="0"/>
                <w:numId w:val="0"/>
              </w:numPr>
              <w:spacing w:line="360" w:lineRule="exact"/>
              <w:ind w:leftChars="0"/>
              <w:rPr>
                <w:rFonts w:ascii="宋体" w:hAnsi="宋体"/>
                <w:bCs/>
                <w:color w:val="auto"/>
                <w:kern w:val="0"/>
                <w:szCs w:val="21"/>
                <w:highlight w:val="none"/>
              </w:rPr>
            </w:pPr>
            <w:r>
              <w:rPr>
                <w:rFonts w:hint="eastAsia" w:ascii="宋体" w:hAnsi="宋体"/>
                <w:bCs/>
                <w:color w:val="auto"/>
                <w:kern w:val="0"/>
                <w:szCs w:val="21"/>
                <w:highlight w:val="none"/>
              </w:rPr>
              <w:t>3、本项目服务承诺：在项目实施期间，能接受甲方合理的安排和建议，并积极配合有相关的承诺及优惠措施，基本符合实际情况的得</w:t>
            </w:r>
            <w:r>
              <w:rPr>
                <w:rFonts w:hint="eastAsia" w:ascii="宋体" w:hAnsi="宋体"/>
                <w:bCs/>
                <w:color w:val="auto"/>
                <w:kern w:val="0"/>
                <w:szCs w:val="21"/>
                <w:highlight w:val="none"/>
                <w:lang w:val="en-US" w:eastAsia="zh-CN"/>
              </w:rPr>
              <w:t>3</w:t>
            </w:r>
            <w:r>
              <w:rPr>
                <w:rFonts w:hint="eastAsia" w:ascii="宋体" w:hAnsi="宋体"/>
                <w:bCs/>
                <w:color w:val="auto"/>
                <w:kern w:val="0"/>
                <w:szCs w:val="21"/>
                <w:highlight w:val="none"/>
              </w:rPr>
              <w:t>分</w:t>
            </w:r>
            <w:r>
              <w:rPr>
                <w:rFonts w:hint="eastAsia" w:ascii="宋体" w:hAnsi="宋体"/>
                <w:bCs/>
                <w:color w:val="auto"/>
                <w:kern w:val="0"/>
                <w:szCs w:val="21"/>
                <w:highlight w:val="none"/>
                <w:lang w:eastAsia="zh-CN"/>
              </w:rPr>
              <w:t>，</w:t>
            </w:r>
            <w:r>
              <w:rPr>
                <w:rFonts w:hint="eastAsia" w:ascii="宋体" w:hAnsi="宋体"/>
                <w:bCs/>
                <w:color w:val="auto"/>
                <w:kern w:val="0"/>
                <w:szCs w:val="21"/>
                <w:highlight w:val="none"/>
              </w:rPr>
              <w:t>有相关的承诺</w:t>
            </w:r>
            <w:r>
              <w:rPr>
                <w:rFonts w:hint="eastAsia" w:ascii="宋体" w:hAnsi="宋体"/>
                <w:bCs/>
                <w:color w:val="auto"/>
                <w:kern w:val="0"/>
                <w:szCs w:val="21"/>
                <w:highlight w:val="none"/>
                <w:lang w:eastAsia="zh-CN"/>
              </w:rPr>
              <w:t>的得</w:t>
            </w:r>
            <w:r>
              <w:rPr>
                <w:rFonts w:hint="eastAsia" w:ascii="宋体" w:hAnsi="宋体"/>
                <w:bCs/>
                <w:color w:val="auto"/>
                <w:kern w:val="0"/>
                <w:szCs w:val="21"/>
                <w:highlight w:val="none"/>
                <w:lang w:val="en-US" w:eastAsia="zh-CN"/>
              </w:rPr>
              <w:t>2分，不提供不得分。</w:t>
            </w:r>
          </w:p>
        </w:tc>
        <w:tc>
          <w:tcPr>
            <w:tcW w:w="967" w:type="dxa"/>
            <w:vAlign w:val="center"/>
          </w:tcPr>
          <w:p>
            <w:pPr>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u w:val="single"/>
                <w:lang w:val="en-US" w:eastAsia="zh-CN"/>
              </w:rPr>
              <w:t>15</w:t>
            </w:r>
            <w:r>
              <w:rPr>
                <w:rFonts w:hint="eastAsia" w:asciiTheme="minorEastAsia" w:hAnsiTheme="minorEastAsia"/>
                <w:color w:val="auto"/>
                <w:sz w:val="24"/>
                <w:szCs w:val="24"/>
                <w:highlight w:val="none"/>
                <w:lang w:val="en-US" w:eastAsia="zh-CN"/>
              </w:rPr>
              <w:t>分</w:t>
            </w:r>
          </w:p>
        </w:tc>
      </w:tr>
    </w:tbl>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黑体" w:hAnsi="宋体" w:eastAsia="黑体" w:cs="黑体"/>
          <w:color w:val="000000"/>
          <w:kern w:val="0"/>
          <w:sz w:val="30"/>
          <w:szCs w:val="30"/>
          <w:shd w:val="clear" w:color="auto" w:fill="FFFFFF"/>
        </w:rPr>
        <w:t>六、采购资金支付</w:t>
      </w:r>
    </w:p>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1、支付方式：</w:t>
      </w:r>
      <w:r>
        <w:rPr>
          <w:rFonts w:hint="eastAsia" w:ascii="仿宋" w:hAnsi="仿宋" w:eastAsia="仿宋" w:cs="仿宋"/>
          <w:color w:val="000000"/>
          <w:kern w:val="0"/>
          <w:sz w:val="30"/>
          <w:szCs w:val="30"/>
          <w:shd w:val="clear" w:color="auto" w:fill="FFFFFF"/>
          <w:lang w:eastAsia="zh-CN"/>
        </w:rPr>
        <w:t>银行转账</w:t>
      </w:r>
      <w:r>
        <w:rPr>
          <w:rFonts w:hint="eastAsia" w:ascii="仿宋" w:hAnsi="仿宋" w:eastAsia="仿宋" w:cs="仿宋"/>
          <w:color w:val="000000"/>
          <w:kern w:val="0"/>
          <w:sz w:val="30"/>
          <w:szCs w:val="30"/>
          <w:shd w:val="clear" w:color="auto" w:fill="FFFFFF"/>
        </w:rPr>
        <w:t>。</w:t>
      </w:r>
    </w:p>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2、支付时间及条件：合同签订后支付合同金额的60%，项目评审验收通过后付清余款。</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七、联系方式</w:t>
      </w:r>
    </w:p>
    <w:p>
      <w:pPr>
        <w:widowControl/>
        <w:shd w:val="clear" w:color="auto" w:fill="FFFFFF"/>
        <w:spacing w:line="525" w:lineRule="atLeast"/>
        <w:ind w:firstLine="795"/>
        <w:jc w:val="left"/>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rPr>
        <w:t>联系人姓名：</w:t>
      </w:r>
      <w:r>
        <w:rPr>
          <w:rFonts w:hint="eastAsia" w:ascii="仿宋" w:hAnsi="仿宋" w:eastAsia="仿宋" w:cs="仿宋"/>
          <w:color w:val="000000"/>
          <w:kern w:val="0"/>
          <w:sz w:val="30"/>
          <w:szCs w:val="30"/>
          <w:shd w:val="clear" w:color="auto" w:fill="FFFFFF"/>
          <w:lang w:eastAsia="zh-CN"/>
        </w:rPr>
        <w:t>孙广文</w:t>
      </w:r>
      <w:r>
        <w:rPr>
          <w:rFonts w:hint="eastAsia" w:ascii="宋体" w:hAnsi="宋体" w:eastAsia="宋体" w:cs="宋体"/>
          <w:color w:val="000000"/>
          <w:kern w:val="0"/>
          <w:sz w:val="30"/>
          <w:szCs w:val="30"/>
          <w:shd w:val="clear" w:color="auto" w:fill="FFFFFF"/>
        </w:rPr>
        <w:t>     </w:t>
      </w:r>
      <w:r>
        <w:rPr>
          <w:rFonts w:hint="eastAsia" w:ascii="仿宋" w:hAnsi="仿宋" w:eastAsia="仿宋" w:cs="仿宋"/>
          <w:color w:val="000000"/>
          <w:kern w:val="0"/>
          <w:sz w:val="30"/>
          <w:szCs w:val="30"/>
          <w:shd w:val="clear" w:color="auto" w:fill="FFFFFF"/>
        </w:rPr>
        <w:t>联系电话：</w:t>
      </w:r>
      <w:r>
        <w:rPr>
          <w:rFonts w:hint="eastAsia" w:ascii="仿宋" w:hAnsi="仿宋" w:eastAsia="仿宋" w:cs="仿宋"/>
          <w:color w:val="000000"/>
          <w:kern w:val="0"/>
          <w:sz w:val="30"/>
          <w:szCs w:val="30"/>
          <w:shd w:val="clear" w:color="auto" w:fill="FFFFFF"/>
          <w:lang w:val="en-US" w:eastAsia="zh-CN"/>
        </w:rPr>
        <w:t>18539038939</w:t>
      </w:r>
    </w:p>
    <w:p>
      <w:pPr>
        <w:widowControl/>
        <w:shd w:val="clear" w:color="auto" w:fill="FFFFFF"/>
        <w:spacing w:line="525" w:lineRule="atLeast"/>
        <w:ind w:firstLine="795"/>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单位地址：许昌经济技术开发区管理委员会（瑞祥路中段）</w:t>
      </w:r>
    </w:p>
    <w:p>
      <w:pPr>
        <w:widowControl/>
        <w:shd w:val="clear" w:color="auto" w:fill="FFFFFF"/>
        <w:spacing w:line="525" w:lineRule="atLeast"/>
        <w:ind w:firstLine="795"/>
        <w:jc w:val="left"/>
        <w:rPr>
          <w:rFonts w:ascii="宋体" w:hAnsi="宋体" w:eastAsia="宋体" w:cs="宋体"/>
          <w:color w:val="000000"/>
          <w:kern w:val="0"/>
          <w:sz w:val="24"/>
          <w:szCs w:val="24"/>
        </w:rPr>
      </w:pPr>
    </w:p>
    <w:p>
      <w:pPr>
        <w:widowControl/>
        <w:shd w:val="clear" w:color="auto" w:fill="FFFFFF"/>
        <w:spacing w:line="525" w:lineRule="atLeast"/>
        <w:ind w:firstLine="795"/>
        <w:jc w:val="left"/>
        <w:rPr>
          <w:rFonts w:ascii="宋体" w:hAnsi="宋体" w:eastAsia="宋体" w:cs="宋体"/>
          <w:color w:val="000000"/>
          <w:kern w:val="0"/>
          <w:sz w:val="24"/>
          <w:szCs w:val="24"/>
        </w:rPr>
      </w:pPr>
    </w:p>
    <w:p>
      <w:pPr>
        <w:widowControl/>
        <w:shd w:val="clear" w:color="auto" w:fill="FFFFFF"/>
        <w:spacing w:line="330" w:lineRule="atLeast"/>
        <w:jc w:val="right"/>
        <w:rPr>
          <w:rFonts w:ascii="宋体" w:hAnsi="宋体" w:eastAsia="宋体" w:cs="宋体"/>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许昌经济技术开发区法制与社会服务局</w:t>
      </w:r>
    </w:p>
    <w:p>
      <w:pPr>
        <w:widowControl/>
        <w:shd w:val="clear" w:color="auto" w:fill="FFFFFF"/>
        <w:spacing w:line="330" w:lineRule="atLeast"/>
        <w:ind w:firstLine="5700"/>
        <w:jc w:val="right"/>
        <w:rPr>
          <w:rFonts w:ascii="仿宋" w:hAnsi="仿宋" w:eastAsia="仿宋" w:cs="宋体"/>
          <w:color w:val="000000"/>
          <w:kern w:val="0"/>
          <w:sz w:val="30"/>
          <w:szCs w:val="30"/>
          <w:shd w:val="clear" w:color="auto" w:fill="FFFFFF"/>
        </w:rPr>
      </w:pPr>
      <w:r>
        <w:rPr>
          <w:rFonts w:hint="eastAsia" w:ascii="仿宋" w:hAnsi="仿宋" w:eastAsia="仿宋" w:cs="宋体"/>
          <w:color w:val="000000"/>
          <w:kern w:val="0"/>
          <w:sz w:val="30"/>
          <w:szCs w:val="30"/>
          <w:shd w:val="clear" w:color="auto" w:fill="FFFFFF"/>
        </w:rPr>
        <w:t>2018年</w:t>
      </w:r>
      <w:r>
        <w:rPr>
          <w:rFonts w:hint="eastAsia" w:ascii="仿宋" w:hAnsi="仿宋" w:eastAsia="仿宋" w:cs="宋体"/>
          <w:color w:val="000000"/>
          <w:kern w:val="0"/>
          <w:sz w:val="30"/>
          <w:szCs w:val="30"/>
          <w:shd w:val="clear" w:color="auto" w:fill="FFFFFF"/>
          <w:lang w:val="en-US" w:eastAsia="zh-CN"/>
        </w:rPr>
        <w:t>6</w:t>
      </w:r>
      <w:r>
        <w:rPr>
          <w:rFonts w:hint="eastAsia" w:ascii="仿宋" w:hAnsi="仿宋" w:eastAsia="仿宋" w:cs="宋体"/>
          <w:color w:val="000000"/>
          <w:kern w:val="0"/>
          <w:sz w:val="30"/>
          <w:szCs w:val="30"/>
          <w:shd w:val="clear" w:color="auto" w:fill="FFFFFF"/>
        </w:rPr>
        <w:t>月</w:t>
      </w:r>
      <w:r>
        <w:rPr>
          <w:rFonts w:hint="eastAsia" w:ascii="仿宋" w:hAnsi="仿宋" w:eastAsia="仿宋" w:cs="宋体"/>
          <w:color w:val="000000"/>
          <w:kern w:val="0"/>
          <w:sz w:val="30"/>
          <w:szCs w:val="30"/>
          <w:shd w:val="clear" w:color="auto" w:fill="FFFFFF"/>
          <w:lang w:val="en-US" w:eastAsia="zh-CN"/>
        </w:rPr>
        <w:t>11</w:t>
      </w:r>
      <w:bookmarkStart w:id="0" w:name="_GoBack"/>
      <w:bookmarkEnd w:id="0"/>
      <w:r>
        <w:rPr>
          <w:rFonts w:hint="eastAsia" w:ascii="仿宋" w:hAnsi="仿宋" w:eastAsia="仿宋" w:cs="宋体"/>
          <w:color w:val="000000"/>
          <w:kern w:val="0"/>
          <w:sz w:val="30"/>
          <w:szCs w:val="30"/>
          <w:shd w:val="clear" w:color="auto" w:fill="FFFFFF"/>
        </w:rPr>
        <w:t xml:space="preserve">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02ABF"/>
    <w:multiLevelType w:val="singleLevel"/>
    <w:tmpl w:val="E0C02ABF"/>
    <w:lvl w:ilvl="0" w:tentative="0">
      <w:start w:val="1"/>
      <w:numFmt w:val="decimal"/>
      <w:suff w:val="nothing"/>
      <w:lvlText w:val="%1、"/>
      <w:lvlJc w:val="left"/>
    </w:lvl>
  </w:abstractNum>
  <w:abstractNum w:abstractNumId="1">
    <w:nsid w:val="FCB97BA7"/>
    <w:multiLevelType w:val="singleLevel"/>
    <w:tmpl w:val="FCB97BA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0674B"/>
    <w:rsid w:val="0005431D"/>
    <w:rsid w:val="0009385B"/>
    <w:rsid w:val="00174554"/>
    <w:rsid w:val="001A0E05"/>
    <w:rsid w:val="001A23FF"/>
    <w:rsid w:val="001A4D77"/>
    <w:rsid w:val="00203D7E"/>
    <w:rsid w:val="00253591"/>
    <w:rsid w:val="002A53B2"/>
    <w:rsid w:val="00385BF1"/>
    <w:rsid w:val="00395FA1"/>
    <w:rsid w:val="003C515C"/>
    <w:rsid w:val="0055294B"/>
    <w:rsid w:val="00576222"/>
    <w:rsid w:val="005D42D5"/>
    <w:rsid w:val="00640DDE"/>
    <w:rsid w:val="007A38C0"/>
    <w:rsid w:val="007A71B6"/>
    <w:rsid w:val="0080208E"/>
    <w:rsid w:val="008B3866"/>
    <w:rsid w:val="008C4C58"/>
    <w:rsid w:val="008D33AE"/>
    <w:rsid w:val="008F18DB"/>
    <w:rsid w:val="00A54088"/>
    <w:rsid w:val="00AF1084"/>
    <w:rsid w:val="00BD065C"/>
    <w:rsid w:val="00C03D72"/>
    <w:rsid w:val="00C607E0"/>
    <w:rsid w:val="00CD2027"/>
    <w:rsid w:val="00E21FA1"/>
    <w:rsid w:val="00E2584E"/>
    <w:rsid w:val="00E57476"/>
    <w:rsid w:val="00EA4C75"/>
    <w:rsid w:val="00FB24A1"/>
    <w:rsid w:val="035F062B"/>
    <w:rsid w:val="04A95338"/>
    <w:rsid w:val="05BB0A65"/>
    <w:rsid w:val="086567DA"/>
    <w:rsid w:val="09567F0B"/>
    <w:rsid w:val="0D522F86"/>
    <w:rsid w:val="0E721B97"/>
    <w:rsid w:val="0E9A71B6"/>
    <w:rsid w:val="0FA50EE8"/>
    <w:rsid w:val="10BD7828"/>
    <w:rsid w:val="11942668"/>
    <w:rsid w:val="164414A6"/>
    <w:rsid w:val="18A5329E"/>
    <w:rsid w:val="18ED350D"/>
    <w:rsid w:val="19956D8E"/>
    <w:rsid w:val="25D73063"/>
    <w:rsid w:val="2AA1100D"/>
    <w:rsid w:val="2AEA2BB1"/>
    <w:rsid w:val="2CB27390"/>
    <w:rsid w:val="31AD1043"/>
    <w:rsid w:val="31D40A6C"/>
    <w:rsid w:val="323D5D4C"/>
    <w:rsid w:val="3AC86A17"/>
    <w:rsid w:val="3F773490"/>
    <w:rsid w:val="410E2329"/>
    <w:rsid w:val="42CB3E2B"/>
    <w:rsid w:val="437F30EA"/>
    <w:rsid w:val="439278A3"/>
    <w:rsid w:val="447706E5"/>
    <w:rsid w:val="44822B7E"/>
    <w:rsid w:val="458B6887"/>
    <w:rsid w:val="47A1527D"/>
    <w:rsid w:val="47C909DC"/>
    <w:rsid w:val="495621F9"/>
    <w:rsid w:val="4D686C0E"/>
    <w:rsid w:val="51DF6F4E"/>
    <w:rsid w:val="546E4966"/>
    <w:rsid w:val="571147E1"/>
    <w:rsid w:val="5B905D75"/>
    <w:rsid w:val="6079708D"/>
    <w:rsid w:val="623F783F"/>
    <w:rsid w:val="64443ACD"/>
    <w:rsid w:val="68553B47"/>
    <w:rsid w:val="69BB1C2D"/>
    <w:rsid w:val="6A1616AD"/>
    <w:rsid w:val="6BA36862"/>
    <w:rsid w:val="6DB66A5C"/>
    <w:rsid w:val="70261E21"/>
    <w:rsid w:val="74397BE4"/>
    <w:rsid w:val="754A2418"/>
    <w:rsid w:val="76DA1A83"/>
    <w:rsid w:val="79944F27"/>
    <w:rsid w:val="7AC5313E"/>
    <w:rsid w:val="7B5D0E8E"/>
    <w:rsid w:val="7CED6101"/>
    <w:rsid w:val="7D051957"/>
    <w:rsid w:val="7E1E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character" w:styleId="7">
    <w:name w:val="annotation reference"/>
    <w:basedOn w:val="6"/>
    <w:semiHidden/>
    <w:unhideWhenUsed/>
    <w:qFormat/>
    <w:uiPriority w:val="99"/>
    <w:rPr>
      <w:sz w:val="21"/>
      <w:szCs w:val="21"/>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paragraph" w:styleId="11">
    <w:name w:val="List Paragraph"/>
    <w:basedOn w:val="1"/>
    <w:qFormat/>
    <w:uiPriority w:val="34"/>
    <w:pPr>
      <w:ind w:firstLine="420" w:firstLineChars="200"/>
    </w:pPr>
    <w:rPr>
      <w:rFonts w:ascii="Times New Roman" w:hAnsi="Times New Roman" w:eastAsia="宋体" w:cs="Times New Roman"/>
      <w:szCs w:val="20"/>
    </w:rPr>
  </w:style>
  <w:style w:type="character" w:customStyle="1" w:styleId="12">
    <w:name w:val="edittexttarea"/>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949EA7-EAF4-4BC7-A999-43DA4717667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1277</Words>
  <Characters>7281</Characters>
  <Lines>60</Lines>
  <Paragraphs>17</Paragraphs>
  <TotalTime>1</TotalTime>
  <ScaleCrop>false</ScaleCrop>
  <LinksUpToDate>false</LinksUpToDate>
  <CharactersWithSpaces>8541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Administrator</cp:lastModifiedBy>
  <cp:lastPrinted>2018-06-08T01:39:00Z</cp:lastPrinted>
  <dcterms:modified xsi:type="dcterms:W3CDTF">2018-06-11T02:32:45Z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