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0" w:firstLineChars="0"/>
        <w:jc w:val="center"/>
        <w:rPr>
          <w:rFonts w:ascii="方正小标宋简体" w:hAnsi="宋体" w:eastAsia="方正小标宋简体" w:cs="宋体"/>
          <w:color w:val="000000"/>
          <w:kern w:val="0"/>
          <w:sz w:val="44"/>
          <w:szCs w:val="44"/>
        </w:rPr>
      </w:pPr>
      <w:r>
        <w:rPr>
          <w:rFonts w:hint="eastAsia" w:ascii="方正小标宋简体" w:hAnsi="微软雅黑" w:eastAsia="方正小标宋简体" w:cs="仿宋_GB2312"/>
          <w:color w:val="000000"/>
          <w:kern w:val="0"/>
          <w:sz w:val="36"/>
          <w:szCs w:val="36"/>
          <w:shd w:val="clear" w:color="auto" w:fill="FFFFFF"/>
        </w:rPr>
        <w:t>许昌市第二次全国污染源普查工作委托第三方技术服务采购需求、评标标准等说明</w:t>
      </w:r>
    </w:p>
    <w:p>
      <w:pPr>
        <w:widowControl/>
        <w:shd w:val="clear" w:color="auto" w:fill="FFFFFF"/>
        <w:ind w:firstLine="600" w:firstLineChars="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 </w:t>
      </w:r>
    </w:p>
    <w:p>
      <w:pPr>
        <w:widowControl/>
        <w:shd w:val="clear" w:color="auto" w:fill="FFFFFF"/>
        <w:ind w:firstLine="600" w:firstLineChars="0"/>
        <w:jc w:val="left"/>
        <w:rPr>
          <w:rFonts w:ascii="宋体" w:hAnsi="宋体" w:eastAsia="宋体" w:cs="宋体"/>
          <w:color w:val="000000"/>
          <w:kern w:val="0"/>
        </w:rPr>
      </w:pPr>
      <w:r>
        <w:rPr>
          <w:rFonts w:hint="eastAsia" w:ascii="黑体" w:hAnsi="宋体" w:eastAsia="黑体" w:cs="黑体"/>
          <w:color w:val="000000"/>
          <w:kern w:val="0"/>
          <w:shd w:val="clear" w:color="auto" w:fill="FFFFFF"/>
        </w:rPr>
        <w:t>一、项目概况</w:t>
      </w:r>
    </w:p>
    <w:p>
      <w:pPr>
        <w:widowControl/>
        <w:shd w:val="clear" w:color="auto" w:fill="FFFFFF"/>
        <w:ind w:firstLine="0" w:firstLineChars="0"/>
        <w:jc w:val="left"/>
        <w:rPr>
          <w:color w:val="000000"/>
          <w:kern w:val="0"/>
          <w:shd w:val="clear" w:color="auto" w:fill="FFFFFF"/>
        </w:rPr>
      </w:pPr>
      <w:r>
        <w:rPr>
          <w:rFonts w:hint="eastAsia" w:ascii="微软雅黑" w:hAnsi="微软雅黑" w:eastAsia="微软雅黑" w:cs="微软雅黑"/>
          <w:color w:val="000000"/>
          <w:kern w:val="0"/>
          <w:sz w:val="30"/>
          <w:szCs w:val="30"/>
          <w:shd w:val="clear" w:color="auto" w:fill="FFFFFF"/>
        </w:rPr>
        <w:t>   </w:t>
      </w:r>
      <w:r>
        <w:rPr>
          <w:rFonts w:hint="eastAsia" w:ascii="宋体" w:hAnsi="宋体" w:eastAsia="宋体" w:cs="宋体"/>
          <w:color w:val="000000"/>
          <w:kern w:val="0"/>
          <w:sz w:val="30"/>
          <w:szCs w:val="30"/>
          <w:shd w:val="clear" w:color="auto" w:fill="FFFFFF"/>
        </w:rPr>
        <w:t> </w:t>
      </w:r>
      <w:r>
        <w:rPr>
          <w:rFonts w:hint="eastAsia"/>
          <w:color w:val="000000"/>
          <w:kern w:val="0"/>
          <w:shd w:val="clear" w:color="auto" w:fill="FFFFFF"/>
        </w:rPr>
        <w:t>（一）项目名称：许昌市第二次全国污染源普查工作委托第三方技术服务</w:t>
      </w:r>
    </w:p>
    <w:p>
      <w:pPr>
        <w:widowControl/>
        <w:shd w:val="clear" w:color="auto" w:fill="FFFFFF"/>
        <w:ind w:firstLine="600" w:firstLineChars="0"/>
        <w:jc w:val="left"/>
        <w:rPr>
          <w:color w:val="000000"/>
          <w:kern w:val="0"/>
          <w:shd w:val="clear" w:color="auto" w:fill="FFFFFF"/>
        </w:rPr>
      </w:pPr>
      <w:r>
        <w:rPr>
          <w:rFonts w:hint="eastAsia"/>
          <w:color w:val="000000"/>
          <w:kern w:val="0"/>
          <w:shd w:val="clear" w:color="auto" w:fill="FFFFFF"/>
        </w:rPr>
        <w:t>（二）采购方式：公开招标      </w:t>
      </w:r>
    </w:p>
    <w:p>
      <w:pPr>
        <w:tabs>
          <w:tab w:val="left" w:pos="540"/>
        </w:tabs>
        <w:snapToGrid w:val="0"/>
        <w:ind w:firstLine="627" w:firstLineChars="196"/>
        <w:rPr>
          <w:color w:val="000000"/>
          <w:kern w:val="0"/>
          <w:shd w:val="clear" w:color="auto" w:fill="FFFFFF"/>
        </w:rPr>
      </w:pPr>
      <w:r>
        <w:rPr>
          <w:rFonts w:hint="eastAsia"/>
          <w:color w:val="000000"/>
          <w:kern w:val="0"/>
          <w:shd w:val="clear" w:color="auto" w:fill="FFFFFF"/>
        </w:rPr>
        <w:t>（三）主要内容、数量及要求：</w:t>
      </w:r>
    </w:p>
    <w:p>
      <w:pPr>
        <w:tabs>
          <w:tab w:val="left" w:pos="540"/>
        </w:tabs>
        <w:snapToGrid w:val="0"/>
        <w:ind w:firstLine="627" w:firstLineChars="196"/>
        <w:rPr>
          <w:color w:val="000000"/>
          <w:kern w:val="0"/>
          <w:shd w:val="clear" w:color="auto" w:fill="FFFFFF"/>
        </w:rPr>
      </w:pPr>
      <w:r>
        <w:rPr>
          <w:rFonts w:hint="eastAsia"/>
          <w:color w:val="000000"/>
          <w:kern w:val="0"/>
          <w:shd w:val="clear" w:color="auto" w:fill="FFFFFF"/>
        </w:rPr>
        <w:t>A包：污染源普查准备、清查建库、全面入户调查等相关重要内容技术服务；</w:t>
      </w:r>
    </w:p>
    <w:p>
      <w:pPr>
        <w:tabs>
          <w:tab w:val="left" w:pos="540"/>
        </w:tabs>
        <w:snapToGrid w:val="0"/>
        <w:ind w:firstLine="627" w:firstLineChars="196"/>
        <w:rPr>
          <w:color w:val="000000"/>
          <w:kern w:val="0"/>
          <w:shd w:val="clear" w:color="auto" w:fill="FFFFFF"/>
        </w:rPr>
      </w:pPr>
      <w:r>
        <w:rPr>
          <w:rFonts w:hint="eastAsia"/>
          <w:color w:val="000000"/>
          <w:kern w:val="0"/>
          <w:shd w:val="clear" w:color="auto" w:fill="FFFFFF"/>
        </w:rPr>
        <w:t>B包：许昌市建成区市政入河排污口及许昌市全市伴生放射性矿检测服务；</w:t>
      </w:r>
    </w:p>
    <w:p>
      <w:pPr>
        <w:tabs>
          <w:tab w:val="left" w:pos="540"/>
        </w:tabs>
        <w:snapToGrid w:val="0"/>
        <w:ind w:firstLine="640"/>
        <w:rPr>
          <w:color w:val="000000"/>
          <w:kern w:val="0"/>
          <w:shd w:val="clear" w:color="auto" w:fill="FFFFFF"/>
        </w:rPr>
      </w:pPr>
      <w:r>
        <w:rPr>
          <w:rFonts w:hint="eastAsia"/>
          <w:color w:val="000000"/>
          <w:kern w:val="0"/>
          <w:shd w:val="clear" w:color="auto" w:fill="FFFFFF"/>
        </w:rPr>
        <w:t>（四）A包预算金额161.809万元，B包预算金额26.57万元；A包最高限价161.809万元，B包最高限价26.57万元。</w:t>
      </w:r>
    </w:p>
    <w:p>
      <w:pPr>
        <w:tabs>
          <w:tab w:val="left" w:pos="540"/>
        </w:tabs>
        <w:snapToGrid w:val="0"/>
        <w:ind w:firstLine="480" w:firstLineChars="150"/>
        <w:rPr>
          <w:color w:val="000000"/>
          <w:kern w:val="0"/>
          <w:shd w:val="clear" w:color="auto" w:fill="FFFFFF"/>
        </w:rPr>
      </w:pPr>
      <w:r>
        <w:rPr>
          <w:rFonts w:hint="eastAsia"/>
          <w:color w:val="000000"/>
          <w:kern w:val="0"/>
          <w:shd w:val="clear" w:color="auto" w:fill="FFFFFF"/>
        </w:rPr>
        <w:t>（五）交付（服务、完工）时间：A包</w:t>
      </w:r>
      <w:r>
        <w:rPr>
          <w:color w:val="000000"/>
          <w:kern w:val="0"/>
          <w:shd w:val="clear" w:color="auto" w:fill="FFFFFF"/>
        </w:rPr>
        <w:t>自</w:t>
      </w:r>
      <w:r>
        <w:rPr>
          <w:rFonts w:hint="eastAsia"/>
          <w:color w:val="000000"/>
          <w:kern w:val="0"/>
          <w:shd w:val="clear" w:color="auto" w:fill="FFFFFF"/>
        </w:rPr>
        <w:t>签订合同后至2019年</w:t>
      </w:r>
      <w:r>
        <w:rPr>
          <w:color w:val="000000"/>
          <w:kern w:val="0"/>
          <w:shd w:val="clear" w:color="auto" w:fill="FFFFFF"/>
        </w:rPr>
        <w:t>底。</w:t>
      </w:r>
      <w:r>
        <w:rPr>
          <w:rFonts w:hint="eastAsia"/>
          <w:color w:val="000000"/>
          <w:kern w:val="0"/>
          <w:shd w:val="clear" w:color="auto" w:fill="FFFFFF"/>
        </w:rPr>
        <w:t>B包</w:t>
      </w:r>
      <w:r>
        <w:rPr>
          <w:color w:val="000000"/>
          <w:kern w:val="0"/>
          <w:shd w:val="clear" w:color="auto" w:fill="FFFFFF"/>
        </w:rPr>
        <w:t>自合同</w:t>
      </w:r>
      <w:r>
        <w:rPr>
          <w:rFonts w:hint="eastAsia"/>
          <w:color w:val="000000"/>
          <w:kern w:val="0"/>
          <w:shd w:val="clear" w:color="auto" w:fill="FFFFFF"/>
        </w:rPr>
        <w:t>签</w:t>
      </w:r>
      <w:r>
        <w:rPr>
          <w:color w:val="000000"/>
          <w:kern w:val="0"/>
          <w:shd w:val="clear" w:color="auto" w:fill="FFFFFF"/>
        </w:rPr>
        <w:t>订后至</w:t>
      </w:r>
      <w:r>
        <w:rPr>
          <w:rFonts w:hint="eastAsia"/>
          <w:color w:val="000000"/>
          <w:kern w:val="0"/>
          <w:shd w:val="clear" w:color="auto" w:fill="FFFFFF"/>
        </w:rPr>
        <w:t>监测</w:t>
      </w:r>
      <w:r>
        <w:rPr>
          <w:color w:val="000000"/>
          <w:kern w:val="0"/>
          <w:shd w:val="clear" w:color="auto" w:fill="FFFFFF"/>
        </w:rPr>
        <w:t>报告验收合格。</w:t>
      </w:r>
    </w:p>
    <w:p>
      <w:pPr>
        <w:widowControl/>
        <w:shd w:val="clear" w:color="auto" w:fill="FFFFFF"/>
        <w:ind w:firstLine="480" w:firstLineChars="150"/>
        <w:jc w:val="left"/>
        <w:rPr>
          <w:rFonts w:ascii="宋体" w:hAnsi="宋体" w:eastAsia="宋体" w:cs="宋体"/>
          <w:color w:val="000000"/>
          <w:kern w:val="0"/>
        </w:rPr>
      </w:pPr>
      <w:r>
        <w:rPr>
          <w:rFonts w:hint="eastAsia"/>
          <w:color w:val="000000"/>
          <w:kern w:val="0"/>
          <w:shd w:val="clear" w:color="auto" w:fill="FFFFFF"/>
        </w:rPr>
        <w:t>（六）交付（服务、施工）地点：许昌市环境保护局。</w:t>
      </w:r>
    </w:p>
    <w:p>
      <w:pPr>
        <w:widowControl/>
        <w:shd w:val="clear" w:color="auto" w:fill="FFFFFF"/>
        <w:ind w:firstLine="480" w:firstLineChars="150"/>
        <w:jc w:val="left"/>
        <w:rPr>
          <w:rFonts w:ascii="宋体" w:hAnsi="宋体" w:eastAsia="宋体" w:cs="宋体"/>
          <w:kern w:val="0"/>
        </w:rPr>
      </w:pPr>
      <w:r>
        <w:rPr>
          <w:rFonts w:hint="eastAsia"/>
          <w:kern w:val="0"/>
          <w:shd w:val="clear" w:color="auto" w:fill="FFFFFF"/>
        </w:rPr>
        <w:t>（七）分包：不允许</w:t>
      </w:r>
    </w:p>
    <w:p>
      <w:pPr>
        <w:widowControl/>
        <w:shd w:val="clear" w:color="auto" w:fill="FFFFFF"/>
        <w:ind w:firstLine="600" w:firstLineChars="0"/>
        <w:jc w:val="left"/>
        <w:rPr>
          <w:rFonts w:ascii="宋体" w:hAnsi="宋体" w:eastAsia="宋体" w:cs="宋体"/>
          <w:color w:val="000000"/>
          <w:kern w:val="0"/>
          <w:sz w:val="24"/>
          <w:szCs w:val="24"/>
        </w:rPr>
      </w:pPr>
      <w:r>
        <w:rPr>
          <w:rFonts w:hint="eastAsia" w:ascii="黑体" w:hAnsi="宋体" w:eastAsia="黑体" w:cs="黑体"/>
          <w:color w:val="000000"/>
          <w:kern w:val="0"/>
          <w:shd w:val="clear" w:color="auto" w:fill="FFFFFF"/>
        </w:rPr>
        <w:t>二、需要落实的政府采购政策</w:t>
      </w:r>
    </w:p>
    <w:p>
      <w:pPr>
        <w:widowControl/>
        <w:shd w:val="clear" w:color="auto" w:fill="FFFFFF"/>
        <w:ind w:firstLine="600" w:firstLineChars="0"/>
        <w:jc w:val="left"/>
        <w:rPr>
          <w:rFonts w:cs="宋体"/>
          <w:kern w:val="0"/>
        </w:rPr>
      </w:pPr>
      <w:r>
        <w:rPr>
          <w:rFonts w:hint="eastAsia"/>
          <w:kern w:val="0"/>
          <w:shd w:val="clear" w:color="auto" w:fill="FFFFFF"/>
        </w:rPr>
        <w:t>本项目落实节能环保</w:t>
      </w:r>
      <w:r>
        <w:rPr>
          <w:rFonts w:hint="eastAsia" w:cs="宋体"/>
          <w:kern w:val="0"/>
          <w:lang w:val="zh-CN"/>
        </w:rPr>
        <w:t>√</w:t>
      </w:r>
      <w:r>
        <w:rPr>
          <w:rFonts w:hint="eastAsia"/>
          <w:kern w:val="0"/>
          <w:shd w:val="clear" w:color="auto" w:fill="FFFFFF"/>
        </w:rPr>
        <w:t>、中小微型企业扶持</w:t>
      </w:r>
      <w:r>
        <w:rPr>
          <w:rFonts w:hint="eastAsia" w:cs="宋体"/>
          <w:kern w:val="0"/>
          <w:lang w:val="zh-CN"/>
        </w:rPr>
        <w:t>√</w:t>
      </w:r>
      <w:r>
        <w:rPr>
          <w:rFonts w:hint="eastAsia"/>
          <w:kern w:val="0"/>
          <w:shd w:val="clear" w:color="auto" w:fill="FFFFFF"/>
        </w:rPr>
        <w:t>、残疾人福利性单位扶持</w:t>
      </w:r>
      <w:r>
        <w:rPr>
          <w:rFonts w:hint="eastAsia" w:cs="宋体"/>
          <w:kern w:val="0"/>
          <w:lang w:val="zh-CN"/>
        </w:rPr>
        <w:t>√</w:t>
      </w:r>
      <w:r>
        <w:rPr>
          <w:rFonts w:hint="eastAsia"/>
          <w:kern w:val="0"/>
          <w:shd w:val="clear" w:color="auto" w:fill="FFFFFF"/>
        </w:rPr>
        <w:t>等相关政府采购政策。</w:t>
      </w:r>
    </w:p>
    <w:p>
      <w:pPr>
        <w:widowControl/>
        <w:shd w:val="clear" w:color="auto" w:fill="FFFFFF"/>
        <w:ind w:firstLine="600" w:firstLineChars="0"/>
        <w:jc w:val="left"/>
        <w:rPr>
          <w:rFonts w:ascii="宋体" w:hAnsi="宋体" w:eastAsia="宋体" w:cs="宋体"/>
          <w:color w:val="000000"/>
          <w:kern w:val="0"/>
        </w:rPr>
      </w:pPr>
      <w:r>
        <w:rPr>
          <w:rFonts w:hint="eastAsia" w:ascii="黑体" w:hAnsi="宋体" w:eastAsia="黑体" w:cs="黑体"/>
          <w:color w:val="000000"/>
          <w:kern w:val="0"/>
          <w:shd w:val="clear" w:color="auto" w:fill="FFFFFF"/>
        </w:rPr>
        <w:t>三、投标人资格要求</w:t>
      </w:r>
    </w:p>
    <w:p>
      <w:pPr>
        <w:widowControl/>
        <w:shd w:val="clear" w:color="auto" w:fill="FFFFFF"/>
        <w:ind w:firstLine="600" w:firstLineChars="0"/>
        <w:jc w:val="left"/>
        <w:rPr>
          <w:color w:val="000000"/>
          <w:kern w:val="0"/>
          <w:shd w:val="clear" w:color="auto" w:fill="FFFFFF"/>
        </w:rPr>
      </w:pPr>
      <w:r>
        <w:rPr>
          <w:rFonts w:hint="eastAsia"/>
          <w:color w:val="000000"/>
          <w:kern w:val="0"/>
          <w:shd w:val="clear" w:color="auto" w:fill="FFFFFF"/>
        </w:rPr>
        <w:t>1、具备《政府采购法》第二十二条第一款规定条件并提供相关材料。</w:t>
      </w:r>
    </w:p>
    <w:p>
      <w:pPr>
        <w:widowControl/>
        <w:shd w:val="clear" w:color="auto" w:fill="FFFFFF"/>
        <w:ind w:firstLine="640"/>
        <w:jc w:val="left"/>
        <w:rPr>
          <w:color w:val="000000"/>
          <w:kern w:val="0"/>
          <w:shd w:val="clear" w:color="auto" w:fill="FFFFFF"/>
        </w:rPr>
      </w:pPr>
      <w:r>
        <w:rPr>
          <w:rFonts w:hint="eastAsia"/>
          <w:color w:val="000000"/>
          <w:kern w:val="0"/>
          <w:shd w:val="clear" w:color="auto" w:fill="FFFFFF"/>
        </w:rPr>
        <w:t>2、本次招标不接受联合体投标。</w:t>
      </w:r>
    </w:p>
    <w:p>
      <w:pPr>
        <w:tabs>
          <w:tab w:val="left" w:pos="540"/>
        </w:tabs>
        <w:snapToGrid w:val="0"/>
        <w:ind w:firstLine="640"/>
        <w:rPr>
          <w:color w:val="000000"/>
          <w:kern w:val="0"/>
          <w:shd w:val="clear" w:color="auto" w:fill="FFFFFF"/>
          <w:lang w:val="zh-CN"/>
        </w:rPr>
      </w:pPr>
      <w:r>
        <w:rPr>
          <w:rFonts w:hint="eastAsia"/>
          <w:color w:val="000000"/>
          <w:kern w:val="0"/>
          <w:shd w:val="clear" w:color="auto" w:fill="FFFFFF"/>
        </w:rPr>
        <w:t>3、投标人与环境保护行政主管部门无行政隶属关系；</w:t>
      </w:r>
    </w:p>
    <w:p>
      <w:pPr>
        <w:tabs>
          <w:tab w:val="left" w:pos="540"/>
        </w:tabs>
        <w:snapToGrid w:val="0"/>
        <w:ind w:firstLine="627" w:firstLineChars="196"/>
        <w:rPr>
          <w:bCs/>
          <w:lang w:val="zh-CN"/>
        </w:rPr>
      </w:pPr>
      <w:r>
        <w:rPr>
          <w:rFonts w:hint="eastAsia" w:ascii="黑体" w:hAnsi="宋体" w:eastAsia="黑体" w:cs="黑体"/>
          <w:color w:val="000000"/>
          <w:kern w:val="0"/>
          <w:shd w:val="clear" w:color="auto" w:fill="FFFFFF"/>
        </w:rPr>
        <w:t>四、采购需求</w:t>
      </w:r>
    </w:p>
    <w:p>
      <w:pPr>
        <w:widowControl/>
        <w:shd w:val="clear" w:color="auto" w:fill="FFFFFF"/>
        <w:ind w:firstLine="600" w:firstLineChars="0"/>
        <w:jc w:val="left"/>
        <w:rPr>
          <w:color w:val="000000"/>
          <w:kern w:val="0"/>
          <w:shd w:val="clear" w:color="auto" w:fill="FFFFFF"/>
        </w:rPr>
      </w:pPr>
      <w:r>
        <w:rPr>
          <w:rFonts w:hint="eastAsia"/>
          <w:color w:val="000000"/>
          <w:kern w:val="0"/>
          <w:shd w:val="clear" w:color="auto" w:fill="FFFFFF"/>
        </w:rPr>
        <w:t>（一）本项目需实现的功能或者目标</w:t>
      </w:r>
    </w:p>
    <w:p>
      <w:pPr>
        <w:tabs>
          <w:tab w:val="left" w:pos="540"/>
        </w:tabs>
        <w:snapToGrid w:val="0"/>
        <w:ind w:firstLine="640"/>
        <w:rPr>
          <w:shd w:val="clear" w:color="auto" w:fill="FFFFFF"/>
        </w:rPr>
      </w:pPr>
      <w:r>
        <w:rPr>
          <w:rFonts w:hint="eastAsia"/>
          <w:color w:val="000000"/>
          <w:kern w:val="0"/>
          <w:shd w:val="clear" w:color="auto" w:fill="FFFFFF"/>
          <w:lang w:val="zh-CN"/>
        </w:rPr>
        <w:t>国务院部署的第二次全国污染源普查是一项重大的国情调查，历时三年，历经前期准备、清查建库、全面入户调查、数据录入审核汇总和总结成果发布五个环节阶段，时间紧，工作任务难度大，技术质量要求高。为此国务院第二次全国污染源普查领导小组办公室下发《关于做好第三方机构参与第二次全国污染源普查工作的通知》（国污普</w:t>
      </w:r>
      <w:r>
        <w:rPr>
          <w:rFonts w:hint="eastAsia" w:ascii="仿宋_GB2312" w:hAnsi="仿宋_GB2312" w:eastAsia="仿宋_GB2312" w:cs="仿宋_GB2312"/>
          <w:color w:val="000000"/>
          <w:kern w:val="0"/>
          <w:shd w:val="clear" w:color="auto" w:fill="FFFFFF"/>
          <w:lang w:val="zh-CN"/>
        </w:rPr>
        <w:t>〔</w:t>
      </w:r>
      <w:r>
        <w:rPr>
          <w:rFonts w:hint="eastAsia"/>
          <w:color w:val="000000"/>
          <w:kern w:val="0"/>
          <w:shd w:val="clear" w:color="auto" w:fill="FFFFFF"/>
        </w:rPr>
        <w:t>2017</w:t>
      </w:r>
      <w:r>
        <w:rPr>
          <w:rFonts w:hint="eastAsia" w:ascii="仿宋_GB2312" w:hAnsi="仿宋_GB2312" w:eastAsia="仿宋_GB2312" w:cs="仿宋_GB2312"/>
          <w:color w:val="000000"/>
          <w:kern w:val="0"/>
          <w:shd w:val="clear" w:color="auto" w:fill="FFFFFF"/>
          <w:lang w:val="zh-CN"/>
        </w:rPr>
        <w:t>〕</w:t>
      </w:r>
      <w:r>
        <w:rPr>
          <w:rFonts w:hint="eastAsia"/>
          <w:color w:val="000000"/>
          <w:kern w:val="0"/>
          <w:shd w:val="clear" w:color="auto" w:fill="FFFFFF"/>
        </w:rPr>
        <w:t>11号</w:t>
      </w:r>
      <w:r>
        <w:rPr>
          <w:rFonts w:hint="eastAsia"/>
          <w:color w:val="000000"/>
          <w:kern w:val="0"/>
          <w:shd w:val="clear" w:color="auto" w:fill="FFFFFF"/>
          <w:lang w:val="zh-CN"/>
        </w:rPr>
        <w:t>），鼓励支持第三方机构参与污染源普查工作。</w:t>
      </w:r>
    </w:p>
    <w:p>
      <w:pPr>
        <w:widowControl/>
        <w:shd w:val="clear" w:color="auto" w:fill="FFFFFF"/>
        <w:ind w:firstLine="640"/>
        <w:rPr>
          <w:kern w:val="0"/>
          <w:shd w:val="clear" w:color="auto" w:fill="FFFFFF"/>
        </w:rPr>
      </w:pPr>
      <w:r>
        <w:rPr>
          <w:rFonts w:hint="eastAsia"/>
          <w:shd w:val="clear" w:color="auto" w:fill="FFFFFF"/>
        </w:rPr>
        <w:t>摸清各类污染源基本情况,了解污染源数量、结构和分布状况,掌握全市、区域、流域、行业污染物产生、排放和处理情况,建立完善重点污染源档案、污染源信息数据库和环境统计平台,为加强污染源监管、改善环境质量、防控环境风险、服务环境与发展综合决策提供依据。</w:t>
      </w:r>
    </w:p>
    <w:p>
      <w:pPr>
        <w:widowControl/>
        <w:shd w:val="clear" w:color="auto" w:fill="FFFFFF"/>
        <w:ind w:firstLine="600" w:firstLineChars="0"/>
        <w:jc w:val="left"/>
        <w:rPr>
          <w:color w:val="000000"/>
          <w:kern w:val="0"/>
          <w:shd w:val="clear" w:color="auto" w:fill="FFFFFF"/>
        </w:rPr>
      </w:pPr>
      <w:r>
        <w:rPr>
          <w:rFonts w:hint="eastAsia"/>
          <w:color w:val="000000"/>
          <w:kern w:val="0"/>
          <w:shd w:val="clear" w:color="auto" w:fill="FFFFFF"/>
        </w:rPr>
        <w:t>（二）采购清单</w:t>
      </w:r>
    </w:p>
    <w:p>
      <w:pPr>
        <w:widowControl/>
        <w:shd w:val="clear" w:color="auto" w:fill="FFFFFF"/>
        <w:ind w:firstLine="600" w:firstLineChars="0"/>
        <w:jc w:val="left"/>
        <w:rPr>
          <w:b/>
          <w:lang w:val="zh-CN"/>
        </w:rPr>
      </w:pPr>
      <w:r>
        <w:rPr>
          <w:rFonts w:hint="eastAsia"/>
          <w:b/>
          <w:lang w:val="zh-CN"/>
        </w:rPr>
        <w:t>A包：污染源普查准备、清查建库、全面入户调查等重要内容相关技术服务</w:t>
      </w:r>
    </w:p>
    <w:p>
      <w:pPr>
        <w:tabs>
          <w:tab w:val="left" w:pos="540"/>
        </w:tabs>
        <w:snapToGrid w:val="0"/>
        <w:ind w:firstLine="627" w:firstLineChars="196"/>
        <w:rPr>
          <w:bCs/>
          <w:lang w:val="zh-CN"/>
        </w:rPr>
      </w:pPr>
      <w:r>
        <w:rPr>
          <w:rFonts w:hint="eastAsia"/>
          <w:bCs/>
          <w:lang w:val="zh-CN"/>
        </w:rPr>
        <w:t>其主要内容为：编制许昌市第二次全国污染源普查工作总体方案相关实施细则；建立许昌市第二次全国污染源普查基本单位名录库；编制许昌市第二次全国污染源普查技术分析报告；组织实施许昌市第二次全国污染源普查数据审核与数据汇总；开展许昌市第二次全国污染源普查质量评估编制评估报告；建立普查工作数据会审平台；建立许昌市第二次全国污染源普查污染源档案；组织实施</w:t>
      </w:r>
      <w:r>
        <w:rPr>
          <w:rFonts w:hint="eastAsia"/>
          <w:bCs/>
        </w:rPr>
        <w:t>采购人</w:t>
      </w:r>
      <w:r>
        <w:rPr>
          <w:rFonts w:hint="eastAsia"/>
          <w:bCs/>
          <w:lang w:val="zh-CN"/>
        </w:rPr>
        <w:t>牵头的“许昌市第二次全国污染源普查”相关技术服务。</w:t>
      </w:r>
    </w:p>
    <w:p>
      <w:pPr>
        <w:tabs>
          <w:tab w:val="left" w:pos="540"/>
        </w:tabs>
        <w:snapToGrid w:val="0"/>
        <w:ind w:firstLine="630" w:firstLineChars="196"/>
        <w:rPr>
          <w:b/>
          <w:lang w:val="zh-CN"/>
        </w:rPr>
      </w:pPr>
      <w:r>
        <w:rPr>
          <w:rFonts w:hint="eastAsia"/>
          <w:b/>
          <w:lang w:val="zh-CN"/>
        </w:rPr>
        <w:t>B包：许昌市建成区市政入河排污口和许昌市全市天然伴生放射性矿监测服务及报告。</w:t>
      </w:r>
    </w:p>
    <w:p>
      <w:pPr>
        <w:tabs>
          <w:tab w:val="left" w:pos="540"/>
        </w:tabs>
        <w:snapToGrid w:val="0"/>
        <w:ind w:firstLine="627" w:firstLineChars="196"/>
        <w:rPr>
          <w:bCs/>
          <w:lang w:val="zh-CN"/>
        </w:rPr>
      </w:pPr>
      <w:r>
        <w:rPr>
          <w:rFonts w:hint="eastAsia"/>
          <w:bCs/>
          <w:lang w:val="zh-CN"/>
        </w:rPr>
        <w:t>其主要内容为：</w:t>
      </w:r>
      <w:r>
        <w:rPr>
          <w:rFonts w:hint="eastAsia"/>
          <w:bCs/>
        </w:rPr>
        <w:t>1、</w:t>
      </w:r>
      <w:r>
        <w:rPr>
          <w:rFonts w:hint="eastAsia"/>
        </w:rPr>
        <w:t>许昌市区范围内市政排污口监测8个（枯水期、丰水期）；监测项目（COD、BOD5、氨氮、动植物油、总氮、总磷），</w:t>
      </w:r>
      <w:r>
        <w:rPr>
          <w:rFonts w:hint="eastAsia"/>
          <w:bCs/>
          <w:lang w:val="zh-CN"/>
        </w:rPr>
        <w:t>许昌市建成区市政入河排污口监测服务与报告；</w:t>
      </w:r>
      <w:r>
        <w:rPr>
          <w:rFonts w:hint="eastAsia"/>
          <w:bCs/>
        </w:rPr>
        <w:t>2、</w:t>
      </w:r>
      <w:r>
        <w:rPr>
          <w:rFonts w:hint="eastAsia"/>
          <w:bCs/>
          <w:lang w:val="zh-CN"/>
        </w:rPr>
        <w:t>符合伴生矿调查条件约有 84家企业进行筛选、调查、检测研究；γ辐射剂量率检测（原料和产品、废石、废渣、废水、大气、对照点）。</w:t>
      </w:r>
    </w:p>
    <w:p>
      <w:pPr>
        <w:widowControl/>
        <w:shd w:val="clear" w:color="auto" w:fill="FFFFFF"/>
        <w:ind w:firstLine="480" w:firstLineChars="150"/>
        <w:jc w:val="left"/>
        <w:rPr>
          <w:color w:val="000000"/>
          <w:kern w:val="0"/>
          <w:shd w:val="clear" w:color="auto" w:fill="FFFFFF"/>
        </w:rPr>
      </w:pPr>
      <w:r>
        <w:rPr>
          <w:rFonts w:hint="eastAsia"/>
          <w:color w:val="000000"/>
          <w:kern w:val="0"/>
          <w:shd w:val="clear" w:color="auto" w:fill="FFFFFF"/>
        </w:rPr>
        <w:t>（三）采购标的执行标准</w:t>
      </w:r>
    </w:p>
    <w:p>
      <w:pPr>
        <w:tabs>
          <w:tab w:val="left" w:pos="540"/>
        </w:tabs>
        <w:snapToGrid w:val="0"/>
        <w:ind w:firstLine="627" w:firstLineChars="196"/>
        <w:rPr>
          <w:bCs/>
          <w:lang w:val="zh-CN"/>
        </w:rPr>
      </w:pPr>
      <w:r>
        <w:rPr>
          <w:rFonts w:hint="eastAsia"/>
          <w:bCs/>
        </w:rPr>
        <w:t>1.</w:t>
      </w:r>
      <w:r>
        <w:rPr>
          <w:rFonts w:hint="eastAsia"/>
          <w:bCs/>
          <w:lang w:val="zh-CN"/>
        </w:rPr>
        <w:t>《</w:t>
      </w:r>
      <w:r>
        <w:rPr>
          <w:rFonts w:hint="eastAsia"/>
          <w:bCs/>
        </w:rPr>
        <w:t>河南省人民政府办公厅关于印发河南省第二次全国污染源普查工作方案的通知</w:t>
      </w:r>
      <w:r>
        <w:rPr>
          <w:rFonts w:hint="eastAsia"/>
          <w:bCs/>
          <w:lang w:val="zh-CN"/>
        </w:rPr>
        <w:t>》</w:t>
      </w:r>
    </w:p>
    <w:p>
      <w:pPr>
        <w:widowControl/>
        <w:shd w:val="clear" w:color="auto" w:fill="FFFFFF"/>
        <w:ind w:firstLine="640"/>
        <w:jc w:val="left"/>
        <w:rPr>
          <w:color w:val="000000"/>
          <w:kern w:val="0"/>
          <w:shd w:val="clear" w:color="auto" w:fill="FFFFFF"/>
        </w:rPr>
      </w:pPr>
      <w:r>
        <w:rPr>
          <w:rFonts w:hint="eastAsia"/>
          <w:color w:val="000000"/>
          <w:kern w:val="0"/>
          <w:shd w:val="clear" w:color="auto" w:fill="FFFFFF"/>
        </w:rPr>
        <w:t>2.关于印发《第二次全国污染源普查清查技术规定》的通知</w:t>
      </w:r>
    </w:p>
    <w:p>
      <w:pPr>
        <w:widowControl/>
        <w:shd w:val="clear" w:color="auto" w:fill="FFFFFF"/>
        <w:ind w:firstLine="640"/>
        <w:jc w:val="left"/>
        <w:rPr>
          <w:color w:val="000000"/>
          <w:kern w:val="0"/>
          <w:shd w:val="clear" w:color="auto" w:fill="FFFFFF"/>
        </w:rPr>
      </w:pPr>
      <w:r>
        <w:rPr>
          <w:rFonts w:hint="eastAsia"/>
          <w:color w:val="000000"/>
          <w:kern w:val="0"/>
          <w:shd w:val="clear" w:color="auto" w:fill="FFFFFF"/>
        </w:rPr>
        <w:t>3.《关于印发河南省第二次全国污染源普查工作要点的通知》</w:t>
      </w:r>
    </w:p>
    <w:p>
      <w:pPr>
        <w:widowControl/>
        <w:shd w:val="clear" w:color="auto" w:fill="FFFFFF"/>
        <w:ind w:firstLine="640"/>
        <w:jc w:val="left"/>
        <w:rPr>
          <w:color w:val="000000"/>
          <w:kern w:val="0"/>
          <w:shd w:val="clear" w:color="auto" w:fill="FFFFFF"/>
        </w:rPr>
      </w:pPr>
      <w:r>
        <w:rPr>
          <w:rFonts w:hint="eastAsia"/>
          <w:color w:val="000000"/>
          <w:kern w:val="0"/>
          <w:shd w:val="clear" w:color="auto" w:fill="FFFFFF"/>
        </w:rPr>
        <w:t>4.《关于第二次全国污染源普查质量管理工作的指导意见》</w:t>
      </w:r>
    </w:p>
    <w:p>
      <w:pPr>
        <w:widowControl/>
        <w:shd w:val="clear" w:color="auto" w:fill="FFFFFF"/>
        <w:ind w:firstLine="480" w:firstLineChars="150"/>
        <w:jc w:val="left"/>
        <w:rPr>
          <w:color w:val="000000"/>
          <w:kern w:val="0"/>
          <w:shd w:val="clear" w:color="auto" w:fill="FFFFFF"/>
        </w:rPr>
      </w:pPr>
      <w:r>
        <w:rPr>
          <w:rFonts w:hint="eastAsia"/>
          <w:color w:val="000000"/>
          <w:kern w:val="0"/>
          <w:shd w:val="clear" w:color="auto" w:fill="FFFFFF"/>
        </w:rPr>
        <w:t>（四）服务标准、期限、效率等要求</w:t>
      </w:r>
    </w:p>
    <w:p>
      <w:pPr>
        <w:tabs>
          <w:tab w:val="left" w:pos="540"/>
        </w:tabs>
        <w:snapToGrid w:val="0"/>
        <w:ind w:firstLine="627" w:firstLineChars="196"/>
        <w:rPr>
          <w:color w:val="000000"/>
          <w:kern w:val="0"/>
          <w:shd w:val="clear" w:color="auto" w:fill="FFFFFF"/>
        </w:rPr>
      </w:pPr>
      <w:r>
        <w:rPr>
          <w:rFonts w:hint="eastAsia"/>
          <w:color w:val="000000"/>
          <w:kern w:val="0"/>
          <w:shd w:val="clear" w:color="auto" w:fill="FFFFFF"/>
        </w:rPr>
        <w:t>以上服务内容必须符合国家、地方及行业现行相关标准和规定，</w:t>
      </w:r>
      <w:r>
        <w:rPr>
          <w:rFonts w:hint="eastAsia"/>
          <w:bCs/>
          <w:lang w:val="zh-CN"/>
        </w:rPr>
        <w:t>最终成果满足国家、省、市污染源普查领导机构下发的技术规范、标准和相关规定，并使各项任务执行历程与上级污普办要求的时间节点同步，并在质量上达到上级普查部门组织的质量核查和评审、验收</w:t>
      </w:r>
      <w:r>
        <w:rPr>
          <w:rFonts w:hint="eastAsia"/>
          <w:color w:val="000000"/>
          <w:kern w:val="0"/>
          <w:shd w:val="clear" w:color="auto" w:fill="FFFFFF"/>
        </w:rPr>
        <w:t>质量要求达到合格。</w:t>
      </w:r>
      <w:r>
        <w:rPr>
          <w:rFonts w:hint="eastAsia"/>
          <w:bCs/>
          <w:lang w:val="zh-CN"/>
        </w:rPr>
        <w:t>A包自签订合同后至2019年底。B包自合同签订后至监测报告验收合格。</w:t>
      </w:r>
    </w:p>
    <w:p>
      <w:pPr>
        <w:tabs>
          <w:tab w:val="left" w:pos="540"/>
        </w:tabs>
        <w:snapToGrid w:val="0"/>
        <w:ind w:firstLine="627" w:firstLineChars="196"/>
        <w:rPr>
          <w:color w:val="000000"/>
          <w:kern w:val="0"/>
          <w:shd w:val="clear" w:color="auto" w:fill="FFFFFF"/>
        </w:rPr>
      </w:pPr>
      <w:r>
        <w:rPr>
          <w:rFonts w:hint="eastAsia"/>
          <w:color w:val="000000"/>
          <w:kern w:val="0"/>
          <w:shd w:val="clear" w:color="auto" w:fill="FFFFFF"/>
        </w:rPr>
        <w:t>（五）验收标准</w:t>
      </w:r>
    </w:p>
    <w:p>
      <w:pPr>
        <w:widowControl/>
        <w:shd w:val="clear" w:color="auto" w:fill="FFFFFF"/>
        <w:ind w:firstLine="600" w:firstLineChars="0"/>
        <w:rPr>
          <w:bCs/>
          <w:lang w:val="zh-CN"/>
        </w:rPr>
      </w:pPr>
      <w:r>
        <w:rPr>
          <w:rFonts w:hint="eastAsia"/>
          <w:bCs/>
          <w:lang w:val="zh-CN"/>
        </w:rPr>
        <w:t xml:space="preserve">1、最终成果满足国家、省、市污染源普查领导机构下发的技术规范、标准和相关规定，并使各项任务执行历程与上级污普办要求的时间节点同步，并在质量上达到上级普查部门组织的质量核查和评审、验收。 </w:t>
      </w:r>
    </w:p>
    <w:p>
      <w:pPr>
        <w:widowControl/>
        <w:shd w:val="clear" w:color="auto" w:fill="FFFFFF"/>
        <w:ind w:firstLine="600" w:firstLineChars="0"/>
        <w:rPr>
          <w:rFonts w:ascii="宋体" w:hAnsi="宋体" w:eastAsia="宋体" w:cs="宋体"/>
          <w:color w:val="000000"/>
          <w:kern w:val="0"/>
        </w:rPr>
      </w:pPr>
      <w:r>
        <w:rPr>
          <w:rFonts w:hint="eastAsia"/>
          <w:color w:val="000000"/>
          <w:kern w:val="0"/>
          <w:shd w:val="clear" w:color="auto" w:fill="FFFFFF"/>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ind w:firstLine="600" w:firstLineChars="0"/>
        <w:jc w:val="left"/>
        <w:rPr>
          <w:rFonts w:ascii="宋体" w:hAnsi="宋体" w:eastAsia="宋体" w:cs="宋体"/>
          <w:color w:val="000000"/>
          <w:kern w:val="0"/>
        </w:rPr>
      </w:pPr>
      <w:r>
        <w:rPr>
          <w:rFonts w:hint="eastAsia" w:ascii="黑体" w:hAnsi="宋体" w:eastAsia="黑体" w:cs="黑体"/>
          <w:color w:val="000000"/>
          <w:kern w:val="0"/>
          <w:shd w:val="clear" w:color="auto" w:fill="FFFFFF"/>
        </w:rPr>
        <w:t>五、评标方法和评标标准</w:t>
      </w:r>
    </w:p>
    <w:p>
      <w:pPr>
        <w:widowControl/>
        <w:shd w:val="clear" w:color="auto" w:fill="FFFFFF"/>
        <w:ind w:firstLine="600" w:firstLineChars="0"/>
        <w:jc w:val="left"/>
        <w:rPr>
          <w:rFonts w:cs="宋体"/>
          <w:color w:val="000000"/>
          <w:kern w:val="0"/>
        </w:rPr>
      </w:pPr>
      <w:r>
        <w:rPr>
          <w:rFonts w:hint="eastAsia"/>
          <w:color w:val="000000"/>
          <w:kern w:val="0"/>
          <w:shd w:val="clear" w:color="auto" w:fill="FFFFFF"/>
        </w:rPr>
        <w:t>（一）评标方法：最低评标价法□ 综合评分法</w:t>
      </w:r>
      <w:r>
        <w:rPr>
          <w:rFonts w:hint="eastAsia" w:cs="宋体"/>
          <w:color w:val="000000"/>
          <w:kern w:val="0"/>
          <w:lang w:val="zh-CN"/>
        </w:rPr>
        <w:t>√</w:t>
      </w:r>
    </w:p>
    <w:p>
      <w:pPr>
        <w:widowControl/>
        <w:shd w:val="clear" w:color="auto" w:fill="FFFFFF"/>
        <w:ind w:firstLine="600" w:firstLineChars="0"/>
        <w:jc w:val="left"/>
        <w:rPr>
          <w:color w:val="000000"/>
          <w:kern w:val="0"/>
          <w:shd w:val="clear" w:color="auto" w:fill="FFFFFF"/>
        </w:rPr>
      </w:pPr>
      <w:r>
        <w:rPr>
          <w:rFonts w:hint="eastAsia"/>
          <w:color w:val="000000"/>
          <w:kern w:val="0"/>
          <w:shd w:val="clear" w:color="auto" w:fill="FFFFFF"/>
        </w:rPr>
        <w:t>（二）综合评分法评标标准：</w:t>
      </w:r>
    </w:p>
    <w:p>
      <w:pPr>
        <w:tabs>
          <w:tab w:val="left" w:pos="540"/>
        </w:tabs>
        <w:snapToGrid w:val="0"/>
        <w:spacing w:line="520" w:lineRule="exact"/>
        <w:ind w:firstLine="198" w:firstLineChars="62"/>
        <w:jc w:val="left"/>
        <w:rPr>
          <w:lang w:val="zh-CN"/>
        </w:rPr>
      </w:pPr>
      <w:r>
        <w:rPr>
          <w:rFonts w:hint="eastAsia"/>
          <w:lang w:val="zh-CN"/>
        </w:rPr>
        <w:t>1</w:t>
      </w:r>
      <w:r>
        <w:rPr>
          <w:lang w:val="zh-CN"/>
        </w:rPr>
        <w:t>、</w:t>
      </w:r>
      <w:r>
        <w:rPr>
          <w:rFonts w:hint="eastAsia"/>
          <w:lang w:val="zh-CN"/>
        </w:rPr>
        <w:t>A包</w:t>
      </w:r>
    </w:p>
    <w:tbl>
      <w:tblPr>
        <w:tblStyle w:val="10"/>
        <w:tblpPr w:leftFromText="180" w:rightFromText="180" w:vertAnchor="text" w:horzAnchor="margin" w:tblpXSpec="center" w:tblpY="518"/>
        <w:tblW w:w="852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23"/>
        <w:gridCol w:w="6298"/>
        <w:gridCol w:w="90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255" w:hRule="atLeast"/>
        </w:trPr>
        <w:tc>
          <w:tcPr>
            <w:tcW w:w="132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0" w:firstLineChars="0"/>
              <w:rPr>
                <w:bCs/>
                <w:sz w:val="24"/>
                <w:szCs w:val="24"/>
                <w:lang w:val="zh-CN"/>
              </w:rPr>
            </w:pPr>
            <w:r>
              <w:rPr>
                <w:rFonts w:hint="eastAsia"/>
                <w:bCs/>
                <w:sz w:val="24"/>
                <w:szCs w:val="24"/>
                <w:lang w:val="zh-CN"/>
              </w:rPr>
              <w:t>分值构成</w:t>
            </w:r>
          </w:p>
        </w:tc>
        <w:tc>
          <w:tcPr>
            <w:tcW w:w="7199"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470" w:firstLineChars="196"/>
              <w:rPr>
                <w:bCs/>
                <w:sz w:val="24"/>
                <w:szCs w:val="24"/>
                <w:lang w:val="zh-CN"/>
              </w:rPr>
            </w:pPr>
            <w:r>
              <w:rPr>
                <w:rFonts w:hint="eastAsia"/>
                <w:bCs/>
                <w:sz w:val="24"/>
                <w:szCs w:val="24"/>
                <w:lang w:val="zh-CN"/>
              </w:rPr>
              <w:t>有效投标报价分值：</w:t>
            </w:r>
            <w:r>
              <w:rPr>
                <w:bCs/>
                <w:sz w:val="24"/>
                <w:szCs w:val="24"/>
                <w:lang w:val="zh-CN"/>
              </w:rPr>
              <w:t xml:space="preserve"> 1</w:t>
            </w:r>
            <w:r>
              <w:rPr>
                <w:rFonts w:hint="eastAsia"/>
                <w:bCs/>
                <w:sz w:val="24"/>
                <w:szCs w:val="24"/>
              </w:rPr>
              <w:t>0</w:t>
            </w:r>
            <w:r>
              <w:rPr>
                <w:bCs/>
                <w:sz w:val="24"/>
                <w:szCs w:val="24"/>
                <w:lang w:val="zh-CN"/>
              </w:rPr>
              <w:t>分</w:t>
            </w:r>
          </w:p>
          <w:p>
            <w:pPr>
              <w:tabs>
                <w:tab w:val="left" w:pos="540"/>
              </w:tabs>
              <w:snapToGrid w:val="0"/>
              <w:spacing w:line="520" w:lineRule="exact"/>
              <w:ind w:firstLine="470" w:firstLineChars="196"/>
              <w:rPr>
                <w:bCs/>
                <w:sz w:val="24"/>
                <w:szCs w:val="24"/>
                <w:lang w:val="zh-CN"/>
              </w:rPr>
            </w:pPr>
            <w:r>
              <w:rPr>
                <w:rFonts w:hint="eastAsia"/>
                <w:bCs/>
                <w:sz w:val="24"/>
                <w:szCs w:val="24"/>
                <w:lang w:val="zh-CN"/>
              </w:rPr>
              <w:t>商务部分：</w:t>
            </w:r>
            <w:r>
              <w:rPr>
                <w:bCs/>
                <w:sz w:val="24"/>
                <w:szCs w:val="24"/>
                <w:lang w:val="zh-CN"/>
              </w:rPr>
              <w:t xml:space="preserve">         </w:t>
            </w:r>
            <w:r>
              <w:rPr>
                <w:rFonts w:hint="eastAsia"/>
                <w:bCs/>
                <w:sz w:val="24"/>
                <w:szCs w:val="24"/>
              </w:rPr>
              <w:t>50</w:t>
            </w:r>
            <w:r>
              <w:rPr>
                <w:bCs/>
                <w:sz w:val="24"/>
                <w:szCs w:val="24"/>
                <w:lang w:val="zh-CN"/>
              </w:rPr>
              <w:t>分</w:t>
            </w:r>
          </w:p>
          <w:p>
            <w:pPr>
              <w:tabs>
                <w:tab w:val="left" w:pos="540"/>
              </w:tabs>
              <w:snapToGrid w:val="0"/>
              <w:spacing w:line="520" w:lineRule="exact"/>
              <w:ind w:firstLine="470" w:firstLineChars="196"/>
              <w:rPr>
                <w:bCs/>
                <w:sz w:val="24"/>
                <w:szCs w:val="24"/>
                <w:lang w:val="zh-CN"/>
              </w:rPr>
            </w:pPr>
            <w:r>
              <w:rPr>
                <w:rFonts w:hint="eastAsia"/>
                <w:bCs/>
                <w:sz w:val="24"/>
                <w:szCs w:val="24"/>
                <w:lang w:val="zh-CN"/>
              </w:rPr>
              <w:t>技术部分：</w:t>
            </w:r>
            <w:r>
              <w:rPr>
                <w:bCs/>
                <w:sz w:val="24"/>
                <w:szCs w:val="24"/>
                <w:lang w:val="zh-CN"/>
              </w:rPr>
              <w:t xml:space="preserve">         4</w:t>
            </w:r>
            <w:r>
              <w:rPr>
                <w:rFonts w:hint="eastAsia"/>
                <w:bCs/>
                <w:sz w:val="24"/>
                <w:szCs w:val="24"/>
              </w:rPr>
              <w:t>0</w:t>
            </w:r>
            <w:r>
              <w:rPr>
                <w:bCs/>
                <w:sz w:val="24"/>
                <w:szCs w:val="24"/>
                <w:lang w:val="zh-CN"/>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522"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472" w:firstLineChars="196"/>
              <w:jc w:val="center"/>
              <w:rPr>
                <w:b/>
                <w:bCs/>
                <w:sz w:val="24"/>
                <w:szCs w:val="24"/>
                <w:lang w:val="zh-CN"/>
              </w:rPr>
            </w:pPr>
            <w:r>
              <w:rPr>
                <w:rFonts w:hint="eastAsia"/>
                <w:b/>
                <w:bCs/>
                <w:sz w:val="24"/>
                <w:szCs w:val="24"/>
                <w:lang w:val="zh-CN"/>
              </w:rPr>
              <w:t>一、价格部分（满分1</w:t>
            </w:r>
            <w:r>
              <w:rPr>
                <w:rFonts w:hint="eastAsia"/>
                <w:b/>
                <w:bCs/>
                <w:sz w:val="24"/>
                <w:szCs w:val="24"/>
              </w:rPr>
              <w:t>0</w:t>
            </w:r>
            <w:r>
              <w:rPr>
                <w:rFonts w:hint="eastAsia"/>
                <w:b/>
                <w:bCs/>
                <w:sz w:val="24"/>
                <w:szCs w:val="24"/>
                <w:lang w:val="zh-CN"/>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3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0" w:firstLineChars="0"/>
              <w:rPr>
                <w:b/>
                <w:bCs/>
                <w:sz w:val="24"/>
                <w:szCs w:val="24"/>
                <w:lang w:val="zh-CN"/>
              </w:rPr>
            </w:pPr>
            <w:r>
              <w:rPr>
                <w:rFonts w:hint="eastAsia"/>
                <w:b/>
                <w:bCs/>
                <w:sz w:val="24"/>
                <w:szCs w:val="24"/>
                <w:lang w:val="zh-CN"/>
              </w:rPr>
              <w:t>评分因素</w:t>
            </w:r>
          </w:p>
        </w:tc>
        <w:tc>
          <w:tcPr>
            <w:tcW w:w="62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2038" w:firstLineChars="846"/>
              <w:rPr>
                <w:b/>
                <w:bCs/>
                <w:sz w:val="24"/>
                <w:szCs w:val="24"/>
                <w:lang w:val="zh-CN"/>
              </w:rPr>
            </w:pPr>
            <w:r>
              <w:rPr>
                <w:rFonts w:hint="eastAsia"/>
                <w:b/>
                <w:bCs/>
                <w:sz w:val="24"/>
                <w:szCs w:val="24"/>
                <w:lang w:val="zh-CN"/>
              </w:rPr>
              <w:t>评分标准</w:t>
            </w:r>
          </w:p>
        </w:tc>
        <w:tc>
          <w:tcPr>
            <w:tcW w:w="9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0" w:firstLineChars="0"/>
              <w:rPr>
                <w:b/>
                <w:bCs/>
                <w:sz w:val="24"/>
                <w:szCs w:val="24"/>
                <w:lang w:val="zh-CN"/>
              </w:rPr>
            </w:pPr>
            <w:r>
              <w:rPr>
                <w:rFonts w:hint="eastAsia"/>
                <w:b/>
                <w:bCs/>
                <w:sz w:val="24"/>
                <w:szCs w:val="24"/>
                <w:lang w:val="zh-CN"/>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3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0" w:firstLineChars="0"/>
              <w:rPr>
                <w:bCs/>
                <w:sz w:val="24"/>
                <w:szCs w:val="24"/>
                <w:lang w:val="zh-CN"/>
              </w:rPr>
            </w:pPr>
            <w:r>
              <w:rPr>
                <w:rFonts w:hint="eastAsia"/>
                <w:bCs/>
                <w:sz w:val="24"/>
                <w:szCs w:val="24"/>
                <w:lang w:val="zh-CN"/>
              </w:rPr>
              <w:t>投标报价</w:t>
            </w:r>
          </w:p>
          <w:p>
            <w:pPr>
              <w:tabs>
                <w:tab w:val="left" w:pos="540"/>
              </w:tabs>
              <w:snapToGrid w:val="0"/>
              <w:spacing w:line="520" w:lineRule="exact"/>
              <w:ind w:firstLine="0" w:firstLineChars="0"/>
              <w:rPr>
                <w:bCs/>
                <w:sz w:val="24"/>
                <w:szCs w:val="24"/>
                <w:lang w:val="zh-CN"/>
              </w:rPr>
            </w:pPr>
            <w:r>
              <w:rPr>
                <w:rFonts w:hint="eastAsia"/>
                <w:bCs/>
                <w:sz w:val="24"/>
                <w:szCs w:val="24"/>
                <w:lang w:val="zh-CN"/>
              </w:rPr>
              <w:t>评分标准</w:t>
            </w:r>
          </w:p>
        </w:tc>
        <w:tc>
          <w:tcPr>
            <w:tcW w:w="62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480"/>
              <w:rPr>
                <w:bCs/>
                <w:sz w:val="24"/>
                <w:szCs w:val="24"/>
                <w:lang w:val="zh-CN"/>
              </w:rPr>
            </w:pPr>
            <w:r>
              <w:rPr>
                <w:rFonts w:hint="eastAsia"/>
                <w:bCs/>
                <w:sz w:val="24"/>
                <w:szCs w:val="24"/>
                <w:lang w:val="zh-CN"/>
              </w:rPr>
              <w:t>评标基准价：满足招标文件要求的有效投标报价中，最低的投标报价为评标基准价。</w:t>
            </w:r>
          </w:p>
          <w:p>
            <w:pPr>
              <w:tabs>
                <w:tab w:val="left" w:pos="540"/>
              </w:tabs>
              <w:snapToGrid w:val="0"/>
              <w:spacing w:line="520" w:lineRule="exact"/>
              <w:ind w:firstLine="480"/>
              <w:rPr>
                <w:bCs/>
                <w:sz w:val="24"/>
                <w:szCs w:val="24"/>
                <w:lang w:val="zh-CN"/>
              </w:rPr>
            </w:pPr>
            <w:r>
              <w:rPr>
                <w:rFonts w:hint="eastAsia"/>
                <w:bCs/>
                <w:sz w:val="24"/>
                <w:szCs w:val="24"/>
                <w:lang w:val="zh-CN"/>
              </w:rPr>
              <w:t>投标报价得分=（评标基准价/有效投标报价）×1</w:t>
            </w:r>
            <w:r>
              <w:rPr>
                <w:rFonts w:hint="eastAsia"/>
                <w:bCs/>
                <w:sz w:val="24"/>
                <w:szCs w:val="24"/>
              </w:rPr>
              <w:t>0</w:t>
            </w:r>
          </w:p>
        </w:tc>
        <w:tc>
          <w:tcPr>
            <w:tcW w:w="9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0" w:firstLineChars="0"/>
              <w:rPr>
                <w:bCs/>
                <w:sz w:val="24"/>
                <w:szCs w:val="24"/>
                <w:lang w:val="zh-CN"/>
              </w:rPr>
            </w:pPr>
            <w:r>
              <w:rPr>
                <w:rFonts w:hint="eastAsia"/>
                <w:bCs/>
                <w:sz w:val="24"/>
                <w:szCs w:val="24"/>
                <w:lang w:val="zh-CN"/>
              </w:rPr>
              <w:t>1</w:t>
            </w:r>
            <w:r>
              <w:rPr>
                <w:rFonts w:hint="eastAsia"/>
                <w:bCs/>
                <w:sz w:val="24"/>
                <w:szCs w:val="24"/>
              </w:rPr>
              <w:t>0</w:t>
            </w:r>
            <w:r>
              <w:rPr>
                <w:rFonts w:hint="eastAsia"/>
                <w:bCs/>
                <w:sz w:val="24"/>
                <w:szCs w:val="24"/>
                <w:lang w:val="zh-CN"/>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522"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2882" w:firstLineChars="1196"/>
              <w:rPr>
                <w:b/>
                <w:bCs/>
                <w:sz w:val="24"/>
                <w:szCs w:val="24"/>
                <w:lang w:val="zh-CN"/>
              </w:rPr>
            </w:pPr>
            <w:r>
              <w:rPr>
                <w:rFonts w:hint="eastAsia"/>
                <w:b/>
                <w:bCs/>
                <w:sz w:val="24"/>
                <w:szCs w:val="24"/>
                <w:lang w:val="zh-CN"/>
              </w:rPr>
              <w:t>二、商务部分（满分</w:t>
            </w:r>
            <w:r>
              <w:rPr>
                <w:rFonts w:hint="eastAsia"/>
                <w:b/>
                <w:bCs/>
                <w:sz w:val="24"/>
                <w:szCs w:val="24"/>
              </w:rPr>
              <w:t>50</w:t>
            </w:r>
            <w:r>
              <w:rPr>
                <w:rFonts w:hint="eastAsia"/>
                <w:b/>
                <w:bCs/>
                <w:sz w:val="24"/>
                <w:szCs w:val="24"/>
                <w:lang w:val="zh-CN"/>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3" w:hRule="atLeast"/>
        </w:trPr>
        <w:tc>
          <w:tcPr>
            <w:tcW w:w="13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0" w:firstLineChars="0"/>
              <w:rPr>
                <w:b/>
                <w:bCs/>
                <w:sz w:val="24"/>
                <w:szCs w:val="24"/>
                <w:lang w:val="zh-CN"/>
              </w:rPr>
            </w:pPr>
            <w:r>
              <w:rPr>
                <w:rFonts w:hint="eastAsia"/>
                <w:b/>
                <w:bCs/>
                <w:sz w:val="24"/>
                <w:szCs w:val="24"/>
                <w:lang w:val="zh-CN"/>
              </w:rPr>
              <w:t>评分因素</w:t>
            </w:r>
          </w:p>
        </w:tc>
        <w:tc>
          <w:tcPr>
            <w:tcW w:w="62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2038" w:firstLineChars="846"/>
              <w:rPr>
                <w:b/>
                <w:bCs/>
                <w:sz w:val="24"/>
                <w:szCs w:val="24"/>
                <w:lang w:val="zh-CN"/>
              </w:rPr>
            </w:pPr>
            <w:r>
              <w:rPr>
                <w:rFonts w:hint="eastAsia"/>
                <w:b/>
                <w:bCs/>
                <w:sz w:val="24"/>
                <w:szCs w:val="24"/>
                <w:lang w:val="zh-CN"/>
              </w:rPr>
              <w:t>评分标准</w:t>
            </w:r>
          </w:p>
        </w:tc>
        <w:tc>
          <w:tcPr>
            <w:tcW w:w="9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0" w:firstLineChars="0"/>
              <w:rPr>
                <w:b/>
                <w:bCs/>
                <w:sz w:val="24"/>
                <w:szCs w:val="24"/>
                <w:lang w:val="zh-CN"/>
              </w:rPr>
            </w:pPr>
            <w:r>
              <w:rPr>
                <w:rFonts w:hint="eastAsia"/>
                <w:b/>
                <w:bCs/>
                <w:sz w:val="24"/>
                <w:szCs w:val="24"/>
                <w:lang w:val="zh-CN"/>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75" w:hRule="atLeast"/>
        </w:trPr>
        <w:tc>
          <w:tcPr>
            <w:tcW w:w="1323"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0" w:firstLineChars="0"/>
              <w:rPr>
                <w:bCs/>
                <w:sz w:val="24"/>
                <w:szCs w:val="24"/>
                <w:lang w:val="zh-CN"/>
              </w:rPr>
            </w:pPr>
            <w:r>
              <w:rPr>
                <w:rFonts w:hint="eastAsia"/>
                <w:bCs/>
                <w:sz w:val="24"/>
                <w:szCs w:val="24"/>
                <w:lang w:val="zh-CN"/>
              </w:rPr>
              <w:t>投标人技术实力和人员能力</w:t>
            </w:r>
          </w:p>
        </w:tc>
        <w:tc>
          <w:tcPr>
            <w:tcW w:w="6298"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numPr>
                <w:ilvl w:val="0"/>
                <w:numId w:val="1"/>
              </w:numPr>
              <w:tabs>
                <w:tab w:val="left" w:pos="540"/>
              </w:tabs>
              <w:snapToGrid w:val="0"/>
              <w:spacing w:line="520" w:lineRule="exact"/>
              <w:ind w:firstLine="199" w:firstLineChars="83"/>
              <w:rPr>
                <w:bCs/>
                <w:sz w:val="24"/>
                <w:szCs w:val="24"/>
              </w:rPr>
            </w:pPr>
            <w:r>
              <w:rPr>
                <w:rFonts w:hint="eastAsia"/>
                <w:bCs/>
                <w:sz w:val="24"/>
                <w:szCs w:val="24"/>
              </w:rPr>
              <w:t>投标人具有国家环保部颁发的环境影响评价乙级资质或以上资质者得17分，没有者该项不得分。</w:t>
            </w:r>
          </w:p>
          <w:p>
            <w:pPr>
              <w:tabs>
                <w:tab w:val="left" w:pos="540"/>
              </w:tabs>
              <w:snapToGrid w:val="0"/>
              <w:spacing w:line="520" w:lineRule="exact"/>
              <w:ind w:firstLine="240" w:firstLineChars="100"/>
              <w:rPr>
                <w:bCs/>
                <w:sz w:val="24"/>
                <w:szCs w:val="24"/>
              </w:rPr>
            </w:pPr>
            <w:r>
              <w:rPr>
                <w:rFonts w:hint="eastAsia"/>
                <w:bCs/>
                <w:sz w:val="24"/>
                <w:szCs w:val="24"/>
              </w:rPr>
              <w:t>2、投标人具有国家住建部颁发的环境工程设计乙级资质或以上资质者得分17分，没有者该项不得分。</w:t>
            </w:r>
          </w:p>
          <w:p>
            <w:pPr>
              <w:tabs>
                <w:tab w:val="left" w:pos="540"/>
              </w:tabs>
              <w:snapToGrid w:val="0"/>
              <w:spacing w:line="520" w:lineRule="exact"/>
              <w:ind w:firstLine="199" w:firstLineChars="83"/>
              <w:rPr>
                <w:bCs/>
                <w:sz w:val="24"/>
                <w:szCs w:val="24"/>
              </w:rPr>
            </w:pPr>
            <w:r>
              <w:rPr>
                <w:rFonts w:hint="eastAsia"/>
                <w:bCs/>
                <w:sz w:val="24"/>
                <w:szCs w:val="24"/>
                <w:lang w:val="zh-CN"/>
              </w:rPr>
              <w:t>注：投标人资质证书以原件扫描件为准，没有提供者不得分。</w:t>
            </w:r>
          </w:p>
        </w:tc>
        <w:tc>
          <w:tcPr>
            <w:tcW w:w="90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0" w:firstLineChars="0"/>
              <w:rPr>
                <w:bCs/>
                <w:sz w:val="24"/>
                <w:szCs w:val="24"/>
                <w:lang w:val="zh-CN"/>
              </w:rPr>
            </w:pPr>
            <w:r>
              <w:rPr>
                <w:rFonts w:hint="eastAsia"/>
                <w:bCs/>
                <w:sz w:val="24"/>
                <w:szCs w:val="24"/>
              </w:rPr>
              <w:t>34</w:t>
            </w:r>
            <w:r>
              <w:rPr>
                <w:rFonts w:hint="eastAsia"/>
                <w:bCs/>
                <w:sz w:val="24"/>
                <w:szCs w:val="24"/>
                <w:lang w:val="zh-CN"/>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5" w:hRule="atLeast"/>
        </w:trPr>
        <w:tc>
          <w:tcPr>
            <w:tcW w:w="1323" w:type="dxa"/>
            <w:tcBorders>
              <w:top w:val="single" w:color="auto" w:sz="4" w:space="0"/>
              <w:left w:val="single" w:color="auto" w:sz="4"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0" w:firstLineChars="0"/>
              <w:rPr>
                <w:bCs/>
                <w:sz w:val="24"/>
                <w:szCs w:val="24"/>
                <w:lang w:val="zh-CN"/>
              </w:rPr>
            </w:pPr>
            <w:r>
              <w:rPr>
                <w:rFonts w:hint="eastAsia"/>
                <w:bCs/>
                <w:sz w:val="24"/>
                <w:szCs w:val="24"/>
                <w:lang w:val="zh-CN"/>
              </w:rPr>
              <w:t>投标人工作业绩</w:t>
            </w:r>
          </w:p>
          <w:p>
            <w:pPr>
              <w:tabs>
                <w:tab w:val="left" w:pos="540"/>
              </w:tabs>
              <w:snapToGrid w:val="0"/>
              <w:spacing w:line="520" w:lineRule="exact"/>
              <w:ind w:firstLine="0" w:firstLineChars="0"/>
              <w:rPr>
                <w:bCs/>
                <w:sz w:val="24"/>
                <w:szCs w:val="24"/>
                <w:lang w:val="zh-CN"/>
              </w:rPr>
            </w:pPr>
          </w:p>
        </w:tc>
        <w:tc>
          <w:tcPr>
            <w:tcW w:w="6298" w:type="dxa"/>
            <w:tcBorders>
              <w:top w:val="single" w:color="auto" w:sz="4" w:space="0"/>
              <w:left w:val="nil"/>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199" w:firstLineChars="83"/>
              <w:rPr>
                <w:bCs/>
                <w:sz w:val="24"/>
                <w:szCs w:val="24"/>
              </w:rPr>
            </w:pPr>
            <w:r>
              <w:rPr>
                <w:rFonts w:hint="eastAsia"/>
                <w:bCs/>
                <w:sz w:val="24"/>
                <w:szCs w:val="24"/>
              </w:rPr>
              <w:t>1、</w:t>
            </w:r>
            <w:r>
              <w:rPr>
                <w:bCs/>
                <w:sz w:val="24"/>
                <w:szCs w:val="24"/>
                <w:lang w:val="zh-CN"/>
              </w:rPr>
              <w:t>投标人</w:t>
            </w:r>
            <w:r>
              <w:rPr>
                <w:rFonts w:hint="eastAsia"/>
                <w:bCs/>
                <w:sz w:val="24"/>
                <w:szCs w:val="24"/>
                <w:lang w:val="zh-CN"/>
              </w:rPr>
              <w:t>近</w:t>
            </w:r>
            <w:r>
              <w:rPr>
                <w:rFonts w:hint="eastAsia"/>
                <w:bCs/>
                <w:sz w:val="24"/>
                <w:szCs w:val="24"/>
              </w:rPr>
              <w:t>3</w:t>
            </w:r>
            <w:r>
              <w:rPr>
                <w:bCs/>
                <w:sz w:val="24"/>
                <w:szCs w:val="24"/>
                <w:lang w:val="zh-CN"/>
              </w:rPr>
              <w:t>年</w:t>
            </w:r>
            <w:r>
              <w:rPr>
                <w:rFonts w:hint="eastAsia"/>
                <w:bCs/>
                <w:sz w:val="24"/>
                <w:szCs w:val="24"/>
                <w:lang w:val="zh-CN"/>
              </w:rPr>
              <w:t>（</w:t>
            </w:r>
            <w:r>
              <w:rPr>
                <w:rFonts w:hint="eastAsia"/>
                <w:bCs/>
                <w:sz w:val="24"/>
                <w:szCs w:val="24"/>
              </w:rPr>
              <w:t>2015年5月</w:t>
            </w:r>
            <w:r>
              <w:rPr>
                <w:rFonts w:hint="eastAsia"/>
                <w:bCs/>
                <w:sz w:val="24"/>
                <w:szCs w:val="24"/>
                <w:lang w:val="zh-CN"/>
              </w:rPr>
              <w:t>）</w:t>
            </w:r>
            <w:r>
              <w:rPr>
                <w:bCs/>
                <w:sz w:val="24"/>
                <w:szCs w:val="24"/>
                <w:lang w:val="zh-CN"/>
              </w:rPr>
              <w:t>来，承担</w:t>
            </w:r>
            <w:r>
              <w:rPr>
                <w:rFonts w:hint="eastAsia"/>
                <w:bCs/>
                <w:sz w:val="24"/>
                <w:szCs w:val="24"/>
                <w:lang w:val="zh-CN"/>
              </w:rPr>
              <w:t>并完成</w:t>
            </w:r>
            <w:r>
              <w:rPr>
                <w:bCs/>
                <w:sz w:val="24"/>
                <w:szCs w:val="24"/>
                <w:lang w:val="zh-CN"/>
              </w:rPr>
              <w:t>过</w:t>
            </w:r>
            <w:r>
              <w:rPr>
                <w:rFonts w:hint="eastAsia"/>
                <w:bCs/>
                <w:sz w:val="24"/>
                <w:szCs w:val="24"/>
              </w:rPr>
              <w:t>县级及以上行政区域</w:t>
            </w:r>
            <w:r>
              <w:rPr>
                <w:bCs/>
                <w:sz w:val="24"/>
                <w:szCs w:val="24"/>
                <w:lang w:val="zh-CN"/>
              </w:rPr>
              <w:t>污染源</w:t>
            </w:r>
            <w:r>
              <w:rPr>
                <w:rFonts w:hint="eastAsia"/>
                <w:bCs/>
                <w:sz w:val="24"/>
                <w:szCs w:val="24"/>
                <w:lang w:val="zh-CN"/>
              </w:rPr>
              <w:t>调查类项目者得</w:t>
            </w:r>
            <w:r>
              <w:rPr>
                <w:rFonts w:hint="eastAsia"/>
                <w:bCs/>
                <w:sz w:val="24"/>
                <w:szCs w:val="24"/>
              </w:rPr>
              <w:t>4分；每多完成一项加1.5分，最高加1.5分；没有不得分。</w:t>
            </w:r>
          </w:p>
          <w:p>
            <w:pPr>
              <w:tabs>
                <w:tab w:val="left" w:pos="540"/>
              </w:tabs>
              <w:snapToGrid w:val="0"/>
              <w:spacing w:line="520" w:lineRule="exact"/>
              <w:ind w:firstLine="199" w:firstLineChars="83"/>
              <w:rPr>
                <w:bCs/>
                <w:sz w:val="24"/>
                <w:szCs w:val="24"/>
              </w:rPr>
            </w:pPr>
            <w:r>
              <w:rPr>
                <w:rFonts w:hint="eastAsia"/>
                <w:bCs/>
                <w:sz w:val="24"/>
                <w:szCs w:val="24"/>
              </w:rPr>
              <w:t>2、</w:t>
            </w:r>
            <w:r>
              <w:rPr>
                <w:bCs/>
                <w:sz w:val="24"/>
                <w:szCs w:val="24"/>
                <w:lang w:val="zh-CN"/>
              </w:rPr>
              <w:t>投标人</w:t>
            </w:r>
            <w:r>
              <w:rPr>
                <w:rFonts w:hint="eastAsia"/>
                <w:bCs/>
                <w:sz w:val="24"/>
                <w:szCs w:val="24"/>
                <w:lang w:val="zh-CN"/>
              </w:rPr>
              <w:t>近</w:t>
            </w:r>
            <w:r>
              <w:rPr>
                <w:rFonts w:hint="eastAsia"/>
                <w:bCs/>
                <w:sz w:val="24"/>
                <w:szCs w:val="24"/>
              </w:rPr>
              <w:t>3</w:t>
            </w:r>
            <w:r>
              <w:rPr>
                <w:bCs/>
                <w:sz w:val="24"/>
                <w:szCs w:val="24"/>
                <w:lang w:val="zh-CN"/>
              </w:rPr>
              <w:t>年</w:t>
            </w:r>
            <w:r>
              <w:rPr>
                <w:rFonts w:hint="eastAsia"/>
                <w:bCs/>
                <w:sz w:val="24"/>
                <w:szCs w:val="24"/>
                <w:lang w:val="zh-CN"/>
              </w:rPr>
              <w:t>（</w:t>
            </w:r>
            <w:r>
              <w:rPr>
                <w:rFonts w:hint="eastAsia"/>
                <w:bCs/>
                <w:sz w:val="24"/>
                <w:szCs w:val="24"/>
              </w:rPr>
              <w:t>2015年5月</w:t>
            </w:r>
            <w:r>
              <w:rPr>
                <w:rFonts w:hint="eastAsia"/>
                <w:bCs/>
                <w:sz w:val="24"/>
                <w:szCs w:val="24"/>
                <w:lang w:val="zh-CN"/>
              </w:rPr>
              <w:t>）</w:t>
            </w:r>
            <w:r>
              <w:rPr>
                <w:bCs/>
                <w:sz w:val="24"/>
                <w:szCs w:val="24"/>
                <w:lang w:val="zh-CN"/>
              </w:rPr>
              <w:t>来，承担</w:t>
            </w:r>
            <w:r>
              <w:rPr>
                <w:rFonts w:hint="eastAsia"/>
                <w:bCs/>
                <w:sz w:val="24"/>
                <w:szCs w:val="24"/>
                <w:lang w:val="zh-CN"/>
              </w:rPr>
              <w:t>并完成</w:t>
            </w:r>
            <w:r>
              <w:rPr>
                <w:bCs/>
                <w:sz w:val="24"/>
                <w:szCs w:val="24"/>
                <w:lang w:val="zh-CN"/>
              </w:rPr>
              <w:t>过</w:t>
            </w:r>
            <w:r>
              <w:rPr>
                <w:rFonts w:hint="eastAsia"/>
                <w:bCs/>
                <w:sz w:val="24"/>
                <w:szCs w:val="24"/>
              </w:rPr>
              <w:t>县级及以上行政区域</w:t>
            </w:r>
            <w:r>
              <w:rPr>
                <w:bCs/>
                <w:sz w:val="24"/>
                <w:szCs w:val="24"/>
                <w:lang w:val="zh-CN"/>
              </w:rPr>
              <w:t>污染源</w:t>
            </w:r>
            <w:r>
              <w:rPr>
                <w:rFonts w:hint="eastAsia"/>
                <w:bCs/>
                <w:sz w:val="24"/>
                <w:szCs w:val="24"/>
                <w:lang w:val="zh-CN"/>
              </w:rPr>
              <w:t>调查类项目者得</w:t>
            </w:r>
            <w:r>
              <w:rPr>
                <w:rFonts w:hint="eastAsia"/>
                <w:bCs/>
                <w:sz w:val="24"/>
                <w:szCs w:val="24"/>
              </w:rPr>
              <w:t>7</w:t>
            </w:r>
            <w:r>
              <w:rPr>
                <w:bCs/>
                <w:sz w:val="24"/>
                <w:szCs w:val="24"/>
                <w:lang w:val="zh-CN"/>
              </w:rPr>
              <w:t>分</w:t>
            </w:r>
            <w:r>
              <w:rPr>
                <w:rFonts w:hint="eastAsia"/>
                <w:bCs/>
                <w:sz w:val="24"/>
                <w:szCs w:val="24"/>
                <w:lang w:val="zh-CN"/>
              </w:rPr>
              <w:t>，没有者不得分。</w:t>
            </w:r>
          </w:p>
          <w:p>
            <w:pPr>
              <w:tabs>
                <w:tab w:val="left" w:pos="540"/>
              </w:tabs>
              <w:snapToGrid w:val="0"/>
              <w:spacing w:line="520" w:lineRule="exact"/>
              <w:ind w:firstLine="199" w:firstLineChars="83"/>
              <w:rPr>
                <w:bCs/>
                <w:sz w:val="24"/>
                <w:szCs w:val="24"/>
              </w:rPr>
            </w:pPr>
            <w:r>
              <w:rPr>
                <w:rFonts w:hint="eastAsia"/>
                <w:bCs/>
                <w:sz w:val="24"/>
                <w:szCs w:val="24"/>
              </w:rPr>
              <w:t>3、主持完成县级及以上行政</w:t>
            </w:r>
            <w:bookmarkStart w:id="0" w:name="_GoBack"/>
            <w:bookmarkEnd w:id="0"/>
            <w:r>
              <w:rPr>
                <w:rFonts w:hint="eastAsia"/>
                <w:bCs/>
                <w:sz w:val="24"/>
                <w:szCs w:val="24"/>
              </w:rPr>
              <w:t>区域污染源调查类项目的负责人具有</w:t>
            </w:r>
            <w:r>
              <w:rPr>
                <w:rFonts w:hint="eastAsia"/>
                <w:bCs/>
                <w:sz w:val="24"/>
                <w:szCs w:val="24"/>
                <w:lang w:eastAsia="zh-CN"/>
              </w:rPr>
              <w:t>环保类</w:t>
            </w:r>
            <w:r>
              <w:rPr>
                <w:rFonts w:hint="eastAsia"/>
                <w:bCs/>
                <w:sz w:val="24"/>
                <w:szCs w:val="24"/>
              </w:rPr>
              <w:t>中级职称者得0.5分，具有</w:t>
            </w:r>
            <w:r>
              <w:rPr>
                <w:bCs/>
                <w:sz w:val="24"/>
                <w:szCs w:val="24"/>
                <w:lang w:val="zh-CN"/>
              </w:rPr>
              <w:t>环境工程类高级职称</w:t>
            </w:r>
            <w:r>
              <w:rPr>
                <w:rFonts w:hint="eastAsia"/>
                <w:bCs/>
                <w:sz w:val="24"/>
                <w:szCs w:val="24"/>
                <w:lang w:val="zh-CN"/>
              </w:rPr>
              <w:t>者得</w:t>
            </w:r>
            <w:r>
              <w:rPr>
                <w:rFonts w:hint="eastAsia"/>
                <w:bCs/>
                <w:sz w:val="24"/>
                <w:szCs w:val="24"/>
              </w:rPr>
              <w:t>1.5分。</w:t>
            </w:r>
            <w:r>
              <w:rPr>
                <w:rFonts w:hint="eastAsia"/>
                <w:bCs/>
                <w:sz w:val="24"/>
                <w:szCs w:val="24"/>
                <w:lang w:eastAsia="zh-CN"/>
              </w:rPr>
              <w:t>本项满分</w:t>
            </w:r>
            <w:r>
              <w:rPr>
                <w:rFonts w:hint="eastAsia"/>
                <w:bCs/>
                <w:sz w:val="24"/>
                <w:szCs w:val="24"/>
                <w:lang w:val="en-US" w:eastAsia="zh-CN"/>
              </w:rPr>
              <w:t>1.5分。</w:t>
            </w:r>
          </w:p>
          <w:p>
            <w:pPr>
              <w:tabs>
                <w:tab w:val="left" w:pos="540"/>
              </w:tabs>
              <w:snapToGrid w:val="0"/>
              <w:spacing w:line="520" w:lineRule="exact"/>
              <w:ind w:firstLine="0" w:firstLineChars="0"/>
              <w:jc w:val="left"/>
              <w:rPr>
                <w:bCs/>
                <w:sz w:val="24"/>
                <w:szCs w:val="24"/>
                <w:lang w:val="zh-CN"/>
              </w:rPr>
            </w:pPr>
            <w:r>
              <w:rPr>
                <w:rFonts w:hint="eastAsia"/>
                <w:bCs/>
                <w:sz w:val="24"/>
                <w:szCs w:val="24"/>
                <w:lang w:val="zh-CN"/>
              </w:rPr>
              <w:t>注：（</w:t>
            </w:r>
            <w:r>
              <w:rPr>
                <w:rFonts w:hint="eastAsia"/>
                <w:bCs/>
                <w:sz w:val="24"/>
                <w:szCs w:val="24"/>
              </w:rPr>
              <w:t>1</w:t>
            </w:r>
            <w:r>
              <w:rPr>
                <w:rFonts w:hint="eastAsia"/>
                <w:bCs/>
                <w:sz w:val="24"/>
                <w:szCs w:val="24"/>
                <w:lang w:val="zh-CN"/>
              </w:rPr>
              <w:t>）污染源调查类项目以加盖骑缝章的合同书原件扫描件与项目当地环保主管部门认可的证明文件原件扫描件为准，同时提交项目完成后加盖公章的调查报告复印件，不按要求提供者不得分。（</w:t>
            </w:r>
            <w:r>
              <w:rPr>
                <w:rFonts w:hint="eastAsia"/>
                <w:bCs/>
                <w:sz w:val="24"/>
                <w:szCs w:val="24"/>
              </w:rPr>
              <w:t>2</w:t>
            </w:r>
            <w:r>
              <w:rPr>
                <w:rFonts w:hint="eastAsia"/>
                <w:bCs/>
                <w:sz w:val="24"/>
                <w:szCs w:val="24"/>
                <w:lang w:val="zh-CN"/>
              </w:rPr>
              <w:t>）职称证书以盖有政府人事部门或具有职称评定认定管辖权资格的大专院校、国家科研单位等部门公章扫描件为准，否则不得分。</w:t>
            </w:r>
          </w:p>
        </w:tc>
        <w:tc>
          <w:tcPr>
            <w:tcW w:w="901" w:type="dxa"/>
            <w:tcBorders>
              <w:top w:val="single" w:color="auto" w:sz="4" w:space="0"/>
              <w:left w:val="nil"/>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0" w:firstLineChars="0"/>
              <w:rPr>
                <w:bCs/>
                <w:sz w:val="24"/>
                <w:szCs w:val="24"/>
              </w:rPr>
            </w:pPr>
            <w:r>
              <w:rPr>
                <w:rFonts w:hint="eastAsia"/>
                <w:bCs/>
                <w:sz w:val="24"/>
                <w:szCs w:val="24"/>
              </w:rPr>
              <w:t>14</w:t>
            </w:r>
            <w:r>
              <w:rPr>
                <w:rFonts w:hint="eastAsia"/>
                <w:bCs/>
                <w:sz w:val="24"/>
                <w:szCs w:val="24"/>
                <w:lang w:val="zh-CN"/>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56" w:hRule="atLeast"/>
        </w:trPr>
        <w:tc>
          <w:tcPr>
            <w:tcW w:w="1323"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0" w:firstLineChars="0"/>
              <w:rPr>
                <w:bCs/>
                <w:sz w:val="24"/>
                <w:szCs w:val="24"/>
                <w:lang w:val="zh-CN"/>
              </w:rPr>
            </w:pPr>
            <w:r>
              <w:rPr>
                <w:rFonts w:hint="eastAsia"/>
                <w:bCs/>
                <w:sz w:val="24"/>
                <w:szCs w:val="24"/>
                <w:lang w:val="zh-CN"/>
              </w:rPr>
              <w:t>投标人信誉</w:t>
            </w:r>
          </w:p>
        </w:tc>
        <w:tc>
          <w:tcPr>
            <w:tcW w:w="6298"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0" w:firstLineChars="0"/>
              <w:jc w:val="left"/>
              <w:rPr>
                <w:bCs/>
                <w:sz w:val="24"/>
                <w:szCs w:val="24"/>
                <w:lang w:val="zh-CN"/>
              </w:rPr>
            </w:pPr>
            <w:r>
              <w:rPr>
                <w:rFonts w:hint="eastAsia"/>
                <w:bCs/>
                <w:sz w:val="24"/>
                <w:szCs w:val="24"/>
                <w:lang w:val="zh-CN"/>
              </w:rPr>
              <w:t>投标人须提供工商企业信用信息公示报告【国家企业信用信息公示系统</w:t>
            </w:r>
            <w:r>
              <w:rPr>
                <w:bCs/>
                <w:sz w:val="24"/>
                <w:szCs w:val="24"/>
                <w:lang w:val="zh-CN"/>
              </w:rPr>
              <w:t>http//www.gsxt.gov.cn包括基础信息、行政许可信息、行政处罚信息、列入经营异常名录信息、列入严重违法失信企业名单（黑名单）信息】</w:t>
            </w:r>
            <w:r>
              <w:rPr>
                <w:rFonts w:hint="eastAsia"/>
                <w:bCs/>
                <w:sz w:val="24"/>
                <w:szCs w:val="24"/>
                <w:lang w:val="zh-CN"/>
              </w:rPr>
              <w:t>；</w:t>
            </w:r>
            <w:r>
              <w:rPr>
                <w:bCs/>
                <w:sz w:val="24"/>
                <w:szCs w:val="24"/>
                <w:lang w:val="zh-CN"/>
              </w:rPr>
              <w:t>企业所在地税务主管部门出具的纳税情况证明等信用情况（加盖企业所在地税务主管部门公章），无不良信息者每项1分，未提供或有不良信息者不得分，满分2分。</w:t>
            </w:r>
          </w:p>
        </w:tc>
        <w:tc>
          <w:tcPr>
            <w:tcW w:w="901"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0" w:firstLineChars="0"/>
              <w:rPr>
                <w:bCs/>
                <w:sz w:val="24"/>
                <w:szCs w:val="24"/>
                <w:lang w:val="zh-CN"/>
              </w:rPr>
            </w:pPr>
            <w:r>
              <w:rPr>
                <w:rFonts w:hint="eastAsia"/>
                <w:bCs/>
                <w:sz w:val="24"/>
                <w:szCs w:val="24"/>
                <w:lang w:val="zh-CN"/>
              </w:rPr>
              <w:t>2分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trPr>
        <w:tc>
          <w:tcPr>
            <w:tcW w:w="8522"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2882" w:firstLineChars="1196"/>
              <w:rPr>
                <w:b/>
                <w:bCs/>
                <w:sz w:val="24"/>
                <w:szCs w:val="24"/>
                <w:lang w:val="zh-CN"/>
              </w:rPr>
            </w:pPr>
            <w:r>
              <w:rPr>
                <w:rFonts w:hint="eastAsia"/>
                <w:b/>
                <w:bCs/>
                <w:sz w:val="24"/>
                <w:szCs w:val="24"/>
                <w:lang w:val="zh-CN"/>
              </w:rPr>
              <w:t>三、技术部分（满分</w:t>
            </w:r>
            <w:r>
              <w:rPr>
                <w:rFonts w:hint="eastAsia"/>
                <w:b/>
                <w:bCs/>
                <w:sz w:val="24"/>
                <w:szCs w:val="24"/>
              </w:rPr>
              <w:t>40</w:t>
            </w:r>
            <w:r>
              <w:rPr>
                <w:rFonts w:hint="eastAsia"/>
                <w:b/>
                <w:bCs/>
                <w:sz w:val="24"/>
                <w:szCs w:val="24"/>
                <w:lang w:val="zh-CN"/>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30" w:hRule="atLeast"/>
        </w:trPr>
        <w:tc>
          <w:tcPr>
            <w:tcW w:w="1323" w:type="dxa"/>
            <w:tcBorders>
              <w:top w:val="nil"/>
              <w:left w:val="single" w:color="auto" w:sz="8" w:space="0"/>
              <w:bottom w:val="single" w:color="auto" w:sz="8" w:space="0"/>
              <w:right w:val="single" w:color="auto" w:sz="8" w:space="0"/>
            </w:tcBorders>
            <w:shd w:val="clear" w:color="auto" w:fill="FFFFFF"/>
            <w:vAlign w:val="center"/>
          </w:tcPr>
          <w:p>
            <w:pPr>
              <w:tabs>
                <w:tab w:val="left" w:pos="540"/>
              </w:tabs>
              <w:snapToGrid w:val="0"/>
              <w:spacing w:line="520" w:lineRule="exact"/>
              <w:ind w:firstLine="0" w:firstLineChars="0"/>
              <w:rPr>
                <w:b/>
                <w:bCs/>
                <w:sz w:val="24"/>
                <w:szCs w:val="24"/>
                <w:lang w:val="zh-CN"/>
              </w:rPr>
            </w:pPr>
            <w:r>
              <w:rPr>
                <w:rFonts w:hint="eastAsia"/>
                <w:b/>
                <w:bCs/>
                <w:sz w:val="24"/>
                <w:szCs w:val="24"/>
                <w:lang w:val="zh-CN"/>
              </w:rPr>
              <w:t>评分因素</w:t>
            </w:r>
          </w:p>
        </w:tc>
        <w:tc>
          <w:tcPr>
            <w:tcW w:w="62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2038" w:firstLineChars="846"/>
              <w:rPr>
                <w:b/>
                <w:bCs/>
                <w:sz w:val="24"/>
                <w:szCs w:val="24"/>
                <w:lang w:val="zh-CN"/>
              </w:rPr>
            </w:pPr>
            <w:r>
              <w:rPr>
                <w:rFonts w:hint="eastAsia"/>
                <w:b/>
                <w:bCs/>
                <w:sz w:val="24"/>
                <w:szCs w:val="24"/>
                <w:lang w:val="zh-CN"/>
              </w:rPr>
              <w:t>评分标准</w:t>
            </w:r>
          </w:p>
        </w:tc>
        <w:tc>
          <w:tcPr>
            <w:tcW w:w="9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0" w:firstLineChars="0"/>
              <w:rPr>
                <w:b/>
                <w:bCs/>
                <w:sz w:val="24"/>
                <w:szCs w:val="24"/>
                <w:lang w:val="zh-CN"/>
              </w:rPr>
            </w:pPr>
            <w:r>
              <w:rPr>
                <w:rFonts w:hint="eastAsia"/>
                <w:b/>
                <w:bCs/>
                <w:sz w:val="24"/>
                <w:szCs w:val="24"/>
                <w:lang w:val="zh-CN"/>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682" w:hRule="atLeast"/>
        </w:trPr>
        <w:tc>
          <w:tcPr>
            <w:tcW w:w="1323" w:type="dxa"/>
            <w:tcBorders>
              <w:top w:val="nil"/>
              <w:left w:val="single" w:color="auto" w:sz="8" w:space="0"/>
              <w:bottom w:val="single" w:color="auto" w:sz="8" w:space="0"/>
              <w:right w:val="single" w:color="auto" w:sz="8" w:space="0"/>
            </w:tcBorders>
            <w:shd w:val="clear" w:color="auto" w:fill="FFFFFF"/>
            <w:vAlign w:val="center"/>
          </w:tcPr>
          <w:p>
            <w:pPr>
              <w:tabs>
                <w:tab w:val="left" w:pos="540"/>
              </w:tabs>
              <w:snapToGrid w:val="0"/>
              <w:spacing w:line="520" w:lineRule="exact"/>
              <w:ind w:firstLine="0" w:firstLineChars="0"/>
              <w:rPr>
                <w:bCs/>
                <w:sz w:val="24"/>
                <w:szCs w:val="24"/>
                <w:lang w:val="zh-CN"/>
              </w:rPr>
            </w:pPr>
            <w:r>
              <w:rPr>
                <w:rFonts w:hint="eastAsia"/>
                <w:bCs/>
                <w:sz w:val="24"/>
                <w:szCs w:val="24"/>
                <w:lang w:val="zh-CN"/>
              </w:rPr>
              <w:t>技术方案</w:t>
            </w:r>
          </w:p>
          <w:p>
            <w:pPr>
              <w:tabs>
                <w:tab w:val="left" w:pos="540"/>
              </w:tabs>
              <w:snapToGrid w:val="0"/>
              <w:spacing w:line="520" w:lineRule="exact"/>
              <w:ind w:firstLine="0" w:firstLineChars="0"/>
              <w:rPr>
                <w:bCs/>
                <w:sz w:val="24"/>
                <w:szCs w:val="24"/>
                <w:lang w:val="zh-CN"/>
              </w:rPr>
            </w:pPr>
            <w:r>
              <w:rPr>
                <w:rFonts w:hint="eastAsia"/>
                <w:bCs/>
                <w:sz w:val="24"/>
                <w:szCs w:val="24"/>
                <w:lang w:val="zh-CN"/>
              </w:rPr>
              <w:t>评分标准</w:t>
            </w:r>
          </w:p>
        </w:tc>
        <w:tc>
          <w:tcPr>
            <w:tcW w:w="62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numPr>
                <w:ilvl w:val="0"/>
                <w:numId w:val="2"/>
              </w:numPr>
              <w:tabs>
                <w:tab w:val="left" w:pos="540"/>
              </w:tabs>
              <w:snapToGrid w:val="0"/>
              <w:spacing w:line="520" w:lineRule="exact"/>
              <w:ind w:firstLine="470" w:firstLineChars="196"/>
              <w:rPr>
                <w:bCs/>
                <w:sz w:val="24"/>
                <w:szCs w:val="24"/>
                <w:lang w:val="zh-CN"/>
              </w:rPr>
            </w:pPr>
            <w:r>
              <w:rPr>
                <w:rFonts w:hint="eastAsia"/>
                <w:bCs/>
                <w:sz w:val="24"/>
                <w:szCs w:val="24"/>
                <w:lang w:val="zh-CN"/>
              </w:rPr>
              <w:t>技术方案思路清晰、依据</w:t>
            </w:r>
            <w:r>
              <w:rPr>
                <w:bCs/>
                <w:sz w:val="24"/>
                <w:szCs w:val="24"/>
                <w:lang w:val="zh-CN"/>
              </w:rPr>
              <w:t>省</w:t>
            </w:r>
            <w:r>
              <w:rPr>
                <w:rFonts w:hint="eastAsia"/>
                <w:bCs/>
                <w:sz w:val="24"/>
                <w:szCs w:val="24"/>
                <w:lang w:val="zh-CN"/>
              </w:rPr>
              <w:t>“</w:t>
            </w:r>
            <w:r>
              <w:rPr>
                <w:bCs/>
                <w:sz w:val="24"/>
                <w:szCs w:val="24"/>
                <w:lang w:val="zh-CN"/>
              </w:rPr>
              <w:t>二污普</w:t>
            </w:r>
            <w:r>
              <w:rPr>
                <w:rFonts w:hint="eastAsia"/>
                <w:bCs/>
                <w:sz w:val="24"/>
                <w:szCs w:val="24"/>
                <w:lang w:val="zh-CN"/>
              </w:rPr>
              <w:t>”</w:t>
            </w:r>
            <w:r>
              <w:rPr>
                <w:bCs/>
                <w:sz w:val="24"/>
                <w:szCs w:val="24"/>
                <w:lang w:val="zh-CN"/>
              </w:rPr>
              <w:t>工作</w:t>
            </w:r>
            <w:r>
              <w:rPr>
                <w:rFonts w:hint="eastAsia"/>
                <w:bCs/>
                <w:sz w:val="24"/>
                <w:szCs w:val="24"/>
                <w:lang w:val="zh-CN"/>
              </w:rPr>
              <w:t>要</w:t>
            </w:r>
            <w:r>
              <w:rPr>
                <w:bCs/>
                <w:sz w:val="24"/>
                <w:szCs w:val="24"/>
                <w:lang w:val="zh-CN"/>
              </w:rPr>
              <w:t>点编制，</w:t>
            </w:r>
            <w:r>
              <w:rPr>
                <w:rFonts w:hint="eastAsia"/>
                <w:bCs/>
                <w:sz w:val="24"/>
                <w:szCs w:val="24"/>
                <w:lang w:val="zh-CN"/>
              </w:rPr>
              <w:t>内容和</w:t>
            </w:r>
            <w:r>
              <w:rPr>
                <w:bCs/>
                <w:sz w:val="24"/>
                <w:szCs w:val="24"/>
                <w:lang w:val="zh-CN"/>
              </w:rPr>
              <w:t>时间节点</w:t>
            </w:r>
            <w:r>
              <w:rPr>
                <w:rFonts w:hint="eastAsia"/>
                <w:bCs/>
                <w:sz w:val="24"/>
                <w:szCs w:val="24"/>
                <w:lang w:val="zh-CN"/>
              </w:rPr>
              <w:t>明确</w:t>
            </w:r>
            <w:r>
              <w:rPr>
                <w:bCs/>
                <w:sz w:val="24"/>
                <w:szCs w:val="24"/>
                <w:lang w:val="zh-CN"/>
              </w:rPr>
              <w:t>，包括</w:t>
            </w:r>
            <w:r>
              <w:rPr>
                <w:rFonts w:hint="eastAsia"/>
                <w:bCs/>
                <w:sz w:val="24"/>
                <w:szCs w:val="24"/>
                <w:lang w:val="zh-CN"/>
              </w:rPr>
              <w:t>了：（</w:t>
            </w:r>
            <w:r>
              <w:rPr>
                <w:rFonts w:hint="eastAsia"/>
                <w:bCs/>
                <w:sz w:val="24"/>
                <w:szCs w:val="24"/>
              </w:rPr>
              <w:t>1）</w:t>
            </w:r>
            <w:r>
              <w:rPr>
                <w:bCs/>
                <w:sz w:val="24"/>
                <w:szCs w:val="24"/>
                <w:lang w:val="zh-CN"/>
              </w:rPr>
              <w:t>普查准备</w:t>
            </w:r>
            <w:r>
              <w:rPr>
                <w:rFonts w:hint="eastAsia"/>
                <w:bCs/>
                <w:sz w:val="24"/>
                <w:szCs w:val="24"/>
                <w:lang w:val="zh-CN"/>
              </w:rPr>
              <w:t>；（</w:t>
            </w:r>
            <w:r>
              <w:rPr>
                <w:rFonts w:hint="eastAsia"/>
                <w:bCs/>
                <w:sz w:val="24"/>
                <w:szCs w:val="24"/>
              </w:rPr>
              <w:t>2）</w:t>
            </w:r>
            <w:r>
              <w:rPr>
                <w:bCs/>
                <w:sz w:val="24"/>
                <w:szCs w:val="24"/>
                <w:lang w:val="zh-CN"/>
              </w:rPr>
              <w:t>清查建库</w:t>
            </w:r>
            <w:r>
              <w:rPr>
                <w:rFonts w:hint="eastAsia"/>
                <w:bCs/>
                <w:sz w:val="24"/>
                <w:szCs w:val="24"/>
                <w:lang w:val="zh-CN"/>
              </w:rPr>
              <w:t>；（</w:t>
            </w:r>
            <w:r>
              <w:rPr>
                <w:rFonts w:hint="eastAsia"/>
                <w:bCs/>
                <w:sz w:val="24"/>
                <w:szCs w:val="24"/>
              </w:rPr>
              <w:t>3）</w:t>
            </w:r>
            <w:r>
              <w:rPr>
                <w:bCs/>
                <w:sz w:val="24"/>
                <w:szCs w:val="24"/>
                <w:lang w:val="zh-CN"/>
              </w:rPr>
              <w:t>全面入户调查</w:t>
            </w:r>
            <w:r>
              <w:rPr>
                <w:rFonts w:hint="eastAsia"/>
                <w:bCs/>
                <w:sz w:val="24"/>
                <w:szCs w:val="24"/>
                <w:lang w:val="zh-CN"/>
              </w:rPr>
              <w:t>（</w:t>
            </w:r>
            <w:r>
              <w:rPr>
                <w:rFonts w:hint="eastAsia"/>
                <w:bCs/>
                <w:sz w:val="24"/>
                <w:szCs w:val="24"/>
              </w:rPr>
              <w:t>4）</w:t>
            </w:r>
            <w:r>
              <w:rPr>
                <w:bCs/>
                <w:sz w:val="24"/>
                <w:szCs w:val="24"/>
                <w:lang w:val="zh-CN"/>
              </w:rPr>
              <w:t>数据</w:t>
            </w:r>
            <w:r>
              <w:rPr>
                <w:rFonts w:hint="eastAsia"/>
                <w:bCs/>
                <w:sz w:val="24"/>
                <w:szCs w:val="24"/>
                <w:lang w:val="zh-CN"/>
              </w:rPr>
              <w:t>采集</w:t>
            </w:r>
            <w:r>
              <w:rPr>
                <w:bCs/>
                <w:sz w:val="24"/>
                <w:szCs w:val="24"/>
                <w:lang w:val="zh-CN"/>
              </w:rPr>
              <w:t>审核录入</w:t>
            </w:r>
            <w:r>
              <w:rPr>
                <w:rFonts w:hint="eastAsia"/>
                <w:bCs/>
                <w:sz w:val="24"/>
                <w:szCs w:val="24"/>
                <w:lang w:val="zh-CN"/>
              </w:rPr>
              <w:t>汇总；（</w:t>
            </w:r>
            <w:r>
              <w:rPr>
                <w:rFonts w:hint="eastAsia"/>
                <w:bCs/>
                <w:sz w:val="24"/>
                <w:szCs w:val="24"/>
              </w:rPr>
              <w:t>5）工作年度计划</w:t>
            </w:r>
            <w:r>
              <w:rPr>
                <w:rFonts w:hint="eastAsia"/>
                <w:bCs/>
                <w:sz w:val="24"/>
                <w:szCs w:val="24"/>
                <w:lang w:val="zh-CN"/>
              </w:rPr>
              <w:t>；</w:t>
            </w:r>
            <w:r>
              <w:rPr>
                <w:rFonts w:hint="eastAsia"/>
                <w:bCs/>
                <w:sz w:val="24"/>
                <w:szCs w:val="24"/>
              </w:rPr>
              <w:t>(6)</w:t>
            </w:r>
            <w:r>
              <w:rPr>
                <w:rFonts w:hint="eastAsia"/>
                <w:bCs/>
                <w:sz w:val="24"/>
                <w:szCs w:val="24"/>
                <w:lang w:val="zh-CN"/>
              </w:rPr>
              <w:t>普查技术路线。</w:t>
            </w:r>
            <w:r>
              <w:rPr>
                <w:rFonts w:hint="eastAsia"/>
                <w:bCs/>
                <w:sz w:val="24"/>
                <w:szCs w:val="24"/>
              </w:rPr>
              <w:t>以上每</w:t>
            </w:r>
            <w:r>
              <w:rPr>
                <w:bCs/>
                <w:sz w:val="24"/>
                <w:szCs w:val="24"/>
              </w:rPr>
              <w:t>一项</w:t>
            </w:r>
            <w:r>
              <w:rPr>
                <w:rFonts w:hint="eastAsia"/>
                <w:bCs/>
                <w:sz w:val="24"/>
                <w:szCs w:val="24"/>
              </w:rPr>
              <w:t>得2分</w:t>
            </w:r>
            <w:r>
              <w:rPr>
                <w:bCs/>
                <w:sz w:val="24"/>
                <w:szCs w:val="24"/>
              </w:rPr>
              <w:t>，最低得分为</w:t>
            </w:r>
            <w:r>
              <w:rPr>
                <w:rFonts w:hint="eastAsia"/>
                <w:bCs/>
                <w:sz w:val="24"/>
                <w:szCs w:val="24"/>
              </w:rPr>
              <w:t>2分</w:t>
            </w:r>
            <w:r>
              <w:rPr>
                <w:bCs/>
                <w:sz w:val="24"/>
                <w:szCs w:val="24"/>
              </w:rPr>
              <w:t>。</w:t>
            </w:r>
            <w:r>
              <w:rPr>
                <w:rFonts w:hint="eastAsia"/>
                <w:bCs/>
                <w:sz w:val="24"/>
                <w:szCs w:val="24"/>
              </w:rPr>
              <w:t>本</w:t>
            </w:r>
            <w:r>
              <w:rPr>
                <w:bCs/>
                <w:sz w:val="24"/>
                <w:szCs w:val="24"/>
              </w:rPr>
              <w:t>项满</w:t>
            </w:r>
            <w:r>
              <w:rPr>
                <w:rFonts w:hint="eastAsia"/>
                <w:bCs/>
                <w:sz w:val="24"/>
                <w:szCs w:val="24"/>
              </w:rPr>
              <w:t>分</w:t>
            </w:r>
            <w:r>
              <w:rPr>
                <w:bCs/>
                <w:sz w:val="24"/>
                <w:szCs w:val="24"/>
              </w:rPr>
              <w:t>为</w:t>
            </w:r>
            <w:r>
              <w:rPr>
                <w:rFonts w:hint="eastAsia"/>
                <w:bCs/>
                <w:sz w:val="24"/>
                <w:szCs w:val="24"/>
              </w:rPr>
              <w:t>12分</w:t>
            </w:r>
            <w:r>
              <w:rPr>
                <w:bCs/>
                <w:sz w:val="24"/>
                <w:szCs w:val="24"/>
              </w:rPr>
              <w:t>。</w:t>
            </w:r>
          </w:p>
          <w:p>
            <w:pPr>
              <w:tabs>
                <w:tab w:val="left" w:pos="540"/>
              </w:tabs>
              <w:snapToGrid w:val="0"/>
              <w:spacing w:line="520" w:lineRule="exact"/>
              <w:ind w:firstLine="240" w:firstLineChars="100"/>
              <w:rPr>
                <w:bCs/>
                <w:sz w:val="24"/>
                <w:szCs w:val="24"/>
                <w:lang w:val="zh-CN"/>
              </w:rPr>
            </w:pPr>
            <w:r>
              <w:rPr>
                <w:rFonts w:hint="eastAsia"/>
                <w:bCs/>
                <w:sz w:val="24"/>
                <w:szCs w:val="24"/>
              </w:rPr>
              <w:t>2、有普查宣传方案，其中方案包括有（1）</w:t>
            </w:r>
            <w:r>
              <w:rPr>
                <w:rFonts w:hint="eastAsia"/>
                <w:bCs/>
                <w:sz w:val="24"/>
                <w:szCs w:val="24"/>
                <w:lang w:val="zh-CN"/>
              </w:rPr>
              <w:t>普查意义的认识、（</w:t>
            </w:r>
            <w:r>
              <w:rPr>
                <w:rFonts w:hint="eastAsia"/>
                <w:bCs/>
                <w:sz w:val="24"/>
                <w:szCs w:val="24"/>
              </w:rPr>
              <w:t>2</w:t>
            </w:r>
            <w:r>
              <w:rPr>
                <w:rFonts w:hint="eastAsia"/>
                <w:bCs/>
                <w:sz w:val="24"/>
                <w:szCs w:val="24"/>
                <w:lang w:val="zh-CN"/>
              </w:rPr>
              <w:t>）普查宣传的组织、（</w:t>
            </w:r>
            <w:r>
              <w:rPr>
                <w:rFonts w:hint="eastAsia"/>
                <w:bCs/>
                <w:sz w:val="24"/>
                <w:szCs w:val="24"/>
              </w:rPr>
              <w:t>3</w:t>
            </w:r>
            <w:r>
              <w:rPr>
                <w:rFonts w:hint="eastAsia"/>
                <w:bCs/>
                <w:sz w:val="24"/>
                <w:szCs w:val="24"/>
                <w:lang w:val="zh-CN"/>
              </w:rPr>
              <w:t>）普查宣传的内容、（</w:t>
            </w:r>
            <w:r>
              <w:rPr>
                <w:rFonts w:hint="eastAsia"/>
                <w:bCs/>
                <w:sz w:val="24"/>
                <w:szCs w:val="24"/>
              </w:rPr>
              <w:t>4</w:t>
            </w:r>
            <w:r>
              <w:rPr>
                <w:rFonts w:hint="eastAsia"/>
                <w:bCs/>
                <w:sz w:val="24"/>
                <w:szCs w:val="24"/>
                <w:lang w:val="zh-CN"/>
              </w:rPr>
              <w:t>）有普查宣的传媒介方法；有上述相关描述者</w:t>
            </w:r>
            <w:r>
              <w:rPr>
                <w:rFonts w:hint="eastAsia"/>
                <w:bCs/>
                <w:sz w:val="24"/>
                <w:szCs w:val="24"/>
              </w:rPr>
              <w:t>每一项得2分，否则不得分。</w:t>
            </w:r>
            <w:r>
              <w:rPr>
                <w:bCs/>
                <w:sz w:val="24"/>
                <w:szCs w:val="24"/>
              </w:rPr>
              <w:t>本</w:t>
            </w:r>
            <w:r>
              <w:rPr>
                <w:rFonts w:hint="eastAsia"/>
                <w:bCs/>
                <w:sz w:val="24"/>
                <w:szCs w:val="24"/>
              </w:rPr>
              <w:t>项</w:t>
            </w:r>
            <w:r>
              <w:rPr>
                <w:bCs/>
                <w:sz w:val="24"/>
                <w:szCs w:val="24"/>
              </w:rPr>
              <w:t>满分</w:t>
            </w:r>
            <w:r>
              <w:rPr>
                <w:rFonts w:hint="eastAsia"/>
                <w:bCs/>
                <w:sz w:val="24"/>
                <w:szCs w:val="24"/>
              </w:rPr>
              <w:t>8分</w:t>
            </w:r>
            <w:r>
              <w:rPr>
                <w:bCs/>
                <w:sz w:val="24"/>
                <w:szCs w:val="24"/>
              </w:rPr>
              <w:t>。</w:t>
            </w:r>
          </w:p>
          <w:p>
            <w:pPr>
              <w:tabs>
                <w:tab w:val="left" w:pos="540"/>
              </w:tabs>
              <w:snapToGrid w:val="0"/>
              <w:spacing w:line="520" w:lineRule="exact"/>
              <w:ind w:firstLine="240" w:firstLineChars="100"/>
              <w:rPr>
                <w:bCs/>
                <w:sz w:val="24"/>
                <w:szCs w:val="24"/>
                <w:lang w:val="zh-CN"/>
              </w:rPr>
            </w:pPr>
            <w:r>
              <w:rPr>
                <w:rFonts w:hint="eastAsia"/>
                <w:bCs/>
                <w:sz w:val="24"/>
                <w:szCs w:val="24"/>
              </w:rPr>
              <w:t>3、</w:t>
            </w:r>
            <w:r>
              <w:rPr>
                <w:rFonts w:hint="eastAsia"/>
                <w:bCs/>
                <w:sz w:val="24"/>
                <w:szCs w:val="24"/>
                <w:lang w:val="zh-CN"/>
              </w:rPr>
              <w:t>对普查质量控制有严格的保障措施，</w:t>
            </w:r>
            <w:r>
              <w:rPr>
                <w:rFonts w:hint="eastAsia"/>
                <w:bCs/>
                <w:sz w:val="24"/>
                <w:szCs w:val="24"/>
              </w:rPr>
              <w:t>包括：（1）</w:t>
            </w:r>
            <w:r>
              <w:rPr>
                <w:rFonts w:hint="eastAsia"/>
                <w:bCs/>
                <w:sz w:val="24"/>
                <w:szCs w:val="24"/>
                <w:lang w:val="zh-CN"/>
              </w:rPr>
              <w:t>明确</w:t>
            </w:r>
            <w:r>
              <w:rPr>
                <w:bCs/>
                <w:sz w:val="24"/>
                <w:szCs w:val="24"/>
                <w:lang w:val="zh-CN"/>
              </w:rPr>
              <w:t>了普查员与普查指导员的权利与责任</w:t>
            </w:r>
            <w:r>
              <w:rPr>
                <w:rFonts w:hint="eastAsia"/>
                <w:bCs/>
                <w:sz w:val="24"/>
                <w:szCs w:val="24"/>
                <w:lang w:val="zh-CN"/>
              </w:rPr>
              <w:t>得</w:t>
            </w:r>
            <w:r>
              <w:rPr>
                <w:rFonts w:hint="eastAsia"/>
                <w:bCs/>
                <w:sz w:val="24"/>
                <w:szCs w:val="24"/>
              </w:rPr>
              <w:t>2分</w:t>
            </w:r>
            <w:r>
              <w:rPr>
                <w:rFonts w:hint="eastAsia"/>
                <w:bCs/>
                <w:sz w:val="24"/>
                <w:szCs w:val="24"/>
                <w:lang w:val="zh-CN"/>
              </w:rPr>
              <w:t>；（</w:t>
            </w:r>
            <w:r>
              <w:rPr>
                <w:rFonts w:hint="eastAsia"/>
                <w:bCs/>
                <w:sz w:val="24"/>
                <w:szCs w:val="24"/>
              </w:rPr>
              <w:t>2）有</w:t>
            </w:r>
            <w:r>
              <w:rPr>
                <w:bCs/>
                <w:sz w:val="24"/>
                <w:szCs w:val="24"/>
                <w:lang w:val="zh-CN"/>
              </w:rPr>
              <w:t>质控方案</w:t>
            </w:r>
            <w:r>
              <w:rPr>
                <w:rFonts w:hint="eastAsia"/>
                <w:bCs/>
                <w:sz w:val="24"/>
                <w:szCs w:val="24"/>
                <w:lang w:val="zh-CN"/>
              </w:rPr>
              <w:t>得</w:t>
            </w:r>
            <w:r>
              <w:rPr>
                <w:rFonts w:hint="eastAsia"/>
                <w:bCs/>
                <w:sz w:val="24"/>
                <w:szCs w:val="24"/>
              </w:rPr>
              <w:t>4分</w:t>
            </w:r>
            <w:r>
              <w:rPr>
                <w:rFonts w:hint="eastAsia"/>
                <w:bCs/>
                <w:sz w:val="24"/>
                <w:szCs w:val="24"/>
                <w:lang w:val="zh-CN"/>
              </w:rPr>
              <w:t>；（</w:t>
            </w:r>
            <w:r>
              <w:rPr>
                <w:rFonts w:hint="eastAsia"/>
                <w:bCs/>
                <w:sz w:val="24"/>
                <w:szCs w:val="24"/>
              </w:rPr>
              <w:t>3）</w:t>
            </w:r>
            <w:r>
              <w:rPr>
                <w:bCs/>
                <w:sz w:val="24"/>
                <w:szCs w:val="24"/>
                <w:lang w:val="zh-CN"/>
              </w:rPr>
              <w:t>有</w:t>
            </w:r>
            <w:r>
              <w:rPr>
                <w:rFonts w:hint="eastAsia"/>
                <w:bCs/>
                <w:sz w:val="24"/>
                <w:szCs w:val="24"/>
                <w:lang w:val="zh-CN"/>
              </w:rPr>
              <w:t>对上级</w:t>
            </w:r>
            <w:r>
              <w:rPr>
                <w:rFonts w:hint="eastAsia"/>
                <w:bCs/>
                <w:sz w:val="24"/>
                <w:szCs w:val="24"/>
              </w:rPr>
              <w:t>普查机构</w:t>
            </w:r>
            <w:r>
              <w:rPr>
                <w:rFonts w:hint="eastAsia"/>
                <w:bCs/>
                <w:sz w:val="24"/>
                <w:szCs w:val="24"/>
                <w:lang w:val="zh-CN"/>
              </w:rPr>
              <w:t>重要信息反馈、沟通机制得</w:t>
            </w:r>
            <w:r>
              <w:rPr>
                <w:rFonts w:hint="eastAsia"/>
                <w:bCs/>
                <w:sz w:val="24"/>
                <w:szCs w:val="24"/>
              </w:rPr>
              <w:t>4分</w:t>
            </w:r>
            <w:r>
              <w:rPr>
                <w:rFonts w:hint="eastAsia"/>
                <w:bCs/>
                <w:sz w:val="24"/>
                <w:szCs w:val="24"/>
                <w:lang w:val="zh-CN"/>
              </w:rPr>
              <w:t>。上述项均须有相应的章节描述，否则不得分。</w:t>
            </w:r>
            <w:r>
              <w:rPr>
                <w:rFonts w:hint="eastAsia"/>
                <w:bCs/>
                <w:sz w:val="24"/>
                <w:szCs w:val="24"/>
              </w:rPr>
              <w:t>以上满分10分。</w:t>
            </w:r>
          </w:p>
        </w:tc>
        <w:tc>
          <w:tcPr>
            <w:tcW w:w="9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0" w:firstLineChars="0"/>
              <w:rPr>
                <w:bCs/>
                <w:sz w:val="24"/>
                <w:szCs w:val="24"/>
                <w:lang w:val="zh-CN"/>
              </w:rPr>
            </w:pPr>
            <w:r>
              <w:rPr>
                <w:rFonts w:hint="eastAsia"/>
                <w:bCs/>
                <w:sz w:val="24"/>
                <w:szCs w:val="24"/>
              </w:rPr>
              <w:t>30</w:t>
            </w:r>
            <w:r>
              <w:rPr>
                <w:rFonts w:hint="eastAsia"/>
                <w:bCs/>
                <w:sz w:val="24"/>
                <w:szCs w:val="24"/>
                <w:lang w:val="zh-CN"/>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5" w:hRule="atLeast"/>
        </w:trPr>
        <w:tc>
          <w:tcPr>
            <w:tcW w:w="1323" w:type="dxa"/>
            <w:tcBorders>
              <w:top w:val="nil"/>
              <w:left w:val="single" w:color="auto" w:sz="8" w:space="0"/>
              <w:bottom w:val="single" w:color="auto" w:sz="8" w:space="0"/>
              <w:right w:val="single" w:color="auto" w:sz="8" w:space="0"/>
            </w:tcBorders>
            <w:shd w:val="clear" w:color="auto" w:fill="FFFFFF"/>
            <w:vAlign w:val="center"/>
          </w:tcPr>
          <w:p>
            <w:pPr>
              <w:tabs>
                <w:tab w:val="left" w:pos="540"/>
              </w:tabs>
              <w:snapToGrid w:val="0"/>
              <w:spacing w:line="520" w:lineRule="exact"/>
              <w:ind w:firstLine="0" w:firstLineChars="0"/>
              <w:rPr>
                <w:bCs/>
                <w:sz w:val="24"/>
                <w:szCs w:val="24"/>
                <w:lang w:val="zh-CN"/>
              </w:rPr>
            </w:pPr>
            <w:r>
              <w:rPr>
                <w:rFonts w:hint="eastAsia"/>
                <w:bCs/>
                <w:sz w:val="24"/>
                <w:szCs w:val="24"/>
                <w:lang w:val="zh-CN"/>
              </w:rPr>
              <w:t>服务承诺</w:t>
            </w:r>
          </w:p>
        </w:tc>
        <w:tc>
          <w:tcPr>
            <w:tcW w:w="62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480"/>
              <w:rPr>
                <w:bCs/>
                <w:sz w:val="24"/>
                <w:szCs w:val="24"/>
                <w:lang w:val="zh-CN"/>
              </w:rPr>
            </w:pPr>
            <w:r>
              <w:rPr>
                <w:rFonts w:hint="eastAsia"/>
                <w:bCs/>
                <w:sz w:val="24"/>
                <w:szCs w:val="24"/>
              </w:rPr>
              <w:t>1、</w:t>
            </w:r>
            <w:r>
              <w:rPr>
                <w:rFonts w:hint="eastAsia"/>
                <w:bCs/>
                <w:sz w:val="24"/>
                <w:szCs w:val="24"/>
                <w:lang w:val="zh-CN"/>
              </w:rPr>
              <w:t>投标人服从招标人管理和调配，能对各种普查环境做出积极认真应对承诺，包括普查过程中数据审核汇总上报的办公环境及设备、专用网络信息畅通、手持终端匹配以及交通等维护便捷情况；预案处理的承诺情况，</w:t>
            </w:r>
            <w:r>
              <w:rPr>
                <w:bCs/>
                <w:sz w:val="24"/>
                <w:szCs w:val="24"/>
                <w:lang w:val="zh-CN"/>
              </w:rPr>
              <w:t>得</w:t>
            </w:r>
            <w:r>
              <w:rPr>
                <w:rFonts w:hint="eastAsia"/>
                <w:bCs/>
                <w:sz w:val="24"/>
                <w:szCs w:val="24"/>
                <w:lang w:val="zh-CN"/>
              </w:rPr>
              <w:t>分</w:t>
            </w:r>
            <w:r>
              <w:rPr>
                <w:rFonts w:hint="eastAsia"/>
                <w:bCs/>
                <w:sz w:val="24"/>
                <w:szCs w:val="24"/>
              </w:rPr>
              <w:t>6分。</w:t>
            </w:r>
            <w:r>
              <w:rPr>
                <w:rFonts w:hint="eastAsia"/>
                <w:bCs/>
                <w:sz w:val="24"/>
                <w:szCs w:val="24"/>
                <w:lang w:val="zh-CN"/>
              </w:rPr>
              <w:t>无承诺</w:t>
            </w:r>
            <w:r>
              <w:rPr>
                <w:bCs/>
                <w:sz w:val="24"/>
                <w:szCs w:val="24"/>
                <w:lang w:val="zh-CN"/>
              </w:rPr>
              <w:t>者不</w:t>
            </w:r>
            <w:r>
              <w:rPr>
                <w:rFonts w:hint="eastAsia"/>
                <w:bCs/>
                <w:sz w:val="24"/>
                <w:szCs w:val="24"/>
                <w:lang w:val="zh-CN"/>
              </w:rPr>
              <w:t>得分。本</w:t>
            </w:r>
            <w:r>
              <w:rPr>
                <w:bCs/>
                <w:sz w:val="24"/>
                <w:szCs w:val="24"/>
                <w:lang w:val="zh-CN"/>
              </w:rPr>
              <w:t>项满分</w:t>
            </w:r>
            <w:r>
              <w:rPr>
                <w:rFonts w:hint="eastAsia"/>
                <w:bCs/>
                <w:sz w:val="24"/>
                <w:szCs w:val="24"/>
                <w:lang w:val="zh-CN"/>
              </w:rPr>
              <w:t>为</w:t>
            </w:r>
            <w:r>
              <w:rPr>
                <w:rFonts w:hint="eastAsia"/>
                <w:bCs/>
                <w:sz w:val="24"/>
                <w:szCs w:val="24"/>
              </w:rPr>
              <w:t>6</w:t>
            </w:r>
            <w:r>
              <w:rPr>
                <w:rFonts w:hint="eastAsia"/>
                <w:bCs/>
                <w:sz w:val="24"/>
                <w:szCs w:val="24"/>
                <w:lang w:val="zh-CN"/>
              </w:rPr>
              <w:t>分。</w:t>
            </w:r>
          </w:p>
        </w:tc>
        <w:tc>
          <w:tcPr>
            <w:tcW w:w="9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0" w:firstLineChars="0"/>
              <w:rPr>
                <w:bCs/>
                <w:sz w:val="28"/>
                <w:szCs w:val="28"/>
                <w:lang w:val="zh-CN"/>
              </w:rPr>
            </w:pPr>
            <w:r>
              <w:rPr>
                <w:rFonts w:hint="eastAsia"/>
                <w:bCs/>
                <w:sz w:val="24"/>
                <w:szCs w:val="24"/>
              </w:rPr>
              <w:t>6</w:t>
            </w:r>
            <w:r>
              <w:rPr>
                <w:rFonts w:hint="eastAsia"/>
                <w:bCs/>
                <w:sz w:val="24"/>
                <w:szCs w:val="24"/>
                <w:lang w:val="zh-CN"/>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233" w:hRule="atLeast"/>
        </w:trPr>
        <w:tc>
          <w:tcPr>
            <w:tcW w:w="1323" w:type="dxa"/>
            <w:tcBorders>
              <w:top w:val="nil"/>
              <w:left w:val="single" w:color="auto" w:sz="8" w:space="0"/>
              <w:bottom w:val="single" w:color="auto" w:sz="4" w:space="0"/>
              <w:right w:val="single" w:color="auto" w:sz="8" w:space="0"/>
            </w:tcBorders>
            <w:shd w:val="clear" w:color="auto" w:fill="FFFFFF"/>
            <w:vAlign w:val="center"/>
          </w:tcPr>
          <w:p>
            <w:pPr>
              <w:tabs>
                <w:tab w:val="left" w:pos="540"/>
              </w:tabs>
              <w:snapToGrid w:val="0"/>
              <w:spacing w:line="520" w:lineRule="exact"/>
              <w:ind w:firstLine="0" w:firstLineChars="0"/>
              <w:rPr>
                <w:bCs/>
                <w:sz w:val="24"/>
                <w:szCs w:val="24"/>
                <w:lang w:val="zh-CN"/>
              </w:rPr>
            </w:pPr>
            <w:r>
              <w:rPr>
                <w:rFonts w:hint="eastAsia"/>
                <w:bCs/>
                <w:sz w:val="24"/>
                <w:szCs w:val="24"/>
                <w:lang w:val="zh-CN"/>
              </w:rPr>
              <w:t>投标文件规范程度</w:t>
            </w:r>
          </w:p>
        </w:tc>
        <w:tc>
          <w:tcPr>
            <w:tcW w:w="6298"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480"/>
              <w:rPr>
                <w:bCs/>
                <w:sz w:val="24"/>
                <w:szCs w:val="24"/>
                <w:lang w:val="zh-CN"/>
              </w:rPr>
            </w:pPr>
            <w:r>
              <w:rPr>
                <w:rFonts w:hint="eastAsia"/>
                <w:bCs/>
                <w:sz w:val="24"/>
                <w:szCs w:val="24"/>
                <w:lang w:val="zh-CN"/>
              </w:rPr>
              <w:t>根据投标文件装订是否规范，文字是否清晰无差错，所提供资料是否准确完整，条理及检索是否清晰方便进行打分，满分</w:t>
            </w:r>
            <w:r>
              <w:rPr>
                <w:rFonts w:hint="eastAsia"/>
                <w:bCs/>
                <w:sz w:val="24"/>
                <w:szCs w:val="24"/>
              </w:rPr>
              <w:t>4分。</w:t>
            </w:r>
            <w:r>
              <w:rPr>
                <w:rFonts w:hint="eastAsia"/>
                <w:bCs/>
                <w:sz w:val="24"/>
                <w:szCs w:val="24"/>
                <w:lang w:val="zh-CN"/>
              </w:rPr>
              <w:t>若投标文件编制无目录、无页码、排序混乱、缺篇少页者可不得分。</w:t>
            </w:r>
          </w:p>
        </w:tc>
        <w:tc>
          <w:tcPr>
            <w:tcW w:w="90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tabs>
                <w:tab w:val="left" w:pos="540"/>
              </w:tabs>
              <w:snapToGrid w:val="0"/>
              <w:spacing w:line="520" w:lineRule="exact"/>
              <w:ind w:firstLine="0" w:firstLineChars="0"/>
              <w:rPr>
                <w:bCs/>
                <w:sz w:val="28"/>
                <w:szCs w:val="28"/>
                <w:lang w:val="zh-CN"/>
              </w:rPr>
            </w:pPr>
            <w:r>
              <w:rPr>
                <w:rFonts w:hint="eastAsia"/>
                <w:bCs/>
                <w:sz w:val="24"/>
                <w:szCs w:val="24"/>
                <w:lang w:val="zh-CN"/>
              </w:rPr>
              <w:t>4分</w:t>
            </w:r>
          </w:p>
        </w:tc>
      </w:tr>
    </w:tbl>
    <w:p>
      <w:pPr>
        <w:tabs>
          <w:tab w:val="left" w:pos="540"/>
        </w:tabs>
        <w:snapToGrid w:val="0"/>
        <w:spacing w:line="360" w:lineRule="auto"/>
        <w:ind w:firstLine="548" w:firstLineChars="196"/>
        <w:rPr>
          <w:bCs/>
          <w:sz w:val="28"/>
          <w:szCs w:val="28"/>
          <w:lang w:val="zh-CN"/>
        </w:rPr>
      </w:pPr>
    </w:p>
    <w:p>
      <w:pPr>
        <w:tabs>
          <w:tab w:val="left" w:pos="540"/>
        </w:tabs>
        <w:snapToGrid w:val="0"/>
        <w:spacing w:line="360" w:lineRule="auto"/>
        <w:ind w:firstLine="548" w:firstLineChars="196"/>
        <w:rPr>
          <w:bCs/>
          <w:sz w:val="28"/>
          <w:szCs w:val="28"/>
          <w:lang w:val="zh-CN"/>
        </w:rPr>
      </w:pPr>
    </w:p>
    <w:p>
      <w:pPr>
        <w:tabs>
          <w:tab w:val="left" w:pos="540"/>
        </w:tabs>
        <w:snapToGrid w:val="0"/>
        <w:spacing w:line="360" w:lineRule="auto"/>
        <w:ind w:firstLine="548" w:firstLineChars="196"/>
        <w:rPr>
          <w:bCs/>
          <w:sz w:val="28"/>
          <w:szCs w:val="28"/>
          <w:lang w:val="zh-CN"/>
        </w:rPr>
      </w:pPr>
    </w:p>
    <w:p>
      <w:pPr>
        <w:tabs>
          <w:tab w:val="left" w:pos="540"/>
        </w:tabs>
        <w:snapToGrid w:val="0"/>
        <w:spacing w:line="360" w:lineRule="auto"/>
        <w:ind w:firstLine="548" w:firstLineChars="196"/>
        <w:rPr>
          <w:bCs/>
          <w:sz w:val="28"/>
          <w:szCs w:val="28"/>
          <w:lang w:val="zh-CN"/>
        </w:rPr>
      </w:pPr>
    </w:p>
    <w:p>
      <w:pPr>
        <w:tabs>
          <w:tab w:val="left" w:pos="540"/>
        </w:tabs>
        <w:snapToGrid w:val="0"/>
        <w:spacing w:line="360" w:lineRule="auto"/>
        <w:ind w:firstLine="548" w:firstLineChars="196"/>
        <w:rPr>
          <w:bCs/>
          <w:sz w:val="28"/>
          <w:szCs w:val="28"/>
          <w:lang w:val="zh-CN"/>
        </w:rPr>
      </w:pPr>
    </w:p>
    <w:p>
      <w:pPr>
        <w:tabs>
          <w:tab w:val="left" w:pos="540"/>
        </w:tabs>
        <w:snapToGrid w:val="0"/>
        <w:spacing w:line="360" w:lineRule="auto"/>
        <w:ind w:firstLine="548" w:firstLineChars="196"/>
        <w:rPr>
          <w:bCs/>
          <w:sz w:val="28"/>
          <w:szCs w:val="28"/>
          <w:lang w:val="zh-CN"/>
        </w:rPr>
      </w:pPr>
    </w:p>
    <w:p>
      <w:pPr>
        <w:tabs>
          <w:tab w:val="left" w:pos="540"/>
        </w:tabs>
        <w:snapToGrid w:val="0"/>
        <w:spacing w:line="360" w:lineRule="auto"/>
        <w:ind w:firstLine="548" w:firstLineChars="196"/>
        <w:rPr>
          <w:bCs/>
          <w:sz w:val="28"/>
          <w:szCs w:val="28"/>
          <w:lang w:val="zh-CN"/>
        </w:rPr>
      </w:pPr>
    </w:p>
    <w:p>
      <w:pPr>
        <w:tabs>
          <w:tab w:val="left" w:pos="540"/>
        </w:tabs>
        <w:snapToGrid w:val="0"/>
        <w:spacing w:line="360" w:lineRule="auto"/>
        <w:ind w:firstLine="548" w:firstLineChars="196"/>
        <w:rPr>
          <w:bCs/>
          <w:sz w:val="28"/>
          <w:szCs w:val="28"/>
          <w:lang w:val="zh-CN"/>
        </w:rPr>
      </w:pPr>
    </w:p>
    <w:p>
      <w:pPr>
        <w:tabs>
          <w:tab w:val="left" w:pos="540"/>
        </w:tabs>
        <w:snapToGrid w:val="0"/>
        <w:spacing w:line="360" w:lineRule="auto"/>
        <w:ind w:firstLine="548" w:firstLineChars="196"/>
        <w:rPr>
          <w:bCs/>
          <w:sz w:val="28"/>
          <w:szCs w:val="28"/>
          <w:lang w:val="zh-CN"/>
        </w:rPr>
      </w:pPr>
    </w:p>
    <w:p>
      <w:pPr>
        <w:tabs>
          <w:tab w:val="left" w:pos="540"/>
        </w:tabs>
        <w:snapToGrid w:val="0"/>
        <w:spacing w:line="360" w:lineRule="auto"/>
        <w:ind w:firstLine="548" w:firstLineChars="196"/>
        <w:rPr>
          <w:b/>
          <w:lang w:val="zh-CN"/>
        </w:rPr>
      </w:pPr>
      <w:r>
        <w:rPr>
          <w:rFonts w:hint="eastAsia"/>
          <w:bCs/>
          <w:sz w:val="28"/>
          <w:szCs w:val="28"/>
          <w:lang w:val="zh-CN"/>
        </w:rPr>
        <w:t>2</w:t>
      </w:r>
      <w:r>
        <w:rPr>
          <w:bCs/>
          <w:sz w:val="28"/>
          <w:szCs w:val="28"/>
          <w:lang w:val="zh-CN"/>
        </w:rPr>
        <w:t>、</w:t>
      </w:r>
      <w:r>
        <w:rPr>
          <w:rFonts w:hint="eastAsia"/>
          <w:b/>
          <w:lang w:val="zh-CN"/>
        </w:rPr>
        <w:t>B包</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818"/>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526" w:type="dxa"/>
            <w:vAlign w:val="center"/>
          </w:tcPr>
          <w:p>
            <w:pPr>
              <w:tabs>
                <w:tab w:val="left" w:pos="540"/>
              </w:tabs>
              <w:snapToGrid w:val="0"/>
              <w:spacing w:line="520" w:lineRule="exact"/>
              <w:ind w:firstLine="0" w:firstLineChars="0"/>
              <w:rPr>
                <w:bCs/>
                <w:sz w:val="24"/>
                <w:szCs w:val="24"/>
                <w:lang w:val="zh-CN"/>
              </w:rPr>
            </w:pPr>
          </w:p>
          <w:p>
            <w:pPr>
              <w:tabs>
                <w:tab w:val="left" w:pos="540"/>
              </w:tabs>
              <w:snapToGrid w:val="0"/>
              <w:spacing w:line="520" w:lineRule="exact"/>
              <w:ind w:firstLine="0" w:firstLineChars="0"/>
              <w:rPr>
                <w:bCs/>
                <w:sz w:val="24"/>
                <w:szCs w:val="24"/>
                <w:lang w:val="zh-CN"/>
              </w:rPr>
            </w:pPr>
            <w:r>
              <w:rPr>
                <w:rFonts w:hint="eastAsia"/>
                <w:bCs/>
                <w:sz w:val="24"/>
                <w:szCs w:val="24"/>
                <w:lang w:val="zh-CN"/>
              </w:rPr>
              <w:t>分值构成</w:t>
            </w:r>
          </w:p>
          <w:p>
            <w:pPr>
              <w:tabs>
                <w:tab w:val="left" w:pos="540"/>
              </w:tabs>
              <w:snapToGrid w:val="0"/>
              <w:spacing w:line="520" w:lineRule="exact"/>
              <w:ind w:firstLine="470" w:firstLineChars="196"/>
              <w:rPr>
                <w:bCs/>
                <w:sz w:val="24"/>
                <w:szCs w:val="24"/>
                <w:lang w:val="zh-CN"/>
              </w:rPr>
            </w:pPr>
          </w:p>
        </w:tc>
        <w:tc>
          <w:tcPr>
            <w:tcW w:w="6996" w:type="dxa"/>
            <w:gridSpan w:val="2"/>
            <w:vAlign w:val="center"/>
          </w:tcPr>
          <w:p>
            <w:pPr>
              <w:tabs>
                <w:tab w:val="left" w:pos="540"/>
              </w:tabs>
              <w:snapToGrid w:val="0"/>
              <w:spacing w:line="520" w:lineRule="exact"/>
              <w:ind w:firstLine="470" w:firstLineChars="196"/>
              <w:rPr>
                <w:bCs/>
                <w:sz w:val="24"/>
                <w:szCs w:val="24"/>
                <w:lang w:val="zh-CN"/>
              </w:rPr>
            </w:pPr>
            <w:r>
              <w:rPr>
                <w:rFonts w:hint="eastAsia"/>
                <w:bCs/>
                <w:sz w:val="24"/>
                <w:szCs w:val="24"/>
                <w:lang w:val="zh-CN"/>
              </w:rPr>
              <w:t>价格分值：10分</w:t>
            </w:r>
          </w:p>
          <w:p>
            <w:pPr>
              <w:tabs>
                <w:tab w:val="left" w:pos="540"/>
              </w:tabs>
              <w:snapToGrid w:val="0"/>
              <w:spacing w:line="520" w:lineRule="exact"/>
              <w:ind w:firstLine="470" w:firstLineChars="196"/>
              <w:rPr>
                <w:bCs/>
                <w:sz w:val="24"/>
                <w:szCs w:val="24"/>
                <w:lang w:val="zh-CN"/>
              </w:rPr>
            </w:pPr>
            <w:r>
              <w:rPr>
                <w:rFonts w:hint="eastAsia"/>
                <w:bCs/>
                <w:sz w:val="24"/>
                <w:szCs w:val="24"/>
                <w:lang w:val="zh-CN"/>
              </w:rPr>
              <w:t>商务部分：50分</w:t>
            </w:r>
          </w:p>
          <w:p>
            <w:pPr>
              <w:tabs>
                <w:tab w:val="left" w:pos="540"/>
              </w:tabs>
              <w:snapToGrid w:val="0"/>
              <w:spacing w:line="520" w:lineRule="exact"/>
              <w:ind w:firstLine="470" w:firstLineChars="196"/>
              <w:rPr>
                <w:bCs/>
                <w:sz w:val="24"/>
                <w:szCs w:val="24"/>
                <w:lang w:val="zh-CN"/>
              </w:rPr>
            </w:pPr>
            <w:r>
              <w:rPr>
                <w:rFonts w:hint="eastAsia"/>
                <w:bCs/>
                <w:sz w:val="24"/>
                <w:szCs w:val="24"/>
                <w:lang w:val="zh-CN"/>
              </w:rPr>
              <w:t>技术部分：4</w:t>
            </w:r>
            <w:r>
              <w:rPr>
                <w:rFonts w:hint="eastAsia"/>
                <w:bCs/>
                <w:sz w:val="24"/>
                <w:szCs w:val="24"/>
              </w:rPr>
              <w:t>0</w:t>
            </w:r>
            <w:r>
              <w:rPr>
                <w:rFonts w:hint="eastAsia"/>
                <w:bCs/>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3"/>
            <w:tcBorders>
              <w:bottom w:val="single" w:color="auto" w:sz="4" w:space="0"/>
            </w:tcBorders>
            <w:vAlign w:val="center"/>
          </w:tcPr>
          <w:p>
            <w:pPr>
              <w:tabs>
                <w:tab w:val="left" w:pos="540"/>
              </w:tabs>
              <w:snapToGrid w:val="0"/>
              <w:spacing w:line="520" w:lineRule="exact"/>
              <w:ind w:firstLine="2641" w:firstLineChars="1096"/>
              <w:rPr>
                <w:b/>
                <w:bCs/>
                <w:sz w:val="24"/>
                <w:szCs w:val="24"/>
                <w:lang w:val="zh-CN"/>
              </w:rPr>
            </w:pPr>
            <w:r>
              <w:rPr>
                <w:rFonts w:hint="eastAsia"/>
                <w:b/>
                <w:bCs/>
                <w:sz w:val="24"/>
                <w:szCs w:val="24"/>
                <w:lang w:val="zh-CN"/>
              </w:rPr>
              <w:t>一、价格部分(满分10分)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6" w:type="dxa"/>
            <w:tcBorders>
              <w:top w:val="single" w:color="auto" w:sz="4" w:space="0"/>
            </w:tcBorders>
            <w:vAlign w:val="center"/>
          </w:tcPr>
          <w:p>
            <w:pPr>
              <w:tabs>
                <w:tab w:val="left" w:pos="540"/>
              </w:tabs>
              <w:snapToGrid w:val="0"/>
              <w:spacing w:line="520" w:lineRule="exact"/>
              <w:ind w:firstLine="120" w:firstLineChars="50"/>
              <w:rPr>
                <w:b/>
                <w:bCs/>
                <w:sz w:val="24"/>
                <w:szCs w:val="24"/>
                <w:lang w:val="zh-CN"/>
              </w:rPr>
            </w:pPr>
            <w:r>
              <w:rPr>
                <w:rFonts w:hint="eastAsia"/>
                <w:b/>
                <w:bCs/>
                <w:sz w:val="24"/>
                <w:szCs w:val="24"/>
                <w:lang w:val="zh-CN"/>
              </w:rPr>
              <w:t>评分因素</w:t>
            </w:r>
          </w:p>
        </w:tc>
        <w:tc>
          <w:tcPr>
            <w:tcW w:w="4818" w:type="dxa"/>
            <w:tcBorders>
              <w:top w:val="single" w:color="auto" w:sz="4" w:space="0"/>
            </w:tcBorders>
            <w:vAlign w:val="center"/>
          </w:tcPr>
          <w:p>
            <w:pPr>
              <w:tabs>
                <w:tab w:val="left" w:pos="540"/>
              </w:tabs>
              <w:snapToGrid w:val="0"/>
              <w:spacing w:line="520" w:lineRule="exact"/>
              <w:ind w:firstLine="1797" w:firstLineChars="746"/>
              <w:rPr>
                <w:b/>
                <w:bCs/>
                <w:sz w:val="24"/>
                <w:szCs w:val="24"/>
                <w:lang w:val="zh-CN"/>
              </w:rPr>
            </w:pPr>
            <w:r>
              <w:rPr>
                <w:rFonts w:hint="eastAsia"/>
                <w:b/>
                <w:bCs/>
                <w:sz w:val="24"/>
                <w:szCs w:val="24"/>
                <w:lang w:val="zh-CN"/>
              </w:rPr>
              <w:t>评分标准</w:t>
            </w:r>
          </w:p>
        </w:tc>
        <w:tc>
          <w:tcPr>
            <w:tcW w:w="2178" w:type="dxa"/>
            <w:tcBorders>
              <w:top w:val="single" w:color="auto" w:sz="4" w:space="0"/>
            </w:tcBorders>
            <w:vAlign w:val="center"/>
          </w:tcPr>
          <w:p>
            <w:pPr>
              <w:tabs>
                <w:tab w:val="left" w:pos="540"/>
              </w:tabs>
              <w:snapToGrid w:val="0"/>
              <w:spacing w:line="520" w:lineRule="exact"/>
              <w:ind w:firstLine="593" w:firstLineChars="246"/>
              <w:rPr>
                <w:b/>
                <w:bCs/>
                <w:sz w:val="24"/>
                <w:szCs w:val="24"/>
                <w:lang w:val="zh-CN"/>
              </w:rPr>
            </w:pPr>
            <w:r>
              <w:rPr>
                <w:rFonts w:hint="eastAsia"/>
                <w:b/>
                <w:bCs/>
                <w:sz w:val="24"/>
                <w:szCs w:val="24"/>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526" w:type="dxa"/>
            <w:tcBorders>
              <w:top w:val="single" w:color="auto" w:sz="4" w:space="0"/>
            </w:tcBorders>
            <w:vAlign w:val="center"/>
          </w:tcPr>
          <w:p>
            <w:pPr>
              <w:tabs>
                <w:tab w:val="left" w:pos="540"/>
              </w:tabs>
              <w:snapToGrid w:val="0"/>
              <w:spacing w:line="520" w:lineRule="exact"/>
              <w:ind w:firstLine="0" w:firstLineChars="0"/>
              <w:rPr>
                <w:bCs/>
                <w:sz w:val="24"/>
                <w:szCs w:val="24"/>
                <w:lang w:val="zh-CN"/>
              </w:rPr>
            </w:pPr>
            <w:r>
              <w:rPr>
                <w:rFonts w:hint="eastAsia"/>
                <w:bCs/>
                <w:sz w:val="24"/>
                <w:szCs w:val="24"/>
                <w:lang w:val="zh-CN"/>
              </w:rPr>
              <w:t>投标报价</w:t>
            </w:r>
          </w:p>
          <w:p>
            <w:pPr>
              <w:tabs>
                <w:tab w:val="left" w:pos="540"/>
              </w:tabs>
              <w:snapToGrid w:val="0"/>
              <w:spacing w:line="520" w:lineRule="exact"/>
              <w:ind w:firstLine="0" w:firstLineChars="0"/>
              <w:rPr>
                <w:bCs/>
                <w:sz w:val="24"/>
                <w:szCs w:val="24"/>
                <w:lang w:val="zh-CN"/>
              </w:rPr>
            </w:pPr>
            <w:r>
              <w:rPr>
                <w:rFonts w:hint="eastAsia"/>
                <w:bCs/>
                <w:sz w:val="24"/>
                <w:szCs w:val="24"/>
                <w:lang w:val="zh-CN"/>
              </w:rPr>
              <w:t>评分标准</w:t>
            </w:r>
          </w:p>
        </w:tc>
        <w:tc>
          <w:tcPr>
            <w:tcW w:w="4818" w:type="dxa"/>
            <w:tcBorders>
              <w:top w:val="single" w:color="auto" w:sz="4" w:space="0"/>
            </w:tcBorders>
            <w:vAlign w:val="center"/>
          </w:tcPr>
          <w:p>
            <w:pPr>
              <w:tabs>
                <w:tab w:val="left" w:pos="540"/>
              </w:tabs>
              <w:snapToGrid w:val="0"/>
              <w:spacing w:line="520" w:lineRule="exact"/>
              <w:ind w:firstLine="470" w:firstLineChars="196"/>
              <w:rPr>
                <w:bCs/>
                <w:sz w:val="24"/>
                <w:szCs w:val="24"/>
                <w:lang w:val="zh-CN"/>
              </w:rPr>
            </w:pPr>
            <w:r>
              <w:rPr>
                <w:rFonts w:hint="eastAsia"/>
                <w:bCs/>
                <w:sz w:val="24"/>
                <w:szCs w:val="24"/>
                <w:lang w:val="zh-CN"/>
              </w:rPr>
              <w:t>评标基准价：满足招标文件要求的有效投标报价中，最低的投标报价为评标基准价。</w:t>
            </w:r>
          </w:p>
          <w:p>
            <w:pPr>
              <w:tabs>
                <w:tab w:val="left" w:pos="540"/>
              </w:tabs>
              <w:snapToGrid w:val="0"/>
              <w:spacing w:line="520" w:lineRule="exact"/>
              <w:ind w:firstLine="470" w:firstLineChars="196"/>
              <w:rPr>
                <w:bCs/>
                <w:sz w:val="24"/>
                <w:szCs w:val="24"/>
                <w:lang w:val="zh-CN"/>
              </w:rPr>
            </w:pPr>
            <w:r>
              <w:rPr>
                <w:rFonts w:hint="eastAsia"/>
                <w:bCs/>
                <w:sz w:val="24"/>
                <w:szCs w:val="24"/>
                <w:lang w:val="zh-CN"/>
              </w:rPr>
              <w:t>投标报价得分=(评标基准价/投标报价)×10</w:t>
            </w:r>
          </w:p>
        </w:tc>
        <w:tc>
          <w:tcPr>
            <w:tcW w:w="2178" w:type="dxa"/>
            <w:tcBorders>
              <w:top w:val="single" w:color="auto" w:sz="4" w:space="0"/>
            </w:tcBorders>
            <w:vAlign w:val="center"/>
          </w:tcPr>
          <w:p>
            <w:pPr>
              <w:tabs>
                <w:tab w:val="left" w:pos="540"/>
              </w:tabs>
              <w:snapToGrid w:val="0"/>
              <w:spacing w:line="520" w:lineRule="exact"/>
              <w:ind w:firstLine="470" w:firstLineChars="196"/>
              <w:rPr>
                <w:bCs/>
                <w:sz w:val="24"/>
                <w:szCs w:val="24"/>
                <w:lang w:val="zh-CN"/>
              </w:rPr>
            </w:pPr>
            <w:r>
              <w:rPr>
                <w:rFonts w:hint="eastAsia"/>
                <w:bCs/>
                <w:sz w:val="24"/>
                <w:szCs w:val="24"/>
                <w:lang w:val="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3"/>
            <w:vAlign w:val="center"/>
          </w:tcPr>
          <w:p>
            <w:pPr>
              <w:tabs>
                <w:tab w:val="left" w:pos="540"/>
              </w:tabs>
              <w:snapToGrid w:val="0"/>
              <w:spacing w:line="520" w:lineRule="exact"/>
              <w:ind w:firstLine="2641" w:firstLineChars="1096"/>
              <w:rPr>
                <w:b/>
                <w:bCs/>
                <w:sz w:val="24"/>
                <w:szCs w:val="24"/>
                <w:lang w:val="zh-CN"/>
              </w:rPr>
            </w:pPr>
            <w:r>
              <w:rPr>
                <w:rFonts w:hint="eastAsia"/>
                <w:b/>
                <w:bCs/>
                <w:sz w:val="24"/>
                <w:szCs w:val="24"/>
                <w:lang w:val="zh-CN"/>
              </w:rPr>
              <w:t>二、商务部分(满分50分)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6" w:type="dxa"/>
            <w:tcBorders>
              <w:bottom w:val="single" w:color="auto" w:sz="4" w:space="0"/>
            </w:tcBorders>
            <w:vAlign w:val="center"/>
          </w:tcPr>
          <w:p>
            <w:pPr>
              <w:tabs>
                <w:tab w:val="left" w:pos="540"/>
              </w:tabs>
              <w:snapToGrid w:val="0"/>
              <w:spacing w:line="520" w:lineRule="exact"/>
              <w:ind w:firstLine="0" w:firstLineChars="0"/>
              <w:rPr>
                <w:b/>
                <w:bCs/>
                <w:sz w:val="24"/>
                <w:szCs w:val="24"/>
                <w:lang w:val="zh-CN"/>
              </w:rPr>
            </w:pPr>
            <w:r>
              <w:rPr>
                <w:rFonts w:hint="eastAsia"/>
                <w:b/>
                <w:bCs/>
                <w:sz w:val="24"/>
                <w:szCs w:val="24"/>
                <w:lang w:val="zh-CN"/>
              </w:rPr>
              <w:t>评分因素</w:t>
            </w:r>
          </w:p>
        </w:tc>
        <w:tc>
          <w:tcPr>
            <w:tcW w:w="4818" w:type="dxa"/>
            <w:vAlign w:val="center"/>
          </w:tcPr>
          <w:p>
            <w:pPr>
              <w:tabs>
                <w:tab w:val="left" w:pos="540"/>
              </w:tabs>
              <w:snapToGrid w:val="0"/>
              <w:spacing w:line="520" w:lineRule="exact"/>
              <w:ind w:firstLine="1797" w:firstLineChars="746"/>
              <w:rPr>
                <w:b/>
                <w:bCs/>
                <w:sz w:val="24"/>
                <w:szCs w:val="24"/>
                <w:lang w:val="zh-CN"/>
              </w:rPr>
            </w:pPr>
            <w:r>
              <w:rPr>
                <w:rFonts w:hint="eastAsia"/>
                <w:b/>
                <w:bCs/>
                <w:sz w:val="24"/>
                <w:szCs w:val="24"/>
                <w:lang w:val="zh-CN"/>
              </w:rPr>
              <w:t>评分标准</w:t>
            </w:r>
          </w:p>
        </w:tc>
        <w:tc>
          <w:tcPr>
            <w:tcW w:w="2178" w:type="dxa"/>
            <w:vAlign w:val="center"/>
          </w:tcPr>
          <w:p>
            <w:pPr>
              <w:tabs>
                <w:tab w:val="left" w:pos="540"/>
              </w:tabs>
              <w:snapToGrid w:val="0"/>
              <w:spacing w:line="520" w:lineRule="exact"/>
              <w:ind w:firstLine="472" w:firstLineChars="196"/>
              <w:rPr>
                <w:b/>
                <w:bCs/>
                <w:sz w:val="24"/>
                <w:szCs w:val="24"/>
                <w:lang w:val="zh-CN"/>
              </w:rPr>
            </w:pPr>
            <w:r>
              <w:rPr>
                <w:rFonts w:hint="eastAsia"/>
                <w:b/>
                <w:bCs/>
                <w:sz w:val="24"/>
                <w:szCs w:val="24"/>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6" w:type="dxa"/>
            <w:vAlign w:val="center"/>
          </w:tcPr>
          <w:p>
            <w:pPr>
              <w:tabs>
                <w:tab w:val="left" w:pos="540"/>
              </w:tabs>
              <w:snapToGrid w:val="0"/>
              <w:spacing w:line="520" w:lineRule="exact"/>
              <w:ind w:firstLine="0" w:firstLineChars="0"/>
              <w:rPr>
                <w:bCs/>
                <w:sz w:val="24"/>
                <w:szCs w:val="24"/>
                <w:lang w:val="zh-CN"/>
              </w:rPr>
            </w:pPr>
            <w:r>
              <w:rPr>
                <w:rFonts w:hint="eastAsia"/>
                <w:bCs/>
                <w:sz w:val="24"/>
                <w:szCs w:val="24"/>
                <w:lang w:val="zh-CN"/>
              </w:rPr>
              <w:t>企业实力</w:t>
            </w:r>
          </w:p>
        </w:tc>
        <w:tc>
          <w:tcPr>
            <w:tcW w:w="4818" w:type="dxa"/>
            <w:vAlign w:val="center"/>
          </w:tcPr>
          <w:p>
            <w:pPr>
              <w:pStyle w:val="28"/>
              <w:numPr>
                <w:ilvl w:val="0"/>
                <w:numId w:val="3"/>
              </w:numPr>
              <w:tabs>
                <w:tab w:val="left" w:pos="540"/>
              </w:tabs>
              <w:snapToGrid w:val="0"/>
              <w:spacing w:line="520" w:lineRule="exact"/>
              <w:ind w:firstLineChars="0"/>
              <w:rPr>
                <w:bCs/>
                <w:sz w:val="24"/>
                <w:szCs w:val="24"/>
                <w:lang w:val="zh-CN"/>
              </w:rPr>
            </w:pPr>
            <w:r>
              <w:rPr>
                <w:rFonts w:hint="eastAsia"/>
                <w:bCs/>
                <w:sz w:val="24"/>
                <w:szCs w:val="24"/>
                <w:lang w:val="zh-CN"/>
              </w:rPr>
              <w:t>具</w:t>
            </w:r>
            <w:r>
              <w:rPr>
                <w:bCs/>
                <w:sz w:val="24"/>
                <w:szCs w:val="24"/>
                <w:lang w:val="zh-CN"/>
              </w:rPr>
              <w:t>有</w:t>
            </w:r>
            <w:r>
              <w:rPr>
                <w:rFonts w:hint="eastAsia"/>
                <w:bCs/>
                <w:sz w:val="24"/>
                <w:szCs w:val="24"/>
                <w:lang w:val="zh-CN"/>
              </w:rPr>
              <w:t>省级或以上质监部门认证的《检</w:t>
            </w:r>
          </w:p>
          <w:p>
            <w:pPr>
              <w:tabs>
                <w:tab w:val="left" w:pos="540"/>
              </w:tabs>
              <w:snapToGrid w:val="0"/>
              <w:spacing w:line="520" w:lineRule="exact"/>
              <w:ind w:firstLine="0" w:firstLineChars="0"/>
              <w:rPr>
                <w:bCs/>
                <w:sz w:val="24"/>
                <w:szCs w:val="24"/>
                <w:lang w:val="zh-CN"/>
              </w:rPr>
            </w:pPr>
            <w:r>
              <w:rPr>
                <w:rFonts w:hint="eastAsia"/>
                <w:bCs/>
                <w:sz w:val="24"/>
                <w:szCs w:val="24"/>
                <w:lang w:val="zh-CN"/>
              </w:rPr>
              <w:t>验检测机构资质认定证书（</w:t>
            </w:r>
            <w:r>
              <w:rPr>
                <w:bCs/>
                <w:sz w:val="24"/>
                <w:szCs w:val="24"/>
                <w:lang w:val="zh-CN"/>
              </w:rPr>
              <w:t>CMA）》</w:t>
            </w:r>
            <w:r>
              <w:rPr>
                <w:rFonts w:hint="eastAsia"/>
                <w:bCs/>
                <w:sz w:val="24"/>
                <w:szCs w:val="24"/>
                <w:lang w:val="zh-CN"/>
              </w:rPr>
              <w:t>。具备γ</w:t>
            </w:r>
          </w:p>
          <w:p>
            <w:pPr>
              <w:tabs>
                <w:tab w:val="left" w:pos="540"/>
              </w:tabs>
              <w:snapToGrid w:val="0"/>
              <w:spacing w:line="520" w:lineRule="exact"/>
              <w:ind w:firstLine="0" w:firstLineChars="0"/>
              <w:rPr>
                <w:bCs/>
                <w:sz w:val="24"/>
                <w:szCs w:val="24"/>
                <w:lang w:val="zh-CN"/>
              </w:rPr>
            </w:pPr>
            <w:r>
              <w:rPr>
                <w:rFonts w:hint="eastAsia"/>
                <w:bCs/>
                <w:sz w:val="24"/>
                <w:szCs w:val="24"/>
                <w:lang w:val="zh-CN"/>
              </w:rPr>
              <w:t>辐射剂量率和COD、BOD</w:t>
            </w:r>
            <w:r>
              <w:rPr>
                <w:bCs/>
                <w:sz w:val="24"/>
                <w:szCs w:val="24"/>
                <w:vertAlign w:val="subscript"/>
                <w:lang w:val="zh-CN"/>
              </w:rPr>
              <w:t>5</w:t>
            </w:r>
            <w:r>
              <w:rPr>
                <w:rFonts w:hint="eastAsia"/>
                <w:bCs/>
                <w:sz w:val="24"/>
                <w:szCs w:val="24"/>
                <w:lang w:val="zh-CN"/>
              </w:rPr>
              <w:t>、总氮、氨</w:t>
            </w:r>
            <w:r>
              <w:rPr>
                <w:bCs/>
                <w:sz w:val="24"/>
                <w:szCs w:val="24"/>
                <w:lang w:val="zh-CN"/>
              </w:rPr>
              <w:t>氮</w:t>
            </w:r>
            <w:r>
              <w:rPr>
                <w:rFonts w:hint="eastAsia"/>
                <w:bCs/>
                <w:sz w:val="24"/>
                <w:szCs w:val="24"/>
                <w:lang w:val="zh-CN"/>
              </w:rPr>
              <w:t>、动</w:t>
            </w:r>
            <w:r>
              <w:rPr>
                <w:bCs/>
                <w:sz w:val="24"/>
                <w:szCs w:val="24"/>
                <w:lang w:val="zh-CN"/>
              </w:rPr>
              <w:t>植物油、总磷、氰</w:t>
            </w:r>
            <w:r>
              <w:rPr>
                <w:rFonts w:hint="eastAsia"/>
                <w:bCs/>
                <w:sz w:val="24"/>
                <w:szCs w:val="24"/>
                <w:lang w:val="zh-CN"/>
              </w:rPr>
              <w:t>化</w:t>
            </w:r>
            <w:r>
              <w:rPr>
                <w:bCs/>
                <w:sz w:val="24"/>
                <w:szCs w:val="24"/>
                <w:lang w:val="zh-CN"/>
              </w:rPr>
              <w:t>物</w:t>
            </w:r>
            <w:r>
              <w:rPr>
                <w:rFonts w:hint="eastAsia"/>
                <w:bCs/>
                <w:sz w:val="24"/>
                <w:szCs w:val="24"/>
                <w:lang w:val="zh-CN"/>
              </w:rPr>
              <w:t>、铜、</w:t>
            </w:r>
            <w:r>
              <w:rPr>
                <w:bCs/>
                <w:sz w:val="24"/>
                <w:szCs w:val="24"/>
                <w:lang w:val="zh-CN"/>
              </w:rPr>
              <w:t>汞、铬、铅、镉</w:t>
            </w:r>
            <w:r>
              <w:rPr>
                <w:rFonts w:hint="eastAsia"/>
                <w:bCs/>
                <w:sz w:val="24"/>
                <w:szCs w:val="24"/>
                <w:lang w:val="zh-CN"/>
              </w:rPr>
              <w:t>、</w:t>
            </w:r>
            <w:r>
              <w:rPr>
                <w:bCs/>
                <w:sz w:val="24"/>
                <w:szCs w:val="24"/>
                <w:lang w:val="zh-CN"/>
              </w:rPr>
              <w:t>砷</w:t>
            </w:r>
            <w:r>
              <w:rPr>
                <w:rFonts w:hint="eastAsia"/>
                <w:bCs/>
                <w:sz w:val="24"/>
                <w:szCs w:val="24"/>
                <w:lang w:val="zh-CN"/>
              </w:rPr>
              <w:t>检测能力。</w:t>
            </w:r>
          </w:p>
          <w:p>
            <w:pPr>
              <w:tabs>
                <w:tab w:val="left" w:pos="540"/>
              </w:tabs>
              <w:snapToGrid w:val="0"/>
              <w:spacing w:line="520" w:lineRule="exact"/>
              <w:ind w:firstLine="0" w:firstLineChars="0"/>
              <w:rPr>
                <w:bCs/>
                <w:sz w:val="24"/>
                <w:szCs w:val="24"/>
                <w:lang w:val="zh-CN"/>
              </w:rPr>
            </w:pPr>
            <w:r>
              <w:rPr>
                <w:rFonts w:hint="eastAsia"/>
                <w:bCs/>
                <w:sz w:val="24"/>
                <w:szCs w:val="24"/>
                <w:lang w:val="zh-CN"/>
              </w:rPr>
              <w:t>没有检验检测机构资质认定证书（</w:t>
            </w:r>
            <w:r>
              <w:rPr>
                <w:bCs/>
                <w:sz w:val="24"/>
                <w:szCs w:val="24"/>
                <w:lang w:val="zh-CN"/>
              </w:rPr>
              <w:t>CMA）</w:t>
            </w:r>
            <w:r>
              <w:rPr>
                <w:rFonts w:hint="eastAsia"/>
                <w:bCs/>
                <w:sz w:val="24"/>
                <w:szCs w:val="24"/>
                <w:lang w:val="zh-CN"/>
              </w:rPr>
              <w:t>该项不得分。</w:t>
            </w:r>
          </w:p>
        </w:tc>
        <w:tc>
          <w:tcPr>
            <w:tcW w:w="2178" w:type="dxa"/>
            <w:vAlign w:val="center"/>
          </w:tcPr>
          <w:p>
            <w:pPr>
              <w:tabs>
                <w:tab w:val="left" w:pos="540"/>
              </w:tabs>
              <w:snapToGrid w:val="0"/>
              <w:spacing w:line="520" w:lineRule="exact"/>
              <w:ind w:firstLine="470" w:firstLineChars="196"/>
              <w:rPr>
                <w:bCs/>
                <w:sz w:val="24"/>
                <w:szCs w:val="24"/>
                <w:lang w:val="zh-CN"/>
              </w:rPr>
            </w:pPr>
            <w:r>
              <w:rPr>
                <w:rFonts w:hint="eastAsia"/>
                <w:bCs/>
                <w:sz w:val="24"/>
                <w:szCs w:val="24"/>
              </w:rPr>
              <w:t>25</w:t>
            </w:r>
            <w:r>
              <w:rPr>
                <w:rFonts w:hint="eastAsia"/>
                <w:bCs/>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6" w:type="dxa"/>
            <w:vAlign w:val="center"/>
          </w:tcPr>
          <w:p>
            <w:pPr>
              <w:tabs>
                <w:tab w:val="left" w:pos="540"/>
              </w:tabs>
              <w:snapToGrid w:val="0"/>
              <w:spacing w:line="520" w:lineRule="exact"/>
              <w:ind w:firstLine="0" w:firstLineChars="0"/>
              <w:rPr>
                <w:bCs/>
                <w:sz w:val="24"/>
                <w:szCs w:val="24"/>
                <w:lang w:val="zh-CN"/>
              </w:rPr>
            </w:pPr>
            <w:r>
              <w:rPr>
                <w:rFonts w:hint="eastAsia"/>
                <w:bCs/>
                <w:sz w:val="24"/>
                <w:szCs w:val="24"/>
                <w:lang w:val="zh-CN"/>
              </w:rPr>
              <w:t>企业信誉</w:t>
            </w:r>
          </w:p>
        </w:tc>
        <w:tc>
          <w:tcPr>
            <w:tcW w:w="4818" w:type="dxa"/>
            <w:vAlign w:val="center"/>
          </w:tcPr>
          <w:p>
            <w:pPr>
              <w:tabs>
                <w:tab w:val="left" w:pos="540"/>
              </w:tabs>
              <w:snapToGrid w:val="0"/>
              <w:spacing w:line="520" w:lineRule="exact"/>
              <w:ind w:firstLine="470" w:firstLineChars="196"/>
              <w:rPr>
                <w:bCs/>
                <w:sz w:val="24"/>
                <w:szCs w:val="24"/>
                <w:lang w:val="zh-CN"/>
              </w:rPr>
            </w:pPr>
            <w:r>
              <w:rPr>
                <w:rFonts w:hint="eastAsia"/>
                <w:bCs/>
                <w:sz w:val="24"/>
                <w:szCs w:val="24"/>
                <w:lang w:val="zh-CN"/>
              </w:rPr>
              <w:t>投标人须提供工商企业信用信息公示报告【国家企业信用信息公示系统</w:t>
            </w:r>
            <w:r>
              <w:rPr>
                <w:bCs/>
                <w:sz w:val="24"/>
                <w:szCs w:val="24"/>
                <w:lang w:val="zh-CN"/>
              </w:rPr>
              <w:t>http//www.gsxt.gov.cn包括基础信息、行政许可信息、行政处罚信息、列入经营异常名录信息、列入严重违法失信企业名单（黑名单）信息】</w:t>
            </w:r>
            <w:r>
              <w:rPr>
                <w:rFonts w:hint="eastAsia"/>
                <w:bCs/>
                <w:sz w:val="24"/>
                <w:szCs w:val="24"/>
                <w:lang w:val="zh-CN"/>
              </w:rPr>
              <w:t>；</w:t>
            </w:r>
            <w:r>
              <w:rPr>
                <w:bCs/>
                <w:sz w:val="24"/>
                <w:szCs w:val="24"/>
                <w:lang w:val="zh-CN"/>
              </w:rPr>
              <w:t>企业所在地税务主管部门出具的纳税情况证明等信用情况（加盖企业所在地税务主管部门公章），无不良信息者每项1分，未提供或有不良信息者不得分，满分2分。</w:t>
            </w:r>
          </w:p>
        </w:tc>
        <w:tc>
          <w:tcPr>
            <w:tcW w:w="2178" w:type="dxa"/>
            <w:vAlign w:val="center"/>
          </w:tcPr>
          <w:p>
            <w:pPr>
              <w:tabs>
                <w:tab w:val="left" w:pos="540"/>
              </w:tabs>
              <w:snapToGrid w:val="0"/>
              <w:spacing w:line="520" w:lineRule="exact"/>
              <w:ind w:firstLine="470" w:firstLineChars="196"/>
              <w:rPr>
                <w:bCs/>
                <w:sz w:val="24"/>
                <w:szCs w:val="24"/>
                <w:lang w:val="zh-CN"/>
              </w:rPr>
            </w:pPr>
            <w:r>
              <w:rPr>
                <w:rFonts w:hint="eastAsia"/>
                <w:bCs/>
                <w:sz w:val="24"/>
                <w:szCs w:val="24"/>
                <w:lang w:val="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6" w:type="dxa"/>
            <w:vAlign w:val="center"/>
          </w:tcPr>
          <w:p>
            <w:pPr>
              <w:tabs>
                <w:tab w:val="left" w:pos="540"/>
              </w:tabs>
              <w:snapToGrid w:val="0"/>
              <w:spacing w:line="520" w:lineRule="exact"/>
              <w:ind w:firstLine="0" w:firstLineChars="0"/>
              <w:rPr>
                <w:bCs/>
                <w:sz w:val="24"/>
                <w:szCs w:val="24"/>
                <w:lang w:val="zh-CN"/>
              </w:rPr>
            </w:pPr>
          </w:p>
          <w:p>
            <w:pPr>
              <w:tabs>
                <w:tab w:val="left" w:pos="540"/>
              </w:tabs>
              <w:snapToGrid w:val="0"/>
              <w:spacing w:line="520" w:lineRule="exact"/>
              <w:ind w:firstLine="0" w:firstLineChars="0"/>
              <w:rPr>
                <w:bCs/>
                <w:sz w:val="24"/>
                <w:szCs w:val="24"/>
                <w:lang w:val="zh-CN"/>
              </w:rPr>
            </w:pPr>
            <w:r>
              <w:rPr>
                <w:rFonts w:hint="eastAsia"/>
                <w:bCs/>
                <w:sz w:val="24"/>
                <w:szCs w:val="24"/>
                <w:lang w:val="zh-CN"/>
              </w:rPr>
              <w:t>企业业绩</w:t>
            </w:r>
          </w:p>
        </w:tc>
        <w:tc>
          <w:tcPr>
            <w:tcW w:w="4818" w:type="dxa"/>
            <w:vAlign w:val="center"/>
          </w:tcPr>
          <w:p>
            <w:pPr>
              <w:tabs>
                <w:tab w:val="left" w:pos="540"/>
              </w:tabs>
              <w:snapToGrid w:val="0"/>
              <w:spacing w:line="520" w:lineRule="exact"/>
              <w:ind w:firstLine="0" w:firstLineChars="0"/>
              <w:rPr>
                <w:bCs/>
                <w:sz w:val="24"/>
                <w:szCs w:val="24"/>
                <w:lang w:val="zh-CN"/>
              </w:rPr>
            </w:pPr>
            <w:r>
              <w:rPr>
                <w:rFonts w:hint="eastAsia"/>
                <w:bCs/>
                <w:sz w:val="24"/>
                <w:szCs w:val="24"/>
                <w:lang w:val="zh-CN"/>
              </w:rPr>
              <w:t>近4年来投标人承担过类似业绩（类似业绩指包含有本次项目检测因子的γ辐射剂量率、COD、BOD</w:t>
            </w:r>
            <w:r>
              <w:rPr>
                <w:bCs/>
                <w:sz w:val="24"/>
                <w:szCs w:val="24"/>
                <w:vertAlign w:val="subscript"/>
                <w:lang w:val="zh-CN"/>
              </w:rPr>
              <w:t>5</w:t>
            </w:r>
            <w:r>
              <w:rPr>
                <w:rFonts w:hint="eastAsia"/>
                <w:bCs/>
                <w:sz w:val="24"/>
                <w:szCs w:val="24"/>
                <w:lang w:val="zh-CN"/>
              </w:rPr>
              <w:t>、总氮、氨</w:t>
            </w:r>
            <w:r>
              <w:rPr>
                <w:bCs/>
                <w:sz w:val="24"/>
                <w:szCs w:val="24"/>
                <w:lang w:val="zh-CN"/>
              </w:rPr>
              <w:t>氮</w:t>
            </w:r>
            <w:r>
              <w:rPr>
                <w:rFonts w:hint="eastAsia"/>
                <w:bCs/>
                <w:sz w:val="24"/>
                <w:szCs w:val="24"/>
                <w:lang w:val="zh-CN"/>
              </w:rPr>
              <w:t>、动</w:t>
            </w:r>
            <w:r>
              <w:rPr>
                <w:bCs/>
                <w:sz w:val="24"/>
                <w:szCs w:val="24"/>
                <w:lang w:val="zh-CN"/>
              </w:rPr>
              <w:t>植物油、总磷、氰</w:t>
            </w:r>
            <w:r>
              <w:rPr>
                <w:rFonts w:hint="eastAsia"/>
                <w:bCs/>
                <w:sz w:val="24"/>
                <w:szCs w:val="24"/>
                <w:lang w:val="zh-CN"/>
              </w:rPr>
              <w:t>化</w:t>
            </w:r>
            <w:r>
              <w:rPr>
                <w:bCs/>
                <w:sz w:val="24"/>
                <w:szCs w:val="24"/>
                <w:lang w:val="zh-CN"/>
              </w:rPr>
              <w:t>物</w:t>
            </w:r>
            <w:r>
              <w:rPr>
                <w:rFonts w:hint="eastAsia"/>
                <w:bCs/>
                <w:sz w:val="24"/>
                <w:szCs w:val="24"/>
                <w:lang w:val="zh-CN"/>
              </w:rPr>
              <w:t>、铜、</w:t>
            </w:r>
            <w:r>
              <w:rPr>
                <w:bCs/>
                <w:sz w:val="24"/>
                <w:szCs w:val="24"/>
                <w:lang w:val="zh-CN"/>
              </w:rPr>
              <w:t>汞、铬、铅、镉</w:t>
            </w:r>
            <w:r>
              <w:rPr>
                <w:rFonts w:hint="eastAsia"/>
                <w:bCs/>
                <w:sz w:val="24"/>
                <w:szCs w:val="24"/>
                <w:lang w:val="zh-CN"/>
              </w:rPr>
              <w:t>、</w:t>
            </w:r>
            <w:r>
              <w:rPr>
                <w:bCs/>
                <w:sz w:val="24"/>
                <w:szCs w:val="24"/>
                <w:lang w:val="zh-CN"/>
              </w:rPr>
              <w:t>砷</w:t>
            </w:r>
            <w:r>
              <w:rPr>
                <w:rFonts w:hint="eastAsia"/>
                <w:bCs/>
                <w:sz w:val="24"/>
                <w:szCs w:val="24"/>
                <w:lang w:val="zh-CN"/>
              </w:rPr>
              <w:t>），有γ辐射剂量率检测项目业绩者得</w:t>
            </w:r>
            <w:r>
              <w:rPr>
                <w:rFonts w:hint="eastAsia"/>
                <w:bCs/>
                <w:sz w:val="24"/>
                <w:szCs w:val="24"/>
              </w:rPr>
              <w:t>3分；其余项业绩者</w:t>
            </w:r>
            <w:r>
              <w:rPr>
                <w:rFonts w:hint="eastAsia"/>
                <w:bCs/>
                <w:sz w:val="24"/>
                <w:szCs w:val="24"/>
                <w:lang w:val="zh-CN"/>
              </w:rPr>
              <w:t>每项得</w:t>
            </w:r>
            <w:r>
              <w:rPr>
                <w:rFonts w:hint="eastAsia"/>
                <w:bCs/>
                <w:sz w:val="24"/>
                <w:szCs w:val="24"/>
              </w:rPr>
              <w:t>1分；本项满分为</w:t>
            </w:r>
            <w:r>
              <w:rPr>
                <w:rFonts w:hint="eastAsia"/>
                <w:bCs/>
                <w:sz w:val="24"/>
                <w:szCs w:val="24"/>
                <w:lang w:val="zh-CN"/>
              </w:rPr>
              <w:t>1</w:t>
            </w:r>
            <w:r>
              <w:rPr>
                <w:rFonts w:hint="eastAsia"/>
                <w:bCs/>
                <w:sz w:val="24"/>
                <w:szCs w:val="24"/>
              </w:rPr>
              <w:t>6</w:t>
            </w:r>
            <w:r>
              <w:rPr>
                <w:rFonts w:hint="eastAsia"/>
                <w:bCs/>
                <w:sz w:val="24"/>
                <w:szCs w:val="24"/>
                <w:lang w:val="zh-CN"/>
              </w:rPr>
              <w:t>分（以与项目检测委托方签订的合同书原件</w:t>
            </w:r>
            <w:r>
              <w:rPr>
                <w:rFonts w:hint="eastAsia"/>
                <w:bCs/>
                <w:sz w:val="24"/>
                <w:szCs w:val="24"/>
              </w:rPr>
              <w:t>扫描件</w:t>
            </w:r>
            <w:r>
              <w:rPr>
                <w:rFonts w:hint="eastAsia"/>
                <w:bCs/>
                <w:sz w:val="24"/>
                <w:szCs w:val="24"/>
                <w:lang w:val="zh-CN"/>
              </w:rPr>
              <w:t>及检测报告复印件为准）。</w:t>
            </w:r>
          </w:p>
        </w:tc>
        <w:tc>
          <w:tcPr>
            <w:tcW w:w="2178" w:type="dxa"/>
            <w:vAlign w:val="center"/>
          </w:tcPr>
          <w:p>
            <w:pPr>
              <w:tabs>
                <w:tab w:val="left" w:pos="540"/>
              </w:tabs>
              <w:snapToGrid w:val="0"/>
              <w:spacing w:line="520" w:lineRule="exact"/>
              <w:ind w:firstLine="470" w:firstLineChars="196"/>
              <w:rPr>
                <w:bCs/>
                <w:sz w:val="24"/>
                <w:szCs w:val="24"/>
                <w:lang w:val="zh-CN"/>
              </w:rPr>
            </w:pPr>
          </w:p>
          <w:p>
            <w:pPr>
              <w:tabs>
                <w:tab w:val="left" w:pos="540"/>
              </w:tabs>
              <w:snapToGrid w:val="0"/>
              <w:spacing w:line="520" w:lineRule="exact"/>
              <w:ind w:firstLine="470" w:firstLineChars="196"/>
              <w:rPr>
                <w:bCs/>
                <w:sz w:val="24"/>
                <w:szCs w:val="24"/>
                <w:lang w:val="zh-CN"/>
              </w:rPr>
            </w:pPr>
            <w:r>
              <w:rPr>
                <w:rFonts w:hint="eastAsia"/>
                <w:bCs/>
                <w:sz w:val="24"/>
                <w:szCs w:val="24"/>
              </w:rPr>
              <w:t>16</w:t>
            </w:r>
            <w:r>
              <w:rPr>
                <w:rFonts w:hint="eastAsia"/>
                <w:bCs/>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6" w:type="dxa"/>
            <w:vAlign w:val="center"/>
          </w:tcPr>
          <w:p>
            <w:pPr>
              <w:tabs>
                <w:tab w:val="left" w:pos="540"/>
              </w:tabs>
              <w:snapToGrid w:val="0"/>
              <w:spacing w:line="520" w:lineRule="exact"/>
              <w:ind w:firstLine="0" w:firstLineChars="0"/>
              <w:rPr>
                <w:bCs/>
                <w:sz w:val="24"/>
                <w:szCs w:val="24"/>
                <w:lang w:val="zh-CN"/>
              </w:rPr>
            </w:pPr>
            <w:r>
              <w:rPr>
                <w:rFonts w:hint="eastAsia"/>
                <w:bCs/>
                <w:sz w:val="24"/>
                <w:szCs w:val="24"/>
                <w:lang w:val="zh-CN"/>
              </w:rPr>
              <w:t>项目班子配备</w:t>
            </w:r>
          </w:p>
        </w:tc>
        <w:tc>
          <w:tcPr>
            <w:tcW w:w="4818" w:type="dxa"/>
            <w:vAlign w:val="center"/>
          </w:tcPr>
          <w:p>
            <w:pPr>
              <w:tabs>
                <w:tab w:val="left" w:pos="540"/>
              </w:tabs>
              <w:snapToGrid w:val="0"/>
              <w:spacing w:line="520" w:lineRule="exact"/>
              <w:ind w:firstLine="470" w:firstLineChars="196"/>
              <w:rPr>
                <w:bCs/>
                <w:sz w:val="24"/>
                <w:szCs w:val="24"/>
                <w:lang w:val="zh-CN"/>
              </w:rPr>
            </w:pPr>
            <w:r>
              <w:rPr>
                <w:rFonts w:hint="eastAsia"/>
                <w:bCs/>
                <w:sz w:val="24"/>
                <w:szCs w:val="24"/>
              </w:rPr>
              <w:t>1、</w:t>
            </w:r>
            <w:r>
              <w:rPr>
                <w:rFonts w:hint="eastAsia"/>
                <w:bCs/>
                <w:sz w:val="24"/>
                <w:szCs w:val="24"/>
                <w:lang w:val="zh-CN"/>
              </w:rPr>
              <w:t>拟投入人员项目负责人为化学化工专业工程师的得</w:t>
            </w:r>
            <w:r>
              <w:rPr>
                <w:rFonts w:hint="eastAsia"/>
                <w:bCs/>
                <w:sz w:val="24"/>
                <w:szCs w:val="24"/>
              </w:rPr>
              <w:t>1分，</w:t>
            </w:r>
            <w:r>
              <w:rPr>
                <w:rFonts w:hint="eastAsia"/>
                <w:bCs/>
                <w:sz w:val="24"/>
                <w:szCs w:val="24"/>
                <w:lang w:val="zh-CN"/>
              </w:rPr>
              <w:t>高工的得</w:t>
            </w:r>
            <w:r>
              <w:rPr>
                <w:rFonts w:hint="eastAsia"/>
                <w:bCs/>
                <w:sz w:val="24"/>
                <w:szCs w:val="24"/>
              </w:rPr>
              <w:t>3</w:t>
            </w:r>
            <w:r>
              <w:rPr>
                <w:rFonts w:hint="eastAsia"/>
                <w:bCs/>
                <w:sz w:val="24"/>
                <w:szCs w:val="24"/>
                <w:lang w:val="zh-CN"/>
              </w:rPr>
              <w:t>分。</w:t>
            </w:r>
            <w:r>
              <w:rPr>
                <w:rFonts w:hint="eastAsia"/>
                <w:bCs/>
                <w:sz w:val="24"/>
                <w:szCs w:val="24"/>
              </w:rPr>
              <w:t>2、</w:t>
            </w:r>
            <w:r>
              <w:rPr>
                <w:rFonts w:hint="eastAsia"/>
                <w:bCs/>
                <w:sz w:val="24"/>
                <w:szCs w:val="24"/>
                <w:lang w:val="zh-CN"/>
              </w:rPr>
              <w:t>其中提供有项目监测组成人员（包</w:t>
            </w:r>
            <w:r>
              <w:rPr>
                <w:bCs/>
                <w:sz w:val="24"/>
                <w:szCs w:val="24"/>
                <w:lang w:val="zh-CN"/>
              </w:rPr>
              <w:t>括水、气、</w:t>
            </w:r>
            <w:r>
              <w:rPr>
                <w:rFonts w:hint="eastAsia"/>
                <w:bCs/>
                <w:sz w:val="24"/>
                <w:szCs w:val="24"/>
                <w:lang w:val="zh-CN"/>
              </w:rPr>
              <w:t>固</w:t>
            </w:r>
            <w:r>
              <w:rPr>
                <w:bCs/>
                <w:sz w:val="24"/>
                <w:szCs w:val="24"/>
                <w:lang w:val="zh-CN"/>
              </w:rPr>
              <w:t>废及辐射</w:t>
            </w:r>
            <w:r>
              <w:rPr>
                <w:rFonts w:hint="eastAsia"/>
                <w:bCs/>
                <w:sz w:val="24"/>
                <w:szCs w:val="24"/>
                <w:lang w:val="zh-CN"/>
              </w:rPr>
              <w:t>等</w:t>
            </w:r>
            <w:r>
              <w:rPr>
                <w:bCs/>
                <w:sz w:val="24"/>
                <w:szCs w:val="24"/>
                <w:lang w:val="zh-CN"/>
              </w:rPr>
              <w:t>）</w:t>
            </w:r>
            <w:r>
              <w:rPr>
                <w:rFonts w:hint="eastAsia"/>
                <w:bCs/>
                <w:sz w:val="24"/>
                <w:szCs w:val="24"/>
              </w:rPr>
              <w:t>劳动</w:t>
            </w:r>
            <w:r>
              <w:rPr>
                <w:rFonts w:hint="eastAsia"/>
                <w:bCs/>
                <w:sz w:val="24"/>
                <w:szCs w:val="24"/>
                <w:lang w:val="zh-CN"/>
              </w:rPr>
              <w:t>合同者每人得1分，最多得</w:t>
            </w:r>
            <w:r>
              <w:rPr>
                <w:rFonts w:hint="eastAsia"/>
                <w:bCs/>
                <w:sz w:val="24"/>
                <w:szCs w:val="24"/>
              </w:rPr>
              <w:t>3</w:t>
            </w:r>
            <w:r>
              <w:rPr>
                <w:rFonts w:hint="eastAsia"/>
                <w:bCs/>
                <w:sz w:val="24"/>
                <w:szCs w:val="24"/>
                <w:lang w:val="zh-CN"/>
              </w:rPr>
              <w:t>分；</w:t>
            </w:r>
            <w:r>
              <w:rPr>
                <w:rFonts w:hint="eastAsia"/>
                <w:bCs/>
                <w:sz w:val="24"/>
                <w:szCs w:val="24"/>
              </w:rPr>
              <w:t>3、</w:t>
            </w:r>
            <w:r>
              <w:rPr>
                <w:rFonts w:hint="eastAsia"/>
                <w:bCs/>
                <w:sz w:val="24"/>
                <w:szCs w:val="24"/>
                <w:lang w:val="zh-CN"/>
              </w:rPr>
              <w:t>除项目负责人外的组成人员中有</w:t>
            </w:r>
            <w:r>
              <w:rPr>
                <w:rFonts w:hint="eastAsia"/>
                <w:bCs/>
                <w:sz w:val="24"/>
                <w:szCs w:val="24"/>
              </w:rPr>
              <w:t>化学类、化工类或环保类、医药食品类的中级</w:t>
            </w:r>
            <w:r>
              <w:rPr>
                <w:rFonts w:hint="eastAsia"/>
                <w:bCs/>
                <w:sz w:val="24"/>
                <w:szCs w:val="24"/>
                <w:lang w:val="zh-CN"/>
              </w:rPr>
              <w:t>工程师职称的</w:t>
            </w:r>
            <w:r>
              <w:rPr>
                <w:rFonts w:hint="eastAsia"/>
                <w:bCs/>
                <w:sz w:val="24"/>
                <w:szCs w:val="24"/>
              </w:rPr>
              <w:t>得0.5分</w:t>
            </w:r>
            <w:r>
              <w:rPr>
                <w:rFonts w:hint="eastAsia"/>
                <w:bCs/>
                <w:sz w:val="24"/>
                <w:szCs w:val="24"/>
                <w:lang w:val="zh-CN"/>
              </w:rPr>
              <w:t>，高工及以上者</w:t>
            </w:r>
            <w:r>
              <w:rPr>
                <w:rFonts w:hint="eastAsia"/>
                <w:bCs/>
                <w:sz w:val="24"/>
                <w:szCs w:val="24"/>
              </w:rPr>
              <w:t>得1</w:t>
            </w:r>
            <w:r>
              <w:rPr>
                <w:rFonts w:hint="eastAsia"/>
                <w:bCs/>
                <w:sz w:val="24"/>
                <w:szCs w:val="24"/>
                <w:lang w:val="zh-CN"/>
              </w:rPr>
              <w:t>分，最多</w:t>
            </w:r>
            <w:r>
              <w:rPr>
                <w:rFonts w:hint="eastAsia"/>
                <w:bCs/>
                <w:sz w:val="24"/>
                <w:szCs w:val="24"/>
              </w:rPr>
              <w:t>得1分</w:t>
            </w:r>
            <w:r>
              <w:rPr>
                <w:rFonts w:hint="eastAsia"/>
                <w:bCs/>
                <w:sz w:val="24"/>
                <w:szCs w:val="24"/>
                <w:lang w:val="zh-CN"/>
              </w:rPr>
              <w:t>。</w:t>
            </w:r>
          </w:p>
        </w:tc>
        <w:tc>
          <w:tcPr>
            <w:tcW w:w="2178" w:type="dxa"/>
            <w:vAlign w:val="center"/>
          </w:tcPr>
          <w:p>
            <w:pPr>
              <w:tabs>
                <w:tab w:val="left" w:pos="540"/>
              </w:tabs>
              <w:snapToGrid w:val="0"/>
              <w:spacing w:line="520" w:lineRule="exact"/>
              <w:ind w:firstLine="470" w:firstLineChars="196"/>
              <w:rPr>
                <w:bCs/>
                <w:sz w:val="24"/>
                <w:szCs w:val="24"/>
                <w:lang w:val="zh-CN"/>
              </w:rPr>
            </w:pPr>
            <w:r>
              <w:rPr>
                <w:rFonts w:hint="eastAsia"/>
                <w:bCs/>
                <w:sz w:val="24"/>
                <w:szCs w:val="24"/>
              </w:rPr>
              <w:t>7</w:t>
            </w:r>
            <w:r>
              <w:rPr>
                <w:rFonts w:hint="eastAsia"/>
                <w:bCs/>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522" w:type="dxa"/>
            <w:gridSpan w:val="3"/>
            <w:vAlign w:val="center"/>
          </w:tcPr>
          <w:p>
            <w:pPr>
              <w:tabs>
                <w:tab w:val="left" w:pos="540"/>
              </w:tabs>
              <w:snapToGrid w:val="0"/>
              <w:spacing w:line="520" w:lineRule="exact"/>
              <w:ind w:firstLine="2520" w:firstLineChars="1046"/>
              <w:rPr>
                <w:b/>
                <w:bCs/>
                <w:sz w:val="24"/>
                <w:szCs w:val="24"/>
                <w:lang w:val="zh-CN"/>
              </w:rPr>
            </w:pPr>
            <w:r>
              <w:rPr>
                <w:rFonts w:hint="eastAsia"/>
                <w:b/>
                <w:bCs/>
                <w:sz w:val="24"/>
                <w:szCs w:val="24"/>
                <w:lang w:val="zh-CN"/>
              </w:rPr>
              <w:t>三、技术部分(满分45分)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6" w:type="dxa"/>
            <w:vAlign w:val="center"/>
          </w:tcPr>
          <w:p>
            <w:pPr>
              <w:tabs>
                <w:tab w:val="left" w:pos="540"/>
              </w:tabs>
              <w:snapToGrid w:val="0"/>
              <w:spacing w:line="520" w:lineRule="exact"/>
              <w:ind w:firstLine="120" w:firstLineChars="50"/>
              <w:rPr>
                <w:b/>
                <w:bCs/>
                <w:sz w:val="24"/>
                <w:szCs w:val="24"/>
                <w:lang w:val="zh-CN"/>
              </w:rPr>
            </w:pPr>
            <w:r>
              <w:rPr>
                <w:rFonts w:hint="eastAsia"/>
                <w:b/>
                <w:bCs/>
                <w:sz w:val="24"/>
                <w:szCs w:val="24"/>
                <w:lang w:val="zh-CN"/>
              </w:rPr>
              <w:t>评分因素</w:t>
            </w:r>
          </w:p>
        </w:tc>
        <w:tc>
          <w:tcPr>
            <w:tcW w:w="4818" w:type="dxa"/>
            <w:vAlign w:val="center"/>
          </w:tcPr>
          <w:p>
            <w:pPr>
              <w:tabs>
                <w:tab w:val="left" w:pos="540"/>
              </w:tabs>
              <w:snapToGrid w:val="0"/>
              <w:spacing w:line="520" w:lineRule="exact"/>
              <w:ind w:firstLine="1677" w:firstLineChars="696"/>
              <w:rPr>
                <w:b/>
                <w:bCs/>
                <w:sz w:val="24"/>
                <w:szCs w:val="24"/>
                <w:lang w:val="zh-CN"/>
              </w:rPr>
            </w:pPr>
            <w:r>
              <w:rPr>
                <w:rFonts w:hint="eastAsia"/>
                <w:b/>
                <w:bCs/>
                <w:sz w:val="24"/>
                <w:szCs w:val="24"/>
                <w:lang w:val="zh-CN"/>
              </w:rPr>
              <w:t>评分标准</w:t>
            </w:r>
          </w:p>
        </w:tc>
        <w:tc>
          <w:tcPr>
            <w:tcW w:w="2178" w:type="dxa"/>
            <w:vAlign w:val="center"/>
          </w:tcPr>
          <w:p>
            <w:pPr>
              <w:tabs>
                <w:tab w:val="left" w:pos="540"/>
              </w:tabs>
              <w:snapToGrid w:val="0"/>
              <w:spacing w:line="520" w:lineRule="exact"/>
              <w:ind w:firstLine="593" w:firstLineChars="246"/>
              <w:rPr>
                <w:b/>
                <w:bCs/>
                <w:sz w:val="24"/>
                <w:szCs w:val="24"/>
                <w:lang w:val="zh-CN"/>
              </w:rPr>
            </w:pPr>
            <w:r>
              <w:rPr>
                <w:rFonts w:hint="eastAsia"/>
                <w:b/>
                <w:bCs/>
                <w:sz w:val="24"/>
                <w:szCs w:val="24"/>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6" w:type="dxa"/>
            <w:vAlign w:val="center"/>
          </w:tcPr>
          <w:p>
            <w:pPr>
              <w:tabs>
                <w:tab w:val="left" w:pos="540"/>
              </w:tabs>
              <w:snapToGrid w:val="0"/>
              <w:spacing w:line="520" w:lineRule="exact"/>
              <w:ind w:firstLine="120" w:firstLineChars="50"/>
              <w:rPr>
                <w:bCs/>
                <w:sz w:val="24"/>
                <w:szCs w:val="24"/>
                <w:lang w:val="zh-CN"/>
              </w:rPr>
            </w:pPr>
            <w:r>
              <w:rPr>
                <w:rFonts w:hint="eastAsia"/>
                <w:bCs/>
                <w:sz w:val="24"/>
                <w:szCs w:val="24"/>
                <w:lang w:val="zh-CN"/>
              </w:rPr>
              <w:t>技术方案</w:t>
            </w:r>
          </w:p>
          <w:p>
            <w:pPr>
              <w:tabs>
                <w:tab w:val="left" w:pos="540"/>
              </w:tabs>
              <w:snapToGrid w:val="0"/>
              <w:spacing w:line="520" w:lineRule="exact"/>
              <w:ind w:firstLine="120" w:firstLineChars="50"/>
              <w:rPr>
                <w:bCs/>
                <w:sz w:val="24"/>
                <w:szCs w:val="24"/>
                <w:lang w:val="zh-CN"/>
              </w:rPr>
            </w:pPr>
            <w:r>
              <w:rPr>
                <w:rFonts w:hint="eastAsia"/>
                <w:bCs/>
                <w:sz w:val="24"/>
                <w:szCs w:val="24"/>
                <w:lang w:val="zh-CN"/>
              </w:rPr>
              <w:t>评分标准</w:t>
            </w:r>
          </w:p>
        </w:tc>
        <w:tc>
          <w:tcPr>
            <w:tcW w:w="4818" w:type="dxa"/>
            <w:vAlign w:val="center"/>
          </w:tcPr>
          <w:p>
            <w:pPr>
              <w:tabs>
                <w:tab w:val="left" w:pos="540"/>
              </w:tabs>
              <w:snapToGrid w:val="0"/>
              <w:spacing w:line="520" w:lineRule="exact"/>
              <w:ind w:firstLine="470" w:firstLineChars="196"/>
              <w:rPr>
                <w:bCs/>
                <w:sz w:val="24"/>
                <w:szCs w:val="24"/>
                <w:lang w:val="zh-CN"/>
              </w:rPr>
            </w:pPr>
            <w:r>
              <w:rPr>
                <w:rFonts w:hint="eastAsia"/>
                <w:bCs/>
                <w:sz w:val="24"/>
                <w:szCs w:val="24"/>
                <w:lang w:val="zh-CN"/>
              </w:rPr>
              <w:t>1、技术方案内容全面完备、可行性高、工作方法得当、检测</w:t>
            </w:r>
            <w:r>
              <w:rPr>
                <w:bCs/>
                <w:sz w:val="24"/>
                <w:szCs w:val="24"/>
                <w:lang w:val="zh-CN"/>
              </w:rPr>
              <w:t>技术路线</w:t>
            </w:r>
            <w:r>
              <w:rPr>
                <w:rFonts w:hint="eastAsia"/>
                <w:bCs/>
                <w:sz w:val="24"/>
                <w:szCs w:val="24"/>
                <w:lang w:val="zh-CN"/>
              </w:rPr>
              <w:t>清晰（包</w:t>
            </w:r>
            <w:r>
              <w:rPr>
                <w:bCs/>
                <w:sz w:val="24"/>
                <w:szCs w:val="24"/>
                <w:lang w:val="zh-CN"/>
              </w:rPr>
              <w:t>括有</w:t>
            </w:r>
            <w:r>
              <w:rPr>
                <w:rFonts w:hint="eastAsia"/>
                <w:bCs/>
                <w:sz w:val="24"/>
                <w:szCs w:val="24"/>
                <w:lang w:val="zh-CN"/>
              </w:rPr>
              <w:t>（</w:t>
            </w:r>
            <w:r>
              <w:rPr>
                <w:rFonts w:hint="eastAsia"/>
                <w:bCs/>
                <w:sz w:val="24"/>
                <w:szCs w:val="24"/>
              </w:rPr>
              <w:t>1</w:t>
            </w:r>
            <w:r>
              <w:rPr>
                <w:rFonts w:hint="eastAsia"/>
                <w:bCs/>
                <w:sz w:val="24"/>
                <w:szCs w:val="24"/>
                <w:lang w:val="zh-CN"/>
              </w:rPr>
              <w:t>）伴</w:t>
            </w:r>
            <w:r>
              <w:rPr>
                <w:bCs/>
                <w:sz w:val="24"/>
                <w:szCs w:val="24"/>
                <w:lang w:val="zh-CN"/>
              </w:rPr>
              <w:t>生放射性</w:t>
            </w:r>
            <w:r>
              <w:rPr>
                <w:rFonts w:hint="eastAsia"/>
                <w:bCs/>
                <w:sz w:val="24"/>
                <w:szCs w:val="24"/>
                <w:lang w:val="zh-CN"/>
              </w:rPr>
              <w:t>监测</w:t>
            </w:r>
            <w:r>
              <w:rPr>
                <w:bCs/>
                <w:sz w:val="24"/>
                <w:szCs w:val="24"/>
                <w:lang w:val="zh-CN"/>
              </w:rPr>
              <w:t>初选</w:t>
            </w:r>
            <w:r>
              <w:rPr>
                <w:rFonts w:hint="eastAsia"/>
                <w:bCs/>
                <w:sz w:val="24"/>
                <w:szCs w:val="24"/>
                <w:lang w:val="zh-CN"/>
              </w:rPr>
              <w:t>筛</w:t>
            </w:r>
            <w:r>
              <w:rPr>
                <w:bCs/>
                <w:sz w:val="24"/>
                <w:szCs w:val="24"/>
                <w:lang w:val="zh-CN"/>
              </w:rPr>
              <w:t>查</w:t>
            </w:r>
            <w:r>
              <w:rPr>
                <w:rFonts w:hint="eastAsia"/>
                <w:bCs/>
                <w:sz w:val="24"/>
                <w:szCs w:val="24"/>
                <w:lang w:val="zh-CN"/>
              </w:rPr>
              <w:t>方案得</w:t>
            </w:r>
            <w:r>
              <w:rPr>
                <w:rFonts w:hint="eastAsia"/>
                <w:bCs/>
                <w:sz w:val="24"/>
                <w:szCs w:val="24"/>
              </w:rPr>
              <w:t>12.5分，</w:t>
            </w:r>
            <w:r>
              <w:rPr>
                <w:rFonts w:hint="eastAsia"/>
                <w:bCs/>
                <w:sz w:val="24"/>
                <w:szCs w:val="24"/>
                <w:lang w:val="zh-CN"/>
              </w:rPr>
              <w:t>（</w:t>
            </w:r>
            <w:r>
              <w:rPr>
                <w:rFonts w:hint="eastAsia"/>
                <w:bCs/>
                <w:sz w:val="24"/>
                <w:szCs w:val="24"/>
              </w:rPr>
              <w:t>2</w:t>
            </w:r>
            <w:r>
              <w:rPr>
                <w:rFonts w:hint="eastAsia"/>
                <w:bCs/>
                <w:sz w:val="24"/>
                <w:szCs w:val="24"/>
                <w:lang w:val="zh-CN"/>
              </w:rPr>
              <w:t>）市政</w:t>
            </w:r>
            <w:r>
              <w:rPr>
                <w:bCs/>
                <w:sz w:val="24"/>
                <w:szCs w:val="24"/>
                <w:lang w:val="zh-CN"/>
              </w:rPr>
              <w:t>入河排污口枯水期丰水期</w:t>
            </w:r>
            <w:r>
              <w:rPr>
                <w:rFonts w:hint="eastAsia"/>
                <w:bCs/>
                <w:sz w:val="24"/>
                <w:szCs w:val="24"/>
                <w:lang w:val="zh-CN"/>
              </w:rPr>
              <w:t>监测方案得</w:t>
            </w:r>
            <w:r>
              <w:rPr>
                <w:rFonts w:hint="eastAsia"/>
                <w:bCs/>
                <w:sz w:val="24"/>
                <w:szCs w:val="24"/>
              </w:rPr>
              <w:t>12.5分</w:t>
            </w:r>
            <w:r>
              <w:rPr>
                <w:bCs/>
                <w:sz w:val="24"/>
                <w:szCs w:val="24"/>
                <w:lang w:val="zh-CN"/>
              </w:rPr>
              <w:t>）</w:t>
            </w:r>
            <w:r>
              <w:rPr>
                <w:rFonts w:hint="eastAsia"/>
                <w:bCs/>
                <w:sz w:val="24"/>
                <w:szCs w:val="24"/>
                <w:lang w:val="zh-CN"/>
              </w:rPr>
              <w:t>，不提供不得分。</w:t>
            </w:r>
          </w:p>
          <w:p>
            <w:pPr>
              <w:tabs>
                <w:tab w:val="left" w:pos="540"/>
              </w:tabs>
              <w:snapToGrid w:val="0"/>
              <w:spacing w:line="520" w:lineRule="exact"/>
              <w:ind w:firstLine="470" w:firstLineChars="196"/>
              <w:rPr>
                <w:bCs/>
                <w:sz w:val="24"/>
                <w:szCs w:val="24"/>
                <w:lang w:val="zh-CN"/>
              </w:rPr>
            </w:pPr>
            <w:r>
              <w:rPr>
                <w:rFonts w:hint="eastAsia"/>
                <w:bCs/>
                <w:sz w:val="24"/>
                <w:szCs w:val="24"/>
                <w:lang w:val="zh-CN"/>
              </w:rPr>
              <w:t xml:space="preserve"> 2、人员设备投入、进度安排符合要求，</w:t>
            </w:r>
            <w:r>
              <w:rPr>
                <w:bCs/>
                <w:sz w:val="24"/>
                <w:szCs w:val="24"/>
                <w:lang w:val="zh-CN"/>
              </w:rPr>
              <w:t>有计划进度表</w:t>
            </w:r>
            <w:r>
              <w:rPr>
                <w:rFonts w:hint="eastAsia"/>
                <w:bCs/>
                <w:sz w:val="24"/>
                <w:szCs w:val="24"/>
                <w:lang w:val="zh-CN"/>
              </w:rPr>
              <w:t>得5分。</w:t>
            </w:r>
          </w:p>
          <w:p>
            <w:pPr>
              <w:tabs>
                <w:tab w:val="left" w:pos="540"/>
              </w:tabs>
              <w:snapToGrid w:val="0"/>
              <w:spacing w:line="520" w:lineRule="exact"/>
              <w:ind w:firstLine="470" w:firstLineChars="196"/>
              <w:rPr>
                <w:bCs/>
                <w:sz w:val="24"/>
                <w:szCs w:val="24"/>
                <w:lang w:val="zh-CN"/>
              </w:rPr>
            </w:pPr>
            <w:r>
              <w:rPr>
                <w:rFonts w:hint="eastAsia"/>
                <w:bCs/>
                <w:sz w:val="24"/>
                <w:szCs w:val="24"/>
                <w:lang w:val="zh-CN"/>
              </w:rPr>
              <w:t>3、对质量控制、进度管理、保障措施的内容有相关描述者</w:t>
            </w:r>
            <w:r>
              <w:rPr>
                <w:rFonts w:hint="eastAsia"/>
                <w:bCs/>
                <w:sz w:val="24"/>
                <w:szCs w:val="24"/>
              </w:rPr>
              <w:t>最高</w:t>
            </w:r>
            <w:r>
              <w:rPr>
                <w:bCs/>
                <w:sz w:val="24"/>
                <w:szCs w:val="24"/>
                <w:lang w:val="zh-CN"/>
              </w:rPr>
              <w:t>得</w:t>
            </w:r>
            <w:r>
              <w:rPr>
                <w:rFonts w:hint="eastAsia"/>
                <w:bCs/>
                <w:sz w:val="24"/>
                <w:szCs w:val="24"/>
                <w:lang w:val="zh-CN"/>
              </w:rPr>
              <w:t>5分，最</w:t>
            </w:r>
            <w:r>
              <w:rPr>
                <w:bCs/>
                <w:sz w:val="24"/>
                <w:szCs w:val="24"/>
                <w:lang w:val="zh-CN"/>
              </w:rPr>
              <w:t>低得</w:t>
            </w:r>
            <w:r>
              <w:rPr>
                <w:rFonts w:hint="eastAsia"/>
                <w:bCs/>
                <w:sz w:val="24"/>
                <w:szCs w:val="24"/>
                <w:lang w:val="zh-CN"/>
              </w:rPr>
              <w:t>1分。</w:t>
            </w:r>
          </w:p>
        </w:tc>
        <w:tc>
          <w:tcPr>
            <w:tcW w:w="2178" w:type="dxa"/>
            <w:vAlign w:val="center"/>
          </w:tcPr>
          <w:p>
            <w:pPr>
              <w:tabs>
                <w:tab w:val="left" w:pos="540"/>
              </w:tabs>
              <w:snapToGrid w:val="0"/>
              <w:spacing w:line="520" w:lineRule="exact"/>
              <w:ind w:firstLine="590" w:firstLineChars="246"/>
              <w:rPr>
                <w:bCs/>
                <w:sz w:val="24"/>
                <w:szCs w:val="24"/>
                <w:lang w:val="zh-CN"/>
              </w:rPr>
            </w:pPr>
            <w:r>
              <w:rPr>
                <w:rFonts w:hint="eastAsia"/>
                <w:bCs/>
                <w:sz w:val="24"/>
                <w:szCs w:val="24"/>
                <w:lang w:val="zh-CN"/>
              </w:rPr>
              <w:t>3</w:t>
            </w:r>
            <w:r>
              <w:rPr>
                <w:bCs/>
                <w:sz w:val="24"/>
                <w:szCs w:val="24"/>
                <w:lang w:val="zh-CN"/>
              </w:rPr>
              <w:t>5</w:t>
            </w:r>
            <w:r>
              <w:rPr>
                <w:rFonts w:hint="eastAsia"/>
                <w:bCs/>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6" w:type="dxa"/>
            <w:vAlign w:val="center"/>
          </w:tcPr>
          <w:p>
            <w:pPr>
              <w:tabs>
                <w:tab w:val="left" w:pos="540"/>
              </w:tabs>
              <w:snapToGrid w:val="0"/>
              <w:spacing w:line="520" w:lineRule="exact"/>
              <w:ind w:firstLine="120" w:firstLineChars="50"/>
              <w:rPr>
                <w:bCs/>
                <w:sz w:val="24"/>
                <w:szCs w:val="24"/>
                <w:lang w:val="zh-CN"/>
              </w:rPr>
            </w:pPr>
            <w:r>
              <w:rPr>
                <w:rFonts w:hint="eastAsia"/>
                <w:bCs/>
                <w:sz w:val="24"/>
                <w:szCs w:val="24"/>
                <w:lang w:val="zh-CN"/>
              </w:rPr>
              <w:t>服务承诺</w:t>
            </w:r>
          </w:p>
        </w:tc>
        <w:tc>
          <w:tcPr>
            <w:tcW w:w="4818" w:type="dxa"/>
            <w:vAlign w:val="center"/>
          </w:tcPr>
          <w:p>
            <w:pPr>
              <w:numPr>
                <w:ilvl w:val="0"/>
                <w:numId w:val="4"/>
              </w:numPr>
              <w:tabs>
                <w:tab w:val="left" w:pos="540"/>
              </w:tabs>
              <w:snapToGrid w:val="0"/>
              <w:spacing w:line="520" w:lineRule="exact"/>
              <w:ind w:firstLine="470" w:firstLineChars="196"/>
              <w:rPr>
                <w:bCs/>
                <w:sz w:val="24"/>
                <w:szCs w:val="24"/>
                <w:lang w:val="zh-CN"/>
              </w:rPr>
            </w:pPr>
            <w:r>
              <w:rPr>
                <w:rFonts w:hint="eastAsia"/>
                <w:bCs/>
                <w:sz w:val="24"/>
                <w:szCs w:val="24"/>
                <w:lang w:val="zh-CN"/>
              </w:rPr>
              <w:t>投标人有</w:t>
            </w:r>
            <w:r>
              <w:rPr>
                <w:bCs/>
                <w:sz w:val="24"/>
                <w:szCs w:val="24"/>
                <w:lang w:val="zh-CN"/>
              </w:rPr>
              <w:t>对采购人的</w:t>
            </w:r>
            <w:r>
              <w:rPr>
                <w:rFonts w:hint="eastAsia"/>
                <w:bCs/>
                <w:sz w:val="24"/>
                <w:szCs w:val="24"/>
                <w:lang w:val="zh-CN"/>
              </w:rPr>
              <w:t>服从管理和调配方面的承诺，</w:t>
            </w:r>
            <w:r>
              <w:rPr>
                <w:bCs/>
                <w:sz w:val="24"/>
                <w:szCs w:val="24"/>
                <w:lang w:val="zh-CN"/>
              </w:rPr>
              <w:t>得</w:t>
            </w:r>
            <w:r>
              <w:rPr>
                <w:rFonts w:hint="eastAsia"/>
                <w:bCs/>
                <w:sz w:val="24"/>
                <w:szCs w:val="24"/>
              </w:rPr>
              <w:t>3</w:t>
            </w:r>
            <w:r>
              <w:rPr>
                <w:rFonts w:hint="eastAsia"/>
                <w:bCs/>
                <w:sz w:val="24"/>
                <w:szCs w:val="24"/>
                <w:lang w:val="zh-CN"/>
              </w:rPr>
              <w:t>分</w:t>
            </w:r>
            <w:r>
              <w:rPr>
                <w:bCs/>
                <w:sz w:val="24"/>
                <w:szCs w:val="24"/>
                <w:lang w:val="zh-CN"/>
              </w:rPr>
              <w:t>。</w:t>
            </w:r>
          </w:p>
          <w:p>
            <w:pPr>
              <w:numPr>
                <w:ilvl w:val="0"/>
                <w:numId w:val="4"/>
              </w:numPr>
              <w:tabs>
                <w:tab w:val="left" w:pos="540"/>
              </w:tabs>
              <w:snapToGrid w:val="0"/>
              <w:spacing w:line="520" w:lineRule="exact"/>
              <w:ind w:firstLine="470" w:firstLineChars="196"/>
              <w:rPr>
                <w:bCs/>
                <w:sz w:val="24"/>
                <w:szCs w:val="24"/>
                <w:lang w:val="zh-CN"/>
              </w:rPr>
            </w:pPr>
            <w:r>
              <w:rPr>
                <w:rFonts w:hint="eastAsia"/>
                <w:bCs/>
                <w:sz w:val="24"/>
                <w:szCs w:val="24"/>
                <w:lang w:val="zh-CN"/>
              </w:rPr>
              <w:t>投标人有积</w:t>
            </w:r>
            <w:r>
              <w:rPr>
                <w:bCs/>
                <w:sz w:val="24"/>
                <w:szCs w:val="24"/>
                <w:lang w:val="zh-CN"/>
              </w:rPr>
              <w:t>极</w:t>
            </w:r>
            <w:r>
              <w:rPr>
                <w:rFonts w:hint="eastAsia"/>
                <w:bCs/>
                <w:sz w:val="24"/>
                <w:szCs w:val="24"/>
                <w:lang w:val="zh-CN"/>
              </w:rPr>
              <w:t>主</w:t>
            </w:r>
            <w:r>
              <w:rPr>
                <w:bCs/>
                <w:sz w:val="24"/>
                <w:szCs w:val="24"/>
                <w:lang w:val="zh-CN"/>
              </w:rPr>
              <w:t>动</w:t>
            </w:r>
            <w:r>
              <w:rPr>
                <w:rFonts w:hint="eastAsia"/>
                <w:bCs/>
                <w:sz w:val="24"/>
                <w:szCs w:val="24"/>
                <w:lang w:val="zh-CN"/>
              </w:rPr>
              <w:t>克服困难、</w:t>
            </w:r>
            <w:r>
              <w:rPr>
                <w:bCs/>
                <w:sz w:val="24"/>
                <w:szCs w:val="24"/>
                <w:lang w:val="zh-CN"/>
              </w:rPr>
              <w:t>协调施工环境</w:t>
            </w:r>
            <w:r>
              <w:rPr>
                <w:rFonts w:hint="eastAsia"/>
                <w:bCs/>
                <w:sz w:val="24"/>
                <w:szCs w:val="24"/>
                <w:lang w:val="zh-CN"/>
              </w:rPr>
              <w:t>，并按要求完成任务</w:t>
            </w:r>
            <w:r>
              <w:rPr>
                <w:bCs/>
                <w:sz w:val="24"/>
                <w:szCs w:val="24"/>
                <w:lang w:val="zh-CN"/>
              </w:rPr>
              <w:t>的承诺，</w:t>
            </w:r>
            <w:r>
              <w:rPr>
                <w:rFonts w:hint="eastAsia"/>
                <w:bCs/>
                <w:sz w:val="24"/>
                <w:szCs w:val="24"/>
                <w:lang w:val="zh-CN"/>
              </w:rPr>
              <w:t>得</w:t>
            </w:r>
            <w:r>
              <w:rPr>
                <w:rFonts w:hint="eastAsia"/>
                <w:bCs/>
                <w:sz w:val="24"/>
                <w:szCs w:val="24"/>
              </w:rPr>
              <w:t>3</w:t>
            </w:r>
            <w:r>
              <w:rPr>
                <w:rFonts w:hint="eastAsia"/>
                <w:bCs/>
                <w:sz w:val="24"/>
                <w:szCs w:val="24"/>
                <w:lang w:val="zh-CN"/>
              </w:rPr>
              <w:t>分</w:t>
            </w:r>
            <w:r>
              <w:rPr>
                <w:bCs/>
                <w:sz w:val="24"/>
                <w:szCs w:val="24"/>
                <w:lang w:val="zh-CN"/>
              </w:rPr>
              <w:t>。</w:t>
            </w:r>
          </w:p>
          <w:p>
            <w:pPr>
              <w:numPr>
                <w:ilvl w:val="0"/>
                <w:numId w:val="4"/>
              </w:numPr>
              <w:tabs>
                <w:tab w:val="left" w:pos="540"/>
              </w:tabs>
              <w:snapToGrid w:val="0"/>
              <w:spacing w:line="520" w:lineRule="exact"/>
              <w:ind w:firstLine="470" w:firstLineChars="196"/>
              <w:rPr>
                <w:bCs/>
                <w:sz w:val="24"/>
                <w:szCs w:val="24"/>
                <w:lang w:val="zh-CN"/>
              </w:rPr>
            </w:pPr>
            <w:r>
              <w:rPr>
                <w:rFonts w:hint="eastAsia"/>
                <w:bCs/>
                <w:sz w:val="24"/>
                <w:szCs w:val="24"/>
              </w:rPr>
              <w:t>有特殊情况下</w:t>
            </w:r>
            <w:r>
              <w:rPr>
                <w:rFonts w:hint="eastAsia"/>
                <w:bCs/>
                <w:sz w:val="24"/>
                <w:szCs w:val="24"/>
                <w:lang w:val="zh-CN"/>
              </w:rPr>
              <w:t>及时响应采购</w:t>
            </w:r>
            <w:r>
              <w:rPr>
                <w:bCs/>
                <w:sz w:val="24"/>
                <w:szCs w:val="24"/>
                <w:lang w:val="zh-CN"/>
              </w:rPr>
              <w:t>人</w:t>
            </w:r>
            <w:r>
              <w:rPr>
                <w:rFonts w:hint="eastAsia"/>
                <w:bCs/>
                <w:sz w:val="24"/>
                <w:szCs w:val="24"/>
                <w:lang w:val="zh-CN"/>
              </w:rPr>
              <w:t>检测要求够承诺者</w:t>
            </w:r>
            <w:r>
              <w:rPr>
                <w:bCs/>
                <w:sz w:val="24"/>
                <w:szCs w:val="24"/>
                <w:lang w:val="zh-CN"/>
              </w:rPr>
              <w:t>得</w:t>
            </w:r>
            <w:r>
              <w:rPr>
                <w:rFonts w:hint="eastAsia"/>
                <w:bCs/>
                <w:sz w:val="24"/>
                <w:szCs w:val="24"/>
                <w:lang w:val="zh-CN"/>
              </w:rPr>
              <w:t>2分</w:t>
            </w:r>
            <w:r>
              <w:rPr>
                <w:bCs/>
                <w:sz w:val="24"/>
                <w:szCs w:val="24"/>
                <w:lang w:val="zh-CN"/>
              </w:rPr>
              <w:t xml:space="preserve">。 </w:t>
            </w:r>
          </w:p>
          <w:p>
            <w:pPr>
              <w:tabs>
                <w:tab w:val="left" w:pos="540"/>
              </w:tabs>
              <w:snapToGrid w:val="0"/>
              <w:spacing w:line="520" w:lineRule="exact"/>
              <w:ind w:left="627" w:leftChars="196" w:firstLine="0" w:firstLineChars="0"/>
              <w:rPr>
                <w:bCs/>
                <w:sz w:val="24"/>
                <w:szCs w:val="24"/>
                <w:lang w:val="zh-CN"/>
              </w:rPr>
            </w:pPr>
            <w:r>
              <w:rPr>
                <w:rFonts w:hint="eastAsia"/>
                <w:bCs/>
                <w:sz w:val="24"/>
                <w:szCs w:val="24"/>
                <w:lang w:val="zh-CN"/>
              </w:rPr>
              <w:t>无提供相关承诺者不得分。</w:t>
            </w:r>
          </w:p>
        </w:tc>
        <w:tc>
          <w:tcPr>
            <w:tcW w:w="2178" w:type="dxa"/>
            <w:vAlign w:val="center"/>
          </w:tcPr>
          <w:p>
            <w:pPr>
              <w:tabs>
                <w:tab w:val="left" w:pos="540"/>
              </w:tabs>
              <w:snapToGrid w:val="0"/>
              <w:spacing w:line="520" w:lineRule="exact"/>
              <w:ind w:firstLine="470" w:firstLineChars="196"/>
              <w:rPr>
                <w:bCs/>
                <w:sz w:val="24"/>
                <w:szCs w:val="24"/>
                <w:lang w:val="zh-CN"/>
              </w:rPr>
            </w:pPr>
            <w:r>
              <w:rPr>
                <w:rFonts w:hint="eastAsia"/>
                <w:bCs/>
                <w:sz w:val="24"/>
                <w:szCs w:val="24"/>
                <w:lang w:val="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6" w:type="dxa"/>
            <w:vAlign w:val="center"/>
          </w:tcPr>
          <w:p>
            <w:pPr>
              <w:tabs>
                <w:tab w:val="left" w:pos="540"/>
              </w:tabs>
              <w:snapToGrid w:val="0"/>
              <w:spacing w:line="520" w:lineRule="exact"/>
              <w:ind w:firstLine="0" w:firstLineChars="0"/>
              <w:rPr>
                <w:bCs/>
                <w:sz w:val="24"/>
                <w:szCs w:val="24"/>
                <w:lang w:val="zh-CN"/>
              </w:rPr>
            </w:pPr>
            <w:r>
              <w:rPr>
                <w:rFonts w:hint="eastAsia"/>
                <w:bCs/>
                <w:sz w:val="24"/>
                <w:szCs w:val="24"/>
                <w:lang w:val="zh-CN"/>
              </w:rPr>
              <w:t>投标文件规范程度</w:t>
            </w:r>
          </w:p>
        </w:tc>
        <w:tc>
          <w:tcPr>
            <w:tcW w:w="4818" w:type="dxa"/>
            <w:vAlign w:val="center"/>
          </w:tcPr>
          <w:p>
            <w:pPr>
              <w:tabs>
                <w:tab w:val="left" w:pos="540"/>
              </w:tabs>
              <w:snapToGrid w:val="0"/>
              <w:spacing w:line="520" w:lineRule="exact"/>
              <w:ind w:firstLine="470" w:firstLineChars="196"/>
              <w:rPr>
                <w:bCs/>
                <w:sz w:val="24"/>
                <w:szCs w:val="24"/>
                <w:lang w:val="zh-CN"/>
              </w:rPr>
            </w:pPr>
            <w:r>
              <w:rPr>
                <w:rFonts w:hint="eastAsia"/>
                <w:bCs/>
                <w:sz w:val="24"/>
                <w:szCs w:val="24"/>
                <w:lang w:val="zh-CN"/>
              </w:rPr>
              <w:t>根据投标文件格式及装订是否规范，文字描述及用语是否准确无误，所提供资料是否准确完整，条理及检索是否清晰方便，得分范围在</w:t>
            </w:r>
            <w:r>
              <w:rPr>
                <w:rFonts w:hint="eastAsia"/>
                <w:bCs/>
                <w:sz w:val="24"/>
                <w:szCs w:val="24"/>
              </w:rPr>
              <w:t>1—</w:t>
            </w:r>
            <w:r>
              <w:rPr>
                <w:rFonts w:hint="eastAsia"/>
                <w:bCs/>
                <w:sz w:val="24"/>
                <w:szCs w:val="24"/>
                <w:lang w:val="zh-CN"/>
              </w:rPr>
              <w:t>2分间。投标文件编制、排序混乱、缺篇少页者</w:t>
            </w:r>
            <w:r>
              <w:rPr>
                <w:bCs/>
                <w:sz w:val="24"/>
                <w:szCs w:val="24"/>
                <w:lang w:val="zh-CN"/>
              </w:rPr>
              <w:t>可</w:t>
            </w:r>
            <w:r>
              <w:rPr>
                <w:rFonts w:hint="eastAsia"/>
                <w:bCs/>
                <w:sz w:val="24"/>
                <w:szCs w:val="24"/>
                <w:lang w:val="zh-CN"/>
              </w:rPr>
              <w:t>不得分。</w:t>
            </w:r>
          </w:p>
        </w:tc>
        <w:tc>
          <w:tcPr>
            <w:tcW w:w="2178" w:type="dxa"/>
            <w:vAlign w:val="center"/>
          </w:tcPr>
          <w:p>
            <w:pPr>
              <w:tabs>
                <w:tab w:val="left" w:pos="540"/>
              </w:tabs>
              <w:snapToGrid w:val="0"/>
              <w:spacing w:line="520" w:lineRule="exact"/>
              <w:ind w:firstLine="470" w:firstLineChars="196"/>
              <w:rPr>
                <w:bCs/>
                <w:sz w:val="24"/>
                <w:szCs w:val="24"/>
                <w:lang w:val="zh-CN"/>
              </w:rPr>
            </w:pPr>
            <w:r>
              <w:rPr>
                <w:rFonts w:hint="eastAsia"/>
                <w:bCs/>
                <w:sz w:val="24"/>
                <w:szCs w:val="24"/>
                <w:lang w:val="zh-CN"/>
              </w:rPr>
              <w:t>2分</w:t>
            </w:r>
          </w:p>
        </w:tc>
      </w:tr>
    </w:tbl>
    <w:p>
      <w:pPr>
        <w:widowControl/>
        <w:shd w:val="clear" w:color="auto" w:fill="FFFFFF"/>
        <w:spacing w:line="360" w:lineRule="atLeast"/>
        <w:ind w:firstLine="640"/>
        <w:jc w:val="left"/>
        <w:rPr>
          <w:rFonts w:ascii="宋体" w:hAnsi="宋体" w:eastAsia="宋体" w:cs="宋体"/>
          <w:color w:val="000000"/>
          <w:kern w:val="0"/>
        </w:rPr>
      </w:pPr>
      <w:r>
        <w:rPr>
          <w:rFonts w:hint="eastAsia" w:ascii="黑体" w:hAnsi="宋体" w:eastAsia="黑体" w:cs="黑体"/>
          <w:color w:val="000000"/>
          <w:kern w:val="0"/>
          <w:shd w:val="clear" w:color="auto" w:fill="FFFFFF"/>
        </w:rPr>
        <w:t>六、采购资金支付</w:t>
      </w:r>
    </w:p>
    <w:p>
      <w:pPr>
        <w:tabs>
          <w:tab w:val="left" w:pos="540"/>
        </w:tabs>
        <w:snapToGrid w:val="0"/>
        <w:spacing w:line="360" w:lineRule="auto"/>
        <w:ind w:firstLine="518" w:firstLineChars="162"/>
        <w:rPr>
          <w:bCs/>
          <w:lang w:val="zh-CN"/>
        </w:rPr>
      </w:pPr>
      <w:r>
        <w:rPr>
          <w:rFonts w:hint="eastAsia"/>
          <w:bCs/>
          <w:kern w:val="0"/>
          <w:shd w:val="clear" w:color="auto" w:fill="FFFFFF"/>
        </w:rPr>
        <w:t>（一）支付方式：银行转账。</w:t>
      </w:r>
    </w:p>
    <w:p>
      <w:pPr>
        <w:tabs>
          <w:tab w:val="left" w:pos="540"/>
        </w:tabs>
        <w:snapToGrid w:val="0"/>
        <w:spacing w:line="360" w:lineRule="auto"/>
        <w:ind w:firstLine="480" w:firstLineChars="150"/>
        <w:rPr>
          <w:bCs/>
          <w:lang w:val="zh-CN"/>
        </w:rPr>
      </w:pPr>
      <w:r>
        <w:rPr>
          <w:rFonts w:hint="eastAsia"/>
          <w:color w:val="000000"/>
          <w:kern w:val="0"/>
          <w:shd w:val="clear" w:color="auto" w:fill="FFFFFF"/>
        </w:rPr>
        <w:t>（二）支付时间及条件：</w:t>
      </w:r>
      <w:r>
        <w:rPr>
          <w:rFonts w:hint="eastAsia"/>
          <w:b/>
          <w:lang w:val="zh-CN"/>
        </w:rPr>
        <w:t>A包：</w:t>
      </w:r>
      <w:r>
        <w:rPr>
          <w:rFonts w:hint="eastAsia"/>
          <w:bCs/>
          <w:lang w:val="zh-CN"/>
        </w:rPr>
        <w:t>完成普查基本单位名录库支付至合同总额30%；完成全面入户调查数据初步录入、汇总、初审支付至合同总额50%；完成质量自查与评估报告、技术分析报告支付至合同总额80%；配合采购</w:t>
      </w:r>
      <w:r>
        <w:rPr>
          <w:bCs/>
          <w:lang w:val="zh-CN"/>
        </w:rPr>
        <w:t>人</w:t>
      </w:r>
      <w:r>
        <w:rPr>
          <w:rFonts w:hint="eastAsia"/>
          <w:bCs/>
          <w:lang w:val="zh-CN"/>
        </w:rPr>
        <w:t>通过上级验收，配合做好污染源档案建立、质量核查、成果发布工作，支付至合同总额100%。</w:t>
      </w:r>
    </w:p>
    <w:p>
      <w:pPr>
        <w:tabs>
          <w:tab w:val="left" w:pos="540"/>
        </w:tabs>
        <w:snapToGrid w:val="0"/>
        <w:spacing w:line="360" w:lineRule="auto"/>
        <w:ind w:firstLine="951" w:firstLineChars="296"/>
        <w:rPr>
          <w:bCs/>
          <w:lang w:val="zh-CN"/>
        </w:rPr>
      </w:pPr>
      <w:r>
        <w:rPr>
          <w:rFonts w:hint="eastAsia"/>
          <w:b/>
          <w:lang w:val="zh-CN"/>
        </w:rPr>
        <w:t>B包：</w:t>
      </w:r>
      <w:r>
        <w:rPr>
          <w:rFonts w:hint="eastAsia"/>
          <w:bCs/>
          <w:lang w:val="zh-CN"/>
        </w:rPr>
        <w:t>提交检测报告与技术成果后，经</w:t>
      </w:r>
      <w:r>
        <w:rPr>
          <w:bCs/>
          <w:lang w:val="zh-CN"/>
        </w:rPr>
        <w:t>确认合格</w:t>
      </w:r>
      <w:r>
        <w:rPr>
          <w:rFonts w:hint="eastAsia"/>
          <w:bCs/>
          <w:lang w:val="zh-CN"/>
        </w:rPr>
        <w:t>一次性支付合同</w:t>
      </w:r>
      <w:r>
        <w:rPr>
          <w:bCs/>
          <w:lang w:val="zh-CN"/>
        </w:rPr>
        <w:t>总额的</w:t>
      </w:r>
      <w:r>
        <w:rPr>
          <w:rFonts w:hint="eastAsia"/>
          <w:bCs/>
          <w:lang w:val="zh-CN"/>
        </w:rPr>
        <w:t>100</w:t>
      </w:r>
      <w:r>
        <w:rPr>
          <w:bCs/>
          <w:lang w:val="zh-CN"/>
        </w:rPr>
        <w:t>%</w:t>
      </w:r>
      <w:r>
        <w:rPr>
          <w:rFonts w:hint="eastAsia"/>
          <w:bCs/>
          <w:lang w:val="zh-CN"/>
        </w:rPr>
        <w:t>。</w:t>
      </w:r>
    </w:p>
    <w:p>
      <w:pPr>
        <w:widowControl/>
        <w:shd w:val="clear" w:color="auto" w:fill="FFFFFF"/>
        <w:spacing w:line="360" w:lineRule="atLeast"/>
        <w:ind w:firstLine="600" w:firstLineChars="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七、联系方式</w:t>
      </w:r>
    </w:p>
    <w:p>
      <w:pPr>
        <w:widowControl/>
        <w:shd w:val="clear" w:color="auto" w:fill="FFFFFF"/>
        <w:spacing w:line="525" w:lineRule="atLeast"/>
        <w:ind w:firstLine="600"/>
        <w:jc w:val="left"/>
        <w:rPr>
          <w:rFonts w:ascii="宋体" w:hAnsi="宋体" w:eastAsia="宋体" w:cs="宋体"/>
          <w:color w:val="000000"/>
          <w:kern w:val="0"/>
          <w:sz w:val="24"/>
          <w:szCs w:val="24"/>
        </w:rPr>
      </w:pPr>
      <w:r>
        <w:rPr>
          <w:rFonts w:hint="eastAsia"/>
          <w:color w:val="000000"/>
          <w:kern w:val="0"/>
          <w:sz w:val="30"/>
          <w:szCs w:val="30"/>
          <w:shd w:val="clear" w:color="auto" w:fill="FFFFFF"/>
        </w:rPr>
        <w:t>联系人姓名：杜要强</w:t>
      </w:r>
      <w:r>
        <w:rPr>
          <w:rFonts w:hint="eastAsia" w:ascii="宋体" w:hAnsi="宋体" w:eastAsia="宋体" w:cs="宋体"/>
          <w:color w:val="000000"/>
          <w:kern w:val="0"/>
          <w:sz w:val="30"/>
          <w:szCs w:val="30"/>
          <w:shd w:val="clear" w:color="auto" w:fill="FFFFFF"/>
        </w:rPr>
        <w:t>    </w:t>
      </w:r>
      <w:r>
        <w:rPr>
          <w:rFonts w:hint="eastAsia"/>
          <w:color w:val="000000"/>
          <w:kern w:val="0"/>
          <w:sz w:val="30"/>
          <w:szCs w:val="30"/>
          <w:shd w:val="clear" w:color="auto" w:fill="FFFFFF"/>
        </w:rPr>
        <w:t>联系电话：6069513</w:t>
      </w:r>
    </w:p>
    <w:p>
      <w:pPr>
        <w:widowControl/>
        <w:shd w:val="clear" w:color="auto" w:fill="FFFFFF"/>
        <w:spacing w:line="525" w:lineRule="atLeast"/>
        <w:ind w:firstLine="600"/>
        <w:jc w:val="left"/>
        <w:rPr>
          <w:rFonts w:ascii="宋体" w:hAnsi="宋体" w:eastAsia="宋体" w:cs="宋体"/>
          <w:color w:val="000000"/>
          <w:kern w:val="0"/>
          <w:sz w:val="24"/>
          <w:szCs w:val="24"/>
        </w:rPr>
      </w:pPr>
      <w:r>
        <w:rPr>
          <w:rFonts w:hint="eastAsia"/>
          <w:color w:val="000000"/>
          <w:kern w:val="0"/>
          <w:sz w:val="30"/>
          <w:szCs w:val="30"/>
          <w:shd w:val="clear" w:color="auto" w:fill="FFFFFF"/>
        </w:rPr>
        <w:t>单位地址：河南省许昌市东城区竹林路与龙兴路交叉口创业中心B座许昌市环境保护局</w:t>
      </w:r>
    </w:p>
    <w:p>
      <w:pPr>
        <w:widowControl/>
        <w:shd w:val="clear" w:color="auto" w:fill="FFFFFF"/>
        <w:spacing w:line="525" w:lineRule="atLeast"/>
        <w:ind w:firstLine="795"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30"/>
          <w:szCs w:val="30"/>
          <w:shd w:val="clear" w:color="auto" w:fill="FFFFFF"/>
        </w:rPr>
        <w:t> </w:t>
      </w:r>
    </w:p>
    <w:p>
      <w:pPr>
        <w:widowControl/>
        <w:shd w:val="clear" w:color="auto" w:fill="FFFFFF"/>
        <w:spacing w:line="525" w:lineRule="atLeast"/>
        <w:ind w:firstLine="795"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30"/>
          <w:szCs w:val="30"/>
          <w:shd w:val="clear" w:color="auto" w:fill="FFFFFF"/>
        </w:rPr>
        <w:t> </w:t>
      </w:r>
    </w:p>
    <w:p>
      <w:pPr>
        <w:widowControl/>
        <w:shd w:val="clear" w:color="auto" w:fill="FFFFFF"/>
        <w:spacing w:line="525" w:lineRule="atLeast"/>
        <w:ind w:firstLine="795"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30"/>
          <w:szCs w:val="30"/>
          <w:shd w:val="clear" w:color="auto" w:fill="FFFFFF"/>
        </w:rPr>
        <w:t> </w:t>
      </w:r>
    </w:p>
    <w:p>
      <w:pPr>
        <w:widowControl/>
        <w:shd w:val="clear" w:color="auto" w:fill="FFFFFF"/>
        <w:spacing w:line="330" w:lineRule="atLeast"/>
        <w:ind w:firstLine="4350" w:firstLineChars="0"/>
        <w:jc w:val="right"/>
        <w:rPr>
          <w:rFonts w:ascii="宋体" w:hAnsi="宋体" w:eastAsia="宋体" w:cs="宋体"/>
          <w:color w:val="000000"/>
          <w:kern w:val="0"/>
          <w:sz w:val="24"/>
          <w:szCs w:val="24"/>
        </w:rPr>
      </w:pPr>
      <w:r>
        <w:rPr>
          <w:rFonts w:hint="eastAsia"/>
          <w:color w:val="000000"/>
          <w:kern w:val="0"/>
          <w:sz w:val="30"/>
          <w:szCs w:val="30"/>
          <w:shd w:val="clear" w:color="auto" w:fill="FFFFFF"/>
        </w:rPr>
        <w:t>单位全称：许昌市环境保护局</w:t>
      </w:r>
    </w:p>
    <w:p>
      <w:pPr>
        <w:widowControl/>
        <w:shd w:val="clear" w:color="auto" w:fill="FFFFFF"/>
        <w:spacing w:line="330" w:lineRule="atLeast"/>
        <w:ind w:firstLine="5700" w:firstLineChars="0"/>
        <w:jc w:val="right"/>
        <w:rPr>
          <w:rFonts w:ascii="宋体" w:hAnsi="宋体" w:eastAsia="宋体" w:cs="宋体"/>
          <w:color w:val="000000"/>
          <w:kern w:val="0"/>
          <w:sz w:val="24"/>
          <w:szCs w:val="24"/>
        </w:rPr>
      </w:pPr>
      <w:r>
        <w:rPr>
          <w:rFonts w:hint="eastAsia" w:ascii="宋体" w:hAnsi="宋体" w:eastAsia="宋体" w:cs="宋体"/>
          <w:color w:val="000000"/>
          <w:kern w:val="0"/>
          <w:sz w:val="30"/>
          <w:szCs w:val="30"/>
          <w:shd w:val="clear" w:color="auto" w:fill="FFFFFF"/>
        </w:rPr>
        <w:t> </w:t>
      </w:r>
    </w:p>
    <w:p>
      <w:pPr>
        <w:widowControl/>
        <w:shd w:val="clear" w:color="auto" w:fill="FFFFFF"/>
        <w:spacing w:line="330" w:lineRule="atLeast"/>
        <w:ind w:firstLine="5379" w:firstLineChars="1793"/>
        <w:rPr>
          <w:rFonts w:ascii="宋体" w:hAnsi="宋体" w:eastAsia="宋体" w:cs="宋体"/>
          <w:color w:val="000000"/>
          <w:kern w:val="0"/>
          <w:sz w:val="24"/>
          <w:szCs w:val="24"/>
        </w:rPr>
      </w:pPr>
      <w:r>
        <w:rPr>
          <w:rFonts w:hint="eastAsia"/>
          <w:color w:val="000000"/>
          <w:kern w:val="0"/>
          <w:sz w:val="30"/>
          <w:szCs w:val="30"/>
          <w:shd w:val="clear" w:color="auto" w:fill="FFFFFF"/>
        </w:rPr>
        <w:t>2018年4月28日</w:t>
      </w:r>
    </w:p>
    <w:p>
      <w:pPr>
        <w:widowControl/>
        <w:shd w:val="clear" w:color="auto" w:fill="FFFFFF"/>
        <w:spacing w:line="525" w:lineRule="atLeast"/>
        <w:ind w:firstLine="640" w:firstLineChars="0"/>
        <w:jc w:val="left"/>
        <w:rPr>
          <w:rFonts w:ascii="宋体" w:hAnsi="宋体" w:eastAsia="宋体" w:cs="宋体"/>
          <w:color w:val="000000"/>
          <w:kern w:val="0"/>
          <w:sz w:val="24"/>
          <w:szCs w:val="24"/>
        </w:rPr>
      </w:pPr>
      <w:r>
        <w:rPr>
          <w:rFonts w:ascii="Calibri" w:hAnsi="Calibri" w:eastAsia="宋体" w:cs="宋体"/>
          <w:color w:val="000000"/>
          <w:kern w:val="0"/>
          <w:sz w:val="24"/>
          <w:szCs w:val="24"/>
        </w:rPr>
        <w:t> </w:t>
      </w:r>
    </w:p>
    <w:p>
      <w:pPr>
        <w:ind w:firstLine="64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ind w:firstLine="360"/>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F88A8"/>
    <w:multiLevelType w:val="singleLevel"/>
    <w:tmpl w:val="8ADF88A8"/>
    <w:lvl w:ilvl="0" w:tentative="0">
      <w:start w:val="1"/>
      <w:numFmt w:val="decimal"/>
      <w:suff w:val="nothing"/>
      <w:lvlText w:val="%1、"/>
      <w:lvlJc w:val="left"/>
    </w:lvl>
  </w:abstractNum>
  <w:abstractNum w:abstractNumId="1">
    <w:nsid w:val="90491AB7"/>
    <w:multiLevelType w:val="singleLevel"/>
    <w:tmpl w:val="90491AB7"/>
    <w:lvl w:ilvl="0" w:tentative="0">
      <w:start w:val="1"/>
      <w:numFmt w:val="decimal"/>
      <w:suff w:val="nothing"/>
      <w:lvlText w:val="%1、"/>
      <w:lvlJc w:val="left"/>
    </w:lvl>
  </w:abstractNum>
  <w:abstractNum w:abstractNumId="2">
    <w:nsid w:val="3AD6D3C8"/>
    <w:multiLevelType w:val="singleLevel"/>
    <w:tmpl w:val="3AD6D3C8"/>
    <w:lvl w:ilvl="0" w:tentative="0">
      <w:start w:val="1"/>
      <w:numFmt w:val="decimal"/>
      <w:suff w:val="nothing"/>
      <w:lvlText w:val="%1、"/>
      <w:lvlJc w:val="left"/>
    </w:lvl>
  </w:abstractNum>
  <w:abstractNum w:abstractNumId="3">
    <w:nsid w:val="5F4511DE"/>
    <w:multiLevelType w:val="multilevel"/>
    <w:tmpl w:val="5F4511DE"/>
    <w:lvl w:ilvl="0" w:tentative="0">
      <w:start w:val="1"/>
      <w:numFmt w:val="decimal"/>
      <w:lvlText w:val="%1、"/>
      <w:lvlJc w:val="left"/>
      <w:pPr>
        <w:ind w:left="830" w:hanging="360"/>
      </w:pPr>
      <w:rPr>
        <w:rFonts w:hint="default"/>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742F"/>
    <w:rsid w:val="00001756"/>
    <w:rsid w:val="0000249B"/>
    <w:rsid w:val="00002997"/>
    <w:rsid w:val="00004430"/>
    <w:rsid w:val="00004A1C"/>
    <w:rsid w:val="00012942"/>
    <w:rsid w:val="00012FA5"/>
    <w:rsid w:val="0001490C"/>
    <w:rsid w:val="00015A61"/>
    <w:rsid w:val="00016AB8"/>
    <w:rsid w:val="00022120"/>
    <w:rsid w:val="00023039"/>
    <w:rsid w:val="00030E95"/>
    <w:rsid w:val="00032A23"/>
    <w:rsid w:val="00051921"/>
    <w:rsid w:val="0005286A"/>
    <w:rsid w:val="00053779"/>
    <w:rsid w:val="0005386D"/>
    <w:rsid w:val="00054639"/>
    <w:rsid w:val="000560D5"/>
    <w:rsid w:val="00064C22"/>
    <w:rsid w:val="00065F87"/>
    <w:rsid w:val="00071658"/>
    <w:rsid w:val="00071C21"/>
    <w:rsid w:val="00072344"/>
    <w:rsid w:val="000754BD"/>
    <w:rsid w:val="000756DE"/>
    <w:rsid w:val="0007734E"/>
    <w:rsid w:val="000803BC"/>
    <w:rsid w:val="000867A7"/>
    <w:rsid w:val="00087665"/>
    <w:rsid w:val="000929DB"/>
    <w:rsid w:val="00093171"/>
    <w:rsid w:val="000945C6"/>
    <w:rsid w:val="00097EFB"/>
    <w:rsid w:val="000A36E4"/>
    <w:rsid w:val="000A67CA"/>
    <w:rsid w:val="000B0617"/>
    <w:rsid w:val="000B4EAC"/>
    <w:rsid w:val="000C0D82"/>
    <w:rsid w:val="000C3537"/>
    <w:rsid w:val="000C5AFC"/>
    <w:rsid w:val="000C6E4F"/>
    <w:rsid w:val="000D0799"/>
    <w:rsid w:val="000D19E6"/>
    <w:rsid w:val="000D2C36"/>
    <w:rsid w:val="000D57FD"/>
    <w:rsid w:val="000D6425"/>
    <w:rsid w:val="000D7951"/>
    <w:rsid w:val="000E523A"/>
    <w:rsid w:val="000E68B9"/>
    <w:rsid w:val="000E780B"/>
    <w:rsid w:val="000E7EC8"/>
    <w:rsid w:val="000F3A8E"/>
    <w:rsid w:val="000F3FBD"/>
    <w:rsid w:val="000F5126"/>
    <w:rsid w:val="0010079F"/>
    <w:rsid w:val="001031FC"/>
    <w:rsid w:val="00106E15"/>
    <w:rsid w:val="00106F00"/>
    <w:rsid w:val="00111339"/>
    <w:rsid w:val="00114FD3"/>
    <w:rsid w:val="00116126"/>
    <w:rsid w:val="0012059E"/>
    <w:rsid w:val="0012183D"/>
    <w:rsid w:val="001242A6"/>
    <w:rsid w:val="00133285"/>
    <w:rsid w:val="0013641C"/>
    <w:rsid w:val="00136CD4"/>
    <w:rsid w:val="001408AD"/>
    <w:rsid w:val="00146608"/>
    <w:rsid w:val="001472D3"/>
    <w:rsid w:val="0015540F"/>
    <w:rsid w:val="0015595B"/>
    <w:rsid w:val="00160C77"/>
    <w:rsid w:val="00164E6D"/>
    <w:rsid w:val="0017152D"/>
    <w:rsid w:val="00172BFA"/>
    <w:rsid w:val="00173C32"/>
    <w:rsid w:val="00181C43"/>
    <w:rsid w:val="001856E7"/>
    <w:rsid w:val="00186B32"/>
    <w:rsid w:val="00190FC4"/>
    <w:rsid w:val="00192906"/>
    <w:rsid w:val="00195002"/>
    <w:rsid w:val="001A4822"/>
    <w:rsid w:val="001B3279"/>
    <w:rsid w:val="001B35FB"/>
    <w:rsid w:val="001B5ED9"/>
    <w:rsid w:val="001B60C0"/>
    <w:rsid w:val="001C20C9"/>
    <w:rsid w:val="001C2E2D"/>
    <w:rsid w:val="001C3373"/>
    <w:rsid w:val="001C36DE"/>
    <w:rsid w:val="001D0CA8"/>
    <w:rsid w:val="001D64A4"/>
    <w:rsid w:val="001E1476"/>
    <w:rsid w:val="001E2A54"/>
    <w:rsid w:val="001E6442"/>
    <w:rsid w:val="001E6834"/>
    <w:rsid w:val="001E6E3C"/>
    <w:rsid w:val="001E752B"/>
    <w:rsid w:val="001F2E75"/>
    <w:rsid w:val="001F391A"/>
    <w:rsid w:val="001F4132"/>
    <w:rsid w:val="001F4DE2"/>
    <w:rsid w:val="001F67EA"/>
    <w:rsid w:val="001F7427"/>
    <w:rsid w:val="00200FEC"/>
    <w:rsid w:val="002025FD"/>
    <w:rsid w:val="0020799F"/>
    <w:rsid w:val="00213174"/>
    <w:rsid w:val="00213290"/>
    <w:rsid w:val="002142B7"/>
    <w:rsid w:val="00214B09"/>
    <w:rsid w:val="002200D5"/>
    <w:rsid w:val="0022072D"/>
    <w:rsid w:val="00221A0F"/>
    <w:rsid w:val="00221A5A"/>
    <w:rsid w:val="00221D91"/>
    <w:rsid w:val="002226C3"/>
    <w:rsid w:val="00223029"/>
    <w:rsid w:val="002233BF"/>
    <w:rsid w:val="002240DE"/>
    <w:rsid w:val="002251D2"/>
    <w:rsid w:val="00230C22"/>
    <w:rsid w:val="0023106C"/>
    <w:rsid w:val="00232473"/>
    <w:rsid w:val="00232B0C"/>
    <w:rsid w:val="00233E9B"/>
    <w:rsid w:val="00236F6F"/>
    <w:rsid w:val="002405B2"/>
    <w:rsid w:val="00246D56"/>
    <w:rsid w:val="00251CF2"/>
    <w:rsid w:val="00255D00"/>
    <w:rsid w:val="00260638"/>
    <w:rsid w:val="0026502F"/>
    <w:rsid w:val="0026557A"/>
    <w:rsid w:val="0026663D"/>
    <w:rsid w:val="00274333"/>
    <w:rsid w:val="00274BC6"/>
    <w:rsid w:val="00276605"/>
    <w:rsid w:val="00281CE4"/>
    <w:rsid w:val="00284A48"/>
    <w:rsid w:val="00284EA1"/>
    <w:rsid w:val="00287C84"/>
    <w:rsid w:val="0029068D"/>
    <w:rsid w:val="00291038"/>
    <w:rsid w:val="002945A6"/>
    <w:rsid w:val="002A5518"/>
    <w:rsid w:val="002A5D40"/>
    <w:rsid w:val="002B3DB9"/>
    <w:rsid w:val="002B532F"/>
    <w:rsid w:val="002B6B4A"/>
    <w:rsid w:val="002C0246"/>
    <w:rsid w:val="002C07EF"/>
    <w:rsid w:val="002C2C11"/>
    <w:rsid w:val="002C796A"/>
    <w:rsid w:val="002D1D82"/>
    <w:rsid w:val="002D2FFB"/>
    <w:rsid w:val="002D312F"/>
    <w:rsid w:val="002E52FD"/>
    <w:rsid w:val="002E5C2E"/>
    <w:rsid w:val="002F1B5A"/>
    <w:rsid w:val="002F5474"/>
    <w:rsid w:val="002F77A0"/>
    <w:rsid w:val="002F7C87"/>
    <w:rsid w:val="00302337"/>
    <w:rsid w:val="00302A1C"/>
    <w:rsid w:val="003035B6"/>
    <w:rsid w:val="00323F32"/>
    <w:rsid w:val="003250EF"/>
    <w:rsid w:val="00330307"/>
    <w:rsid w:val="00335419"/>
    <w:rsid w:val="00336055"/>
    <w:rsid w:val="00337358"/>
    <w:rsid w:val="0034035D"/>
    <w:rsid w:val="0034225A"/>
    <w:rsid w:val="0034717C"/>
    <w:rsid w:val="00350250"/>
    <w:rsid w:val="003549F3"/>
    <w:rsid w:val="003553A0"/>
    <w:rsid w:val="0036084E"/>
    <w:rsid w:val="0036244A"/>
    <w:rsid w:val="00363A2C"/>
    <w:rsid w:val="00363BB2"/>
    <w:rsid w:val="003660BD"/>
    <w:rsid w:val="003675FC"/>
    <w:rsid w:val="00367AA2"/>
    <w:rsid w:val="0037233D"/>
    <w:rsid w:val="0037729F"/>
    <w:rsid w:val="0038194C"/>
    <w:rsid w:val="00382000"/>
    <w:rsid w:val="00385050"/>
    <w:rsid w:val="00392F93"/>
    <w:rsid w:val="00393387"/>
    <w:rsid w:val="00396770"/>
    <w:rsid w:val="00396908"/>
    <w:rsid w:val="00396EA4"/>
    <w:rsid w:val="00397194"/>
    <w:rsid w:val="0039762B"/>
    <w:rsid w:val="003A0120"/>
    <w:rsid w:val="003A0228"/>
    <w:rsid w:val="003A0A33"/>
    <w:rsid w:val="003A2638"/>
    <w:rsid w:val="003A3E1E"/>
    <w:rsid w:val="003A4390"/>
    <w:rsid w:val="003A56B2"/>
    <w:rsid w:val="003A6AAD"/>
    <w:rsid w:val="003B1011"/>
    <w:rsid w:val="003B5A97"/>
    <w:rsid w:val="003B61BC"/>
    <w:rsid w:val="003C1BE1"/>
    <w:rsid w:val="003C472F"/>
    <w:rsid w:val="003C5AC6"/>
    <w:rsid w:val="003D3CAE"/>
    <w:rsid w:val="003F0827"/>
    <w:rsid w:val="003F1D5F"/>
    <w:rsid w:val="003F1DE0"/>
    <w:rsid w:val="003F1FE9"/>
    <w:rsid w:val="003F3CC2"/>
    <w:rsid w:val="003F435A"/>
    <w:rsid w:val="00401127"/>
    <w:rsid w:val="004047E0"/>
    <w:rsid w:val="00404EDC"/>
    <w:rsid w:val="00405780"/>
    <w:rsid w:val="0040638F"/>
    <w:rsid w:val="0040769B"/>
    <w:rsid w:val="00413B2A"/>
    <w:rsid w:val="004169B1"/>
    <w:rsid w:val="00417B63"/>
    <w:rsid w:val="00417E7D"/>
    <w:rsid w:val="0042011B"/>
    <w:rsid w:val="004201A9"/>
    <w:rsid w:val="00421592"/>
    <w:rsid w:val="00425707"/>
    <w:rsid w:val="00427F45"/>
    <w:rsid w:val="004325F5"/>
    <w:rsid w:val="004332D3"/>
    <w:rsid w:val="0043492D"/>
    <w:rsid w:val="00437D7F"/>
    <w:rsid w:val="00441C0B"/>
    <w:rsid w:val="00445799"/>
    <w:rsid w:val="00445BF3"/>
    <w:rsid w:val="004466FC"/>
    <w:rsid w:val="0044732E"/>
    <w:rsid w:val="0045037F"/>
    <w:rsid w:val="00450493"/>
    <w:rsid w:val="004506D0"/>
    <w:rsid w:val="00451100"/>
    <w:rsid w:val="00455575"/>
    <w:rsid w:val="00460336"/>
    <w:rsid w:val="004604DE"/>
    <w:rsid w:val="0046062F"/>
    <w:rsid w:val="00462E0A"/>
    <w:rsid w:val="00463831"/>
    <w:rsid w:val="00466A88"/>
    <w:rsid w:val="004760C1"/>
    <w:rsid w:val="00476B22"/>
    <w:rsid w:val="00476DA2"/>
    <w:rsid w:val="0047742F"/>
    <w:rsid w:val="00484390"/>
    <w:rsid w:val="00492E78"/>
    <w:rsid w:val="0049536E"/>
    <w:rsid w:val="00496B43"/>
    <w:rsid w:val="004A724C"/>
    <w:rsid w:val="004A78C4"/>
    <w:rsid w:val="004A7D4B"/>
    <w:rsid w:val="004B4063"/>
    <w:rsid w:val="004B5A38"/>
    <w:rsid w:val="004B74BC"/>
    <w:rsid w:val="004C1085"/>
    <w:rsid w:val="004D0260"/>
    <w:rsid w:val="004D1CFC"/>
    <w:rsid w:val="004D2407"/>
    <w:rsid w:val="004E2C3D"/>
    <w:rsid w:val="004E4D49"/>
    <w:rsid w:val="004F0B52"/>
    <w:rsid w:val="004F576E"/>
    <w:rsid w:val="004F5785"/>
    <w:rsid w:val="004F791C"/>
    <w:rsid w:val="00500038"/>
    <w:rsid w:val="00502AAB"/>
    <w:rsid w:val="00506320"/>
    <w:rsid w:val="00506526"/>
    <w:rsid w:val="00510883"/>
    <w:rsid w:val="00514A7B"/>
    <w:rsid w:val="0051548E"/>
    <w:rsid w:val="00523C82"/>
    <w:rsid w:val="00526521"/>
    <w:rsid w:val="00527BB5"/>
    <w:rsid w:val="005419BA"/>
    <w:rsid w:val="0054743D"/>
    <w:rsid w:val="005518B8"/>
    <w:rsid w:val="00551A93"/>
    <w:rsid w:val="005534A9"/>
    <w:rsid w:val="00553DFC"/>
    <w:rsid w:val="00554253"/>
    <w:rsid w:val="005575D7"/>
    <w:rsid w:val="00560D69"/>
    <w:rsid w:val="0056101A"/>
    <w:rsid w:val="0056302B"/>
    <w:rsid w:val="0056386B"/>
    <w:rsid w:val="0056481B"/>
    <w:rsid w:val="00566BFE"/>
    <w:rsid w:val="005776C8"/>
    <w:rsid w:val="005817F0"/>
    <w:rsid w:val="00586064"/>
    <w:rsid w:val="00591A3E"/>
    <w:rsid w:val="00591E34"/>
    <w:rsid w:val="005A0148"/>
    <w:rsid w:val="005A0B99"/>
    <w:rsid w:val="005A6985"/>
    <w:rsid w:val="005B166A"/>
    <w:rsid w:val="005B33A6"/>
    <w:rsid w:val="005B36DE"/>
    <w:rsid w:val="005B7EEF"/>
    <w:rsid w:val="005C16BE"/>
    <w:rsid w:val="005C47D5"/>
    <w:rsid w:val="005C5B8D"/>
    <w:rsid w:val="005D0C9E"/>
    <w:rsid w:val="005E03EA"/>
    <w:rsid w:val="005E0E5D"/>
    <w:rsid w:val="005E2B6D"/>
    <w:rsid w:val="005E67EF"/>
    <w:rsid w:val="005F025D"/>
    <w:rsid w:val="005F0CF3"/>
    <w:rsid w:val="005F1154"/>
    <w:rsid w:val="005F6EFC"/>
    <w:rsid w:val="005F7793"/>
    <w:rsid w:val="00600DB2"/>
    <w:rsid w:val="006015B3"/>
    <w:rsid w:val="0060160F"/>
    <w:rsid w:val="00602CA5"/>
    <w:rsid w:val="00602EA4"/>
    <w:rsid w:val="0060330B"/>
    <w:rsid w:val="0060361D"/>
    <w:rsid w:val="00611184"/>
    <w:rsid w:val="00611511"/>
    <w:rsid w:val="0061181A"/>
    <w:rsid w:val="00614C5A"/>
    <w:rsid w:val="00616291"/>
    <w:rsid w:val="00626B3A"/>
    <w:rsid w:val="00632069"/>
    <w:rsid w:val="00633143"/>
    <w:rsid w:val="00636A56"/>
    <w:rsid w:val="00642C17"/>
    <w:rsid w:val="00643A6B"/>
    <w:rsid w:val="00644924"/>
    <w:rsid w:val="00644925"/>
    <w:rsid w:val="00646923"/>
    <w:rsid w:val="00647A1F"/>
    <w:rsid w:val="006528F9"/>
    <w:rsid w:val="00655A21"/>
    <w:rsid w:val="00656B47"/>
    <w:rsid w:val="00656B5C"/>
    <w:rsid w:val="00656FA1"/>
    <w:rsid w:val="00660AA1"/>
    <w:rsid w:val="006617F9"/>
    <w:rsid w:val="00662EC1"/>
    <w:rsid w:val="0066333F"/>
    <w:rsid w:val="00664559"/>
    <w:rsid w:val="00665547"/>
    <w:rsid w:val="00665B3D"/>
    <w:rsid w:val="006674E4"/>
    <w:rsid w:val="00670E8F"/>
    <w:rsid w:val="00671D3A"/>
    <w:rsid w:val="00672B5D"/>
    <w:rsid w:val="00674167"/>
    <w:rsid w:val="00677F3C"/>
    <w:rsid w:val="006832A5"/>
    <w:rsid w:val="0068503C"/>
    <w:rsid w:val="006866F6"/>
    <w:rsid w:val="00687B85"/>
    <w:rsid w:val="0069296C"/>
    <w:rsid w:val="006933E8"/>
    <w:rsid w:val="006937B9"/>
    <w:rsid w:val="00696519"/>
    <w:rsid w:val="006A03C1"/>
    <w:rsid w:val="006A103D"/>
    <w:rsid w:val="006A323E"/>
    <w:rsid w:val="006A3AC1"/>
    <w:rsid w:val="006B164C"/>
    <w:rsid w:val="006B2BD2"/>
    <w:rsid w:val="006B3258"/>
    <w:rsid w:val="006B4153"/>
    <w:rsid w:val="006C15C1"/>
    <w:rsid w:val="006C3D69"/>
    <w:rsid w:val="006C7041"/>
    <w:rsid w:val="006D2CE1"/>
    <w:rsid w:val="006E045F"/>
    <w:rsid w:val="006E1B3C"/>
    <w:rsid w:val="006E1E46"/>
    <w:rsid w:val="006E7BFE"/>
    <w:rsid w:val="006E7E52"/>
    <w:rsid w:val="006F1BC1"/>
    <w:rsid w:val="006F1DA8"/>
    <w:rsid w:val="006F4291"/>
    <w:rsid w:val="006F70BB"/>
    <w:rsid w:val="006F7EA7"/>
    <w:rsid w:val="00701BD6"/>
    <w:rsid w:val="00702F75"/>
    <w:rsid w:val="0070417B"/>
    <w:rsid w:val="00704D2A"/>
    <w:rsid w:val="007105AF"/>
    <w:rsid w:val="0071276F"/>
    <w:rsid w:val="00713519"/>
    <w:rsid w:val="007153D9"/>
    <w:rsid w:val="007157F1"/>
    <w:rsid w:val="007202D4"/>
    <w:rsid w:val="00721EEE"/>
    <w:rsid w:val="007243D0"/>
    <w:rsid w:val="00725117"/>
    <w:rsid w:val="00726ED7"/>
    <w:rsid w:val="00732CD4"/>
    <w:rsid w:val="00734338"/>
    <w:rsid w:val="00736556"/>
    <w:rsid w:val="00736919"/>
    <w:rsid w:val="007439A1"/>
    <w:rsid w:val="007468DA"/>
    <w:rsid w:val="00746C6D"/>
    <w:rsid w:val="00755DA0"/>
    <w:rsid w:val="00756E2C"/>
    <w:rsid w:val="0076412D"/>
    <w:rsid w:val="0076709B"/>
    <w:rsid w:val="00770482"/>
    <w:rsid w:val="00770DDE"/>
    <w:rsid w:val="0077172E"/>
    <w:rsid w:val="00773D6A"/>
    <w:rsid w:val="00774899"/>
    <w:rsid w:val="00775247"/>
    <w:rsid w:val="007768DA"/>
    <w:rsid w:val="00781159"/>
    <w:rsid w:val="0078360C"/>
    <w:rsid w:val="00783B0A"/>
    <w:rsid w:val="007869BD"/>
    <w:rsid w:val="00787F39"/>
    <w:rsid w:val="00791956"/>
    <w:rsid w:val="00792579"/>
    <w:rsid w:val="007933A8"/>
    <w:rsid w:val="00796A72"/>
    <w:rsid w:val="007A0AA9"/>
    <w:rsid w:val="007A0F47"/>
    <w:rsid w:val="007A23A6"/>
    <w:rsid w:val="007A2A53"/>
    <w:rsid w:val="007A3748"/>
    <w:rsid w:val="007A5625"/>
    <w:rsid w:val="007B2AFD"/>
    <w:rsid w:val="007B507B"/>
    <w:rsid w:val="007B75D6"/>
    <w:rsid w:val="007B7E9D"/>
    <w:rsid w:val="007C1A60"/>
    <w:rsid w:val="007C24B9"/>
    <w:rsid w:val="007C35FF"/>
    <w:rsid w:val="007C360A"/>
    <w:rsid w:val="007C518A"/>
    <w:rsid w:val="007D05CE"/>
    <w:rsid w:val="007D4026"/>
    <w:rsid w:val="007D65E6"/>
    <w:rsid w:val="007D6BE5"/>
    <w:rsid w:val="007D76BA"/>
    <w:rsid w:val="007E1AE4"/>
    <w:rsid w:val="007E3441"/>
    <w:rsid w:val="007F3996"/>
    <w:rsid w:val="007F7C86"/>
    <w:rsid w:val="00801063"/>
    <w:rsid w:val="00802500"/>
    <w:rsid w:val="0080456B"/>
    <w:rsid w:val="0080594B"/>
    <w:rsid w:val="008169B5"/>
    <w:rsid w:val="00822184"/>
    <w:rsid w:val="008238EC"/>
    <w:rsid w:val="008246E9"/>
    <w:rsid w:val="008275E6"/>
    <w:rsid w:val="00827770"/>
    <w:rsid w:val="00830188"/>
    <w:rsid w:val="00836023"/>
    <w:rsid w:val="00836276"/>
    <w:rsid w:val="0083643C"/>
    <w:rsid w:val="00844631"/>
    <w:rsid w:val="00844843"/>
    <w:rsid w:val="00844944"/>
    <w:rsid w:val="00845326"/>
    <w:rsid w:val="008456B1"/>
    <w:rsid w:val="0084643B"/>
    <w:rsid w:val="0084771F"/>
    <w:rsid w:val="00854D1B"/>
    <w:rsid w:val="00855E84"/>
    <w:rsid w:val="00860C27"/>
    <w:rsid w:val="00860C9F"/>
    <w:rsid w:val="00862318"/>
    <w:rsid w:val="00865014"/>
    <w:rsid w:val="008704B7"/>
    <w:rsid w:val="008718A4"/>
    <w:rsid w:val="008728AF"/>
    <w:rsid w:val="00872C76"/>
    <w:rsid w:val="00873A3C"/>
    <w:rsid w:val="00875FAF"/>
    <w:rsid w:val="008770A4"/>
    <w:rsid w:val="008775ED"/>
    <w:rsid w:val="00880C2A"/>
    <w:rsid w:val="00881BD2"/>
    <w:rsid w:val="0088234C"/>
    <w:rsid w:val="008826B0"/>
    <w:rsid w:val="00885AC2"/>
    <w:rsid w:val="008868BA"/>
    <w:rsid w:val="00887F27"/>
    <w:rsid w:val="00891908"/>
    <w:rsid w:val="00893B09"/>
    <w:rsid w:val="00894346"/>
    <w:rsid w:val="008958D5"/>
    <w:rsid w:val="00896018"/>
    <w:rsid w:val="00896670"/>
    <w:rsid w:val="008A054F"/>
    <w:rsid w:val="008A0D8E"/>
    <w:rsid w:val="008A163C"/>
    <w:rsid w:val="008A37AA"/>
    <w:rsid w:val="008A5933"/>
    <w:rsid w:val="008A7707"/>
    <w:rsid w:val="008B4F5C"/>
    <w:rsid w:val="008B6F2E"/>
    <w:rsid w:val="008C0813"/>
    <w:rsid w:val="008C0C41"/>
    <w:rsid w:val="008C5A43"/>
    <w:rsid w:val="008E2AC1"/>
    <w:rsid w:val="008E5650"/>
    <w:rsid w:val="008E5ADF"/>
    <w:rsid w:val="008E6DE0"/>
    <w:rsid w:val="008F114D"/>
    <w:rsid w:val="008F28AA"/>
    <w:rsid w:val="008F42D5"/>
    <w:rsid w:val="008F61CF"/>
    <w:rsid w:val="008F6C5F"/>
    <w:rsid w:val="008F6D13"/>
    <w:rsid w:val="008F6DB0"/>
    <w:rsid w:val="008F7E95"/>
    <w:rsid w:val="00902603"/>
    <w:rsid w:val="0090610D"/>
    <w:rsid w:val="009105F9"/>
    <w:rsid w:val="009116F3"/>
    <w:rsid w:val="00912484"/>
    <w:rsid w:val="00913A8C"/>
    <w:rsid w:val="009171BA"/>
    <w:rsid w:val="00923040"/>
    <w:rsid w:val="009241AE"/>
    <w:rsid w:val="0092601A"/>
    <w:rsid w:val="00926668"/>
    <w:rsid w:val="0093150C"/>
    <w:rsid w:val="00931AAB"/>
    <w:rsid w:val="009366B4"/>
    <w:rsid w:val="009426BA"/>
    <w:rsid w:val="00950DF7"/>
    <w:rsid w:val="00952CBC"/>
    <w:rsid w:val="009549E8"/>
    <w:rsid w:val="00960671"/>
    <w:rsid w:val="00961670"/>
    <w:rsid w:val="009621CD"/>
    <w:rsid w:val="0096358C"/>
    <w:rsid w:val="009717AE"/>
    <w:rsid w:val="009720C0"/>
    <w:rsid w:val="0097254C"/>
    <w:rsid w:val="00972886"/>
    <w:rsid w:val="00974BD9"/>
    <w:rsid w:val="00975057"/>
    <w:rsid w:val="0097599A"/>
    <w:rsid w:val="00977F86"/>
    <w:rsid w:val="00980392"/>
    <w:rsid w:val="0098152D"/>
    <w:rsid w:val="00982468"/>
    <w:rsid w:val="009843B3"/>
    <w:rsid w:val="00984A6D"/>
    <w:rsid w:val="00985B3C"/>
    <w:rsid w:val="00987273"/>
    <w:rsid w:val="00994155"/>
    <w:rsid w:val="00995B84"/>
    <w:rsid w:val="009A2D89"/>
    <w:rsid w:val="009A59EB"/>
    <w:rsid w:val="009A693C"/>
    <w:rsid w:val="009B2BD4"/>
    <w:rsid w:val="009B73B3"/>
    <w:rsid w:val="009C1FFB"/>
    <w:rsid w:val="009D045E"/>
    <w:rsid w:val="009D263E"/>
    <w:rsid w:val="009D4DE7"/>
    <w:rsid w:val="009D5548"/>
    <w:rsid w:val="009D6E21"/>
    <w:rsid w:val="009D7324"/>
    <w:rsid w:val="009E17BC"/>
    <w:rsid w:val="009E2FF0"/>
    <w:rsid w:val="009E4F58"/>
    <w:rsid w:val="009E5750"/>
    <w:rsid w:val="009E7DAD"/>
    <w:rsid w:val="009F04D9"/>
    <w:rsid w:val="009F1B0C"/>
    <w:rsid w:val="009F3010"/>
    <w:rsid w:val="009F3A84"/>
    <w:rsid w:val="009F509E"/>
    <w:rsid w:val="00A00264"/>
    <w:rsid w:val="00A025AE"/>
    <w:rsid w:val="00A0342B"/>
    <w:rsid w:val="00A05540"/>
    <w:rsid w:val="00A06009"/>
    <w:rsid w:val="00A06649"/>
    <w:rsid w:val="00A10104"/>
    <w:rsid w:val="00A12EA7"/>
    <w:rsid w:val="00A16D50"/>
    <w:rsid w:val="00A226F2"/>
    <w:rsid w:val="00A24E20"/>
    <w:rsid w:val="00A257A6"/>
    <w:rsid w:val="00A305A1"/>
    <w:rsid w:val="00A35555"/>
    <w:rsid w:val="00A41786"/>
    <w:rsid w:val="00A4325A"/>
    <w:rsid w:val="00A444F1"/>
    <w:rsid w:val="00A46489"/>
    <w:rsid w:val="00A467CA"/>
    <w:rsid w:val="00A50450"/>
    <w:rsid w:val="00A511E8"/>
    <w:rsid w:val="00A65A05"/>
    <w:rsid w:val="00A71B80"/>
    <w:rsid w:val="00A735FD"/>
    <w:rsid w:val="00A73685"/>
    <w:rsid w:val="00A7418B"/>
    <w:rsid w:val="00A74CD0"/>
    <w:rsid w:val="00A769E1"/>
    <w:rsid w:val="00A845F0"/>
    <w:rsid w:val="00A86469"/>
    <w:rsid w:val="00A92D84"/>
    <w:rsid w:val="00A95356"/>
    <w:rsid w:val="00A971F0"/>
    <w:rsid w:val="00A972E4"/>
    <w:rsid w:val="00AA4E5D"/>
    <w:rsid w:val="00AA5AC8"/>
    <w:rsid w:val="00AA71A1"/>
    <w:rsid w:val="00AC00AC"/>
    <w:rsid w:val="00AC1052"/>
    <w:rsid w:val="00AC2058"/>
    <w:rsid w:val="00AC54A5"/>
    <w:rsid w:val="00AC56CB"/>
    <w:rsid w:val="00AD073C"/>
    <w:rsid w:val="00AD093A"/>
    <w:rsid w:val="00AD6F8B"/>
    <w:rsid w:val="00AD7C68"/>
    <w:rsid w:val="00AE0720"/>
    <w:rsid w:val="00AE07A6"/>
    <w:rsid w:val="00AE0EAE"/>
    <w:rsid w:val="00AE1150"/>
    <w:rsid w:val="00AE3C9F"/>
    <w:rsid w:val="00AE4D03"/>
    <w:rsid w:val="00AE6F16"/>
    <w:rsid w:val="00AE7B62"/>
    <w:rsid w:val="00AF19BB"/>
    <w:rsid w:val="00AF5D89"/>
    <w:rsid w:val="00AF7455"/>
    <w:rsid w:val="00B00E4C"/>
    <w:rsid w:val="00B014B6"/>
    <w:rsid w:val="00B0269C"/>
    <w:rsid w:val="00B03ADB"/>
    <w:rsid w:val="00B04E93"/>
    <w:rsid w:val="00B11BF7"/>
    <w:rsid w:val="00B142BE"/>
    <w:rsid w:val="00B14606"/>
    <w:rsid w:val="00B16225"/>
    <w:rsid w:val="00B170DE"/>
    <w:rsid w:val="00B20453"/>
    <w:rsid w:val="00B205D7"/>
    <w:rsid w:val="00B2457C"/>
    <w:rsid w:val="00B2461E"/>
    <w:rsid w:val="00B27A58"/>
    <w:rsid w:val="00B346E6"/>
    <w:rsid w:val="00B36358"/>
    <w:rsid w:val="00B37DF6"/>
    <w:rsid w:val="00B4401C"/>
    <w:rsid w:val="00B44179"/>
    <w:rsid w:val="00B44999"/>
    <w:rsid w:val="00B44F3D"/>
    <w:rsid w:val="00B51758"/>
    <w:rsid w:val="00B541F2"/>
    <w:rsid w:val="00B559D7"/>
    <w:rsid w:val="00B56EEF"/>
    <w:rsid w:val="00B6149D"/>
    <w:rsid w:val="00B66451"/>
    <w:rsid w:val="00B66F9F"/>
    <w:rsid w:val="00B671D2"/>
    <w:rsid w:val="00B72DBE"/>
    <w:rsid w:val="00B77E9E"/>
    <w:rsid w:val="00B82FA6"/>
    <w:rsid w:val="00B838C7"/>
    <w:rsid w:val="00B83D8C"/>
    <w:rsid w:val="00B843BF"/>
    <w:rsid w:val="00B84D43"/>
    <w:rsid w:val="00B856FE"/>
    <w:rsid w:val="00B86D19"/>
    <w:rsid w:val="00B87E9B"/>
    <w:rsid w:val="00B90004"/>
    <w:rsid w:val="00B94311"/>
    <w:rsid w:val="00BA1D25"/>
    <w:rsid w:val="00BA3CFB"/>
    <w:rsid w:val="00BA6008"/>
    <w:rsid w:val="00BC0B78"/>
    <w:rsid w:val="00BC1C93"/>
    <w:rsid w:val="00BC3449"/>
    <w:rsid w:val="00BE0B97"/>
    <w:rsid w:val="00BE1FC3"/>
    <w:rsid w:val="00BE29E0"/>
    <w:rsid w:val="00BE46C7"/>
    <w:rsid w:val="00BE5355"/>
    <w:rsid w:val="00BE5F3D"/>
    <w:rsid w:val="00BF09E8"/>
    <w:rsid w:val="00BF0F04"/>
    <w:rsid w:val="00BF1FFB"/>
    <w:rsid w:val="00BF279A"/>
    <w:rsid w:val="00BF2A8E"/>
    <w:rsid w:val="00BF3336"/>
    <w:rsid w:val="00BF35EB"/>
    <w:rsid w:val="00BF735B"/>
    <w:rsid w:val="00BF75B0"/>
    <w:rsid w:val="00C05AB9"/>
    <w:rsid w:val="00C05B78"/>
    <w:rsid w:val="00C06747"/>
    <w:rsid w:val="00C06E39"/>
    <w:rsid w:val="00C06E92"/>
    <w:rsid w:val="00C07771"/>
    <w:rsid w:val="00C118FD"/>
    <w:rsid w:val="00C142C2"/>
    <w:rsid w:val="00C17834"/>
    <w:rsid w:val="00C20374"/>
    <w:rsid w:val="00C258CC"/>
    <w:rsid w:val="00C31527"/>
    <w:rsid w:val="00C33481"/>
    <w:rsid w:val="00C356B7"/>
    <w:rsid w:val="00C36508"/>
    <w:rsid w:val="00C44F41"/>
    <w:rsid w:val="00C45F52"/>
    <w:rsid w:val="00C460D5"/>
    <w:rsid w:val="00C4657F"/>
    <w:rsid w:val="00C51E52"/>
    <w:rsid w:val="00C54182"/>
    <w:rsid w:val="00C549E3"/>
    <w:rsid w:val="00C578E3"/>
    <w:rsid w:val="00C57C8E"/>
    <w:rsid w:val="00C60351"/>
    <w:rsid w:val="00C63EE4"/>
    <w:rsid w:val="00C65E9E"/>
    <w:rsid w:val="00C71B66"/>
    <w:rsid w:val="00C71FB4"/>
    <w:rsid w:val="00C73314"/>
    <w:rsid w:val="00C743B9"/>
    <w:rsid w:val="00C74ABC"/>
    <w:rsid w:val="00C80970"/>
    <w:rsid w:val="00C80D0C"/>
    <w:rsid w:val="00C81A39"/>
    <w:rsid w:val="00C86981"/>
    <w:rsid w:val="00C87E1D"/>
    <w:rsid w:val="00C91B8B"/>
    <w:rsid w:val="00C91F31"/>
    <w:rsid w:val="00C9331F"/>
    <w:rsid w:val="00C937EF"/>
    <w:rsid w:val="00C94FDB"/>
    <w:rsid w:val="00C96EB0"/>
    <w:rsid w:val="00C97D97"/>
    <w:rsid w:val="00C97F02"/>
    <w:rsid w:val="00CA26BD"/>
    <w:rsid w:val="00CA56B3"/>
    <w:rsid w:val="00CB4D31"/>
    <w:rsid w:val="00CB663D"/>
    <w:rsid w:val="00CC6462"/>
    <w:rsid w:val="00CE38E6"/>
    <w:rsid w:val="00CE3B6A"/>
    <w:rsid w:val="00CE3E23"/>
    <w:rsid w:val="00CF0E39"/>
    <w:rsid w:val="00CF2B7A"/>
    <w:rsid w:val="00CF2ED1"/>
    <w:rsid w:val="00CF3A98"/>
    <w:rsid w:val="00CF70D6"/>
    <w:rsid w:val="00CF7AB0"/>
    <w:rsid w:val="00CF7ABF"/>
    <w:rsid w:val="00D034BE"/>
    <w:rsid w:val="00D03E83"/>
    <w:rsid w:val="00D04C34"/>
    <w:rsid w:val="00D104F1"/>
    <w:rsid w:val="00D10CD2"/>
    <w:rsid w:val="00D1111D"/>
    <w:rsid w:val="00D12C6E"/>
    <w:rsid w:val="00D13121"/>
    <w:rsid w:val="00D17458"/>
    <w:rsid w:val="00D2458A"/>
    <w:rsid w:val="00D26025"/>
    <w:rsid w:val="00D2683F"/>
    <w:rsid w:val="00D311D9"/>
    <w:rsid w:val="00D35786"/>
    <w:rsid w:val="00D40713"/>
    <w:rsid w:val="00D45F1F"/>
    <w:rsid w:val="00D4732B"/>
    <w:rsid w:val="00D524C5"/>
    <w:rsid w:val="00D548AD"/>
    <w:rsid w:val="00D551C2"/>
    <w:rsid w:val="00D5699D"/>
    <w:rsid w:val="00D61713"/>
    <w:rsid w:val="00D61EA7"/>
    <w:rsid w:val="00D63B47"/>
    <w:rsid w:val="00D64F00"/>
    <w:rsid w:val="00D655D2"/>
    <w:rsid w:val="00D719FF"/>
    <w:rsid w:val="00D74F03"/>
    <w:rsid w:val="00D75266"/>
    <w:rsid w:val="00D75C41"/>
    <w:rsid w:val="00D80005"/>
    <w:rsid w:val="00D80CBE"/>
    <w:rsid w:val="00D81B1B"/>
    <w:rsid w:val="00D81CE4"/>
    <w:rsid w:val="00D8441B"/>
    <w:rsid w:val="00D846AB"/>
    <w:rsid w:val="00D85377"/>
    <w:rsid w:val="00D86F89"/>
    <w:rsid w:val="00D950A5"/>
    <w:rsid w:val="00D9514E"/>
    <w:rsid w:val="00D9569C"/>
    <w:rsid w:val="00D977E0"/>
    <w:rsid w:val="00D97ACA"/>
    <w:rsid w:val="00DA0A08"/>
    <w:rsid w:val="00DA17BB"/>
    <w:rsid w:val="00DA2EE5"/>
    <w:rsid w:val="00DA4A03"/>
    <w:rsid w:val="00DA4FC2"/>
    <w:rsid w:val="00DA775F"/>
    <w:rsid w:val="00DB6BFD"/>
    <w:rsid w:val="00DC1EC7"/>
    <w:rsid w:val="00DC28D9"/>
    <w:rsid w:val="00DC68A7"/>
    <w:rsid w:val="00DC71C6"/>
    <w:rsid w:val="00DD34DF"/>
    <w:rsid w:val="00DD3FAB"/>
    <w:rsid w:val="00DD476A"/>
    <w:rsid w:val="00DD53EC"/>
    <w:rsid w:val="00DF0A52"/>
    <w:rsid w:val="00DF65A5"/>
    <w:rsid w:val="00DF6E54"/>
    <w:rsid w:val="00E00734"/>
    <w:rsid w:val="00E01C85"/>
    <w:rsid w:val="00E022E8"/>
    <w:rsid w:val="00E04BCC"/>
    <w:rsid w:val="00E05D12"/>
    <w:rsid w:val="00E06067"/>
    <w:rsid w:val="00E13A26"/>
    <w:rsid w:val="00E1489A"/>
    <w:rsid w:val="00E20779"/>
    <w:rsid w:val="00E22A6A"/>
    <w:rsid w:val="00E24A4E"/>
    <w:rsid w:val="00E25D83"/>
    <w:rsid w:val="00E26181"/>
    <w:rsid w:val="00E26B5F"/>
    <w:rsid w:val="00E27404"/>
    <w:rsid w:val="00E31866"/>
    <w:rsid w:val="00E31E2E"/>
    <w:rsid w:val="00E36F08"/>
    <w:rsid w:val="00E4305B"/>
    <w:rsid w:val="00E438DD"/>
    <w:rsid w:val="00E44DFC"/>
    <w:rsid w:val="00E47D54"/>
    <w:rsid w:val="00E5434E"/>
    <w:rsid w:val="00E54A19"/>
    <w:rsid w:val="00E54E19"/>
    <w:rsid w:val="00E61365"/>
    <w:rsid w:val="00E63C06"/>
    <w:rsid w:val="00E66831"/>
    <w:rsid w:val="00E71727"/>
    <w:rsid w:val="00E7254A"/>
    <w:rsid w:val="00E73490"/>
    <w:rsid w:val="00E737A5"/>
    <w:rsid w:val="00E757CF"/>
    <w:rsid w:val="00E817DA"/>
    <w:rsid w:val="00E81819"/>
    <w:rsid w:val="00E8344E"/>
    <w:rsid w:val="00E87CBC"/>
    <w:rsid w:val="00E90ED9"/>
    <w:rsid w:val="00E91366"/>
    <w:rsid w:val="00E91EBF"/>
    <w:rsid w:val="00E937BE"/>
    <w:rsid w:val="00E94C83"/>
    <w:rsid w:val="00E9566A"/>
    <w:rsid w:val="00E976AF"/>
    <w:rsid w:val="00EA38F0"/>
    <w:rsid w:val="00EA720B"/>
    <w:rsid w:val="00EB0A73"/>
    <w:rsid w:val="00EB122C"/>
    <w:rsid w:val="00EB375B"/>
    <w:rsid w:val="00EB3816"/>
    <w:rsid w:val="00EB4CC5"/>
    <w:rsid w:val="00EC0DA2"/>
    <w:rsid w:val="00EC2380"/>
    <w:rsid w:val="00EC3A4D"/>
    <w:rsid w:val="00EC5589"/>
    <w:rsid w:val="00EC7F62"/>
    <w:rsid w:val="00ED1FCF"/>
    <w:rsid w:val="00ED22E7"/>
    <w:rsid w:val="00ED4F28"/>
    <w:rsid w:val="00EE0DE8"/>
    <w:rsid w:val="00EE19F7"/>
    <w:rsid w:val="00EE1D8D"/>
    <w:rsid w:val="00EE3875"/>
    <w:rsid w:val="00EE3995"/>
    <w:rsid w:val="00EE4428"/>
    <w:rsid w:val="00EE4712"/>
    <w:rsid w:val="00EE492C"/>
    <w:rsid w:val="00EF0BDB"/>
    <w:rsid w:val="00EF6EAA"/>
    <w:rsid w:val="00F00B75"/>
    <w:rsid w:val="00F00FCF"/>
    <w:rsid w:val="00F07026"/>
    <w:rsid w:val="00F11B6C"/>
    <w:rsid w:val="00F136B7"/>
    <w:rsid w:val="00F15AB7"/>
    <w:rsid w:val="00F175EB"/>
    <w:rsid w:val="00F20CA3"/>
    <w:rsid w:val="00F21C0C"/>
    <w:rsid w:val="00F21DBF"/>
    <w:rsid w:val="00F25234"/>
    <w:rsid w:val="00F31560"/>
    <w:rsid w:val="00F377F2"/>
    <w:rsid w:val="00F419E3"/>
    <w:rsid w:val="00F425F8"/>
    <w:rsid w:val="00F43EB2"/>
    <w:rsid w:val="00F44741"/>
    <w:rsid w:val="00F5060B"/>
    <w:rsid w:val="00F513B8"/>
    <w:rsid w:val="00F5169A"/>
    <w:rsid w:val="00F52047"/>
    <w:rsid w:val="00F520B2"/>
    <w:rsid w:val="00F521E5"/>
    <w:rsid w:val="00F52C88"/>
    <w:rsid w:val="00F53D9B"/>
    <w:rsid w:val="00F548A4"/>
    <w:rsid w:val="00F611BC"/>
    <w:rsid w:val="00F61324"/>
    <w:rsid w:val="00F63480"/>
    <w:rsid w:val="00F6479C"/>
    <w:rsid w:val="00F67395"/>
    <w:rsid w:val="00F6765F"/>
    <w:rsid w:val="00F677A7"/>
    <w:rsid w:val="00F677E0"/>
    <w:rsid w:val="00F72353"/>
    <w:rsid w:val="00F762CF"/>
    <w:rsid w:val="00F816FD"/>
    <w:rsid w:val="00F81791"/>
    <w:rsid w:val="00F81CF1"/>
    <w:rsid w:val="00F82D05"/>
    <w:rsid w:val="00F83525"/>
    <w:rsid w:val="00F84B09"/>
    <w:rsid w:val="00F85AD3"/>
    <w:rsid w:val="00F94627"/>
    <w:rsid w:val="00F96116"/>
    <w:rsid w:val="00F96684"/>
    <w:rsid w:val="00F97A7D"/>
    <w:rsid w:val="00FA29DE"/>
    <w:rsid w:val="00FA52F1"/>
    <w:rsid w:val="00FA553E"/>
    <w:rsid w:val="00FB043E"/>
    <w:rsid w:val="00FB04F2"/>
    <w:rsid w:val="00FB1F80"/>
    <w:rsid w:val="00FB24CF"/>
    <w:rsid w:val="00FB59B0"/>
    <w:rsid w:val="00FB5E24"/>
    <w:rsid w:val="00FB65F3"/>
    <w:rsid w:val="00FC0190"/>
    <w:rsid w:val="00FC0A73"/>
    <w:rsid w:val="00FC4D80"/>
    <w:rsid w:val="00FC7C2E"/>
    <w:rsid w:val="00FD161B"/>
    <w:rsid w:val="00FD185C"/>
    <w:rsid w:val="00FD3413"/>
    <w:rsid w:val="00FD611D"/>
    <w:rsid w:val="00FD7DEA"/>
    <w:rsid w:val="00FE13F9"/>
    <w:rsid w:val="00FE1543"/>
    <w:rsid w:val="00FE1EF6"/>
    <w:rsid w:val="00FE47E0"/>
    <w:rsid w:val="00FE528C"/>
    <w:rsid w:val="00FE567F"/>
    <w:rsid w:val="00FE60DA"/>
    <w:rsid w:val="00FE6F8A"/>
    <w:rsid w:val="00FF1A4C"/>
    <w:rsid w:val="014A6FCF"/>
    <w:rsid w:val="01C46F65"/>
    <w:rsid w:val="0200476A"/>
    <w:rsid w:val="026E5190"/>
    <w:rsid w:val="049C5FF7"/>
    <w:rsid w:val="04F75ED3"/>
    <w:rsid w:val="053C6913"/>
    <w:rsid w:val="055C6148"/>
    <w:rsid w:val="06327FB7"/>
    <w:rsid w:val="07527489"/>
    <w:rsid w:val="08100F86"/>
    <w:rsid w:val="090A2900"/>
    <w:rsid w:val="09202095"/>
    <w:rsid w:val="0AE717BB"/>
    <w:rsid w:val="0B0D09BE"/>
    <w:rsid w:val="0BB90696"/>
    <w:rsid w:val="0CDB640C"/>
    <w:rsid w:val="0D245503"/>
    <w:rsid w:val="0D5D4E44"/>
    <w:rsid w:val="0E9712EE"/>
    <w:rsid w:val="0F8B5E09"/>
    <w:rsid w:val="10385338"/>
    <w:rsid w:val="10E723D1"/>
    <w:rsid w:val="123A3D84"/>
    <w:rsid w:val="13B6482D"/>
    <w:rsid w:val="14D6493E"/>
    <w:rsid w:val="15433C3E"/>
    <w:rsid w:val="1547693D"/>
    <w:rsid w:val="155239AF"/>
    <w:rsid w:val="15663DC2"/>
    <w:rsid w:val="157F446B"/>
    <w:rsid w:val="15F03B02"/>
    <w:rsid w:val="15F21DBC"/>
    <w:rsid w:val="169E4E90"/>
    <w:rsid w:val="16D0073B"/>
    <w:rsid w:val="17B9321F"/>
    <w:rsid w:val="18B542B9"/>
    <w:rsid w:val="18E50357"/>
    <w:rsid w:val="19264D0E"/>
    <w:rsid w:val="1958707C"/>
    <w:rsid w:val="1AD3000D"/>
    <w:rsid w:val="1B0B238E"/>
    <w:rsid w:val="1B0C4D44"/>
    <w:rsid w:val="1B772F20"/>
    <w:rsid w:val="1CC83C89"/>
    <w:rsid w:val="1D71458F"/>
    <w:rsid w:val="1D8D5AC6"/>
    <w:rsid w:val="1E732FC2"/>
    <w:rsid w:val="1EB43535"/>
    <w:rsid w:val="1FC72C28"/>
    <w:rsid w:val="2000597F"/>
    <w:rsid w:val="207D1428"/>
    <w:rsid w:val="20DD71B3"/>
    <w:rsid w:val="20F45F3F"/>
    <w:rsid w:val="234001C8"/>
    <w:rsid w:val="2599076F"/>
    <w:rsid w:val="27FE4176"/>
    <w:rsid w:val="2A5F7141"/>
    <w:rsid w:val="2AE86C77"/>
    <w:rsid w:val="2B201484"/>
    <w:rsid w:val="2BC35F84"/>
    <w:rsid w:val="2C2D35C1"/>
    <w:rsid w:val="2C3919C2"/>
    <w:rsid w:val="2C7D28B8"/>
    <w:rsid w:val="2C873412"/>
    <w:rsid w:val="2CE41360"/>
    <w:rsid w:val="2EC44092"/>
    <w:rsid w:val="2F531469"/>
    <w:rsid w:val="31372BD3"/>
    <w:rsid w:val="31804928"/>
    <w:rsid w:val="31C40171"/>
    <w:rsid w:val="31E95538"/>
    <w:rsid w:val="31F37212"/>
    <w:rsid w:val="340C17E5"/>
    <w:rsid w:val="340F7DAB"/>
    <w:rsid w:val="35234101"/>
    <w:rsid w:val="36F33078"/>
    <w:rsid w:val="3777557A"/>
    <w:rsid w:val="38011A71"/>
    <w:rsid w:val="381B1D0E"/>
    <w:rsid w:val="384031F9"/>
    <w:rsid w:val="38CB141C"/>
    <w:rsid w:val="3A1A6ED6"/>
    <w:rsid w:val="3A7616CB"/>
    <w:rsid w:val="3A843E92"/>
    <w:rsid w:val="3B175241"/>
    <w:rsid w:val="3B6C54E6"/>
    <w:rsid w:val="3C053F8E"/>
    <w:rsid w:val="3C322634"/>
    <w:rsid w:val="3DC36F91"/>
    <w:rsid w:val="3EE14E79"/>
    <w:rsid w:val="3F9D2DA6"/>
    <w:rsid w:val="40664E28"/>
    <w:rsid w:val="4194390E"/>
    <w:rsid w:val="420C6F0E"/>
    <w:rsid w:val="421946A2"/>
    <w:rsid w:val="42491034"/>
    <w:rsid w:val="424E6DB5"/>
    <w:rsid w:val="42AB0818"/>
    <w:rsid w:val="42D36A8D"/>
    <w:rsid w:val="42FF02A9"/>
    <w:rsid w:val="4380418F"/>
    <w:rsid w:val="4539033D"/>
    <w:rsid w:val="46AE787C"/>
    <w:rsid w:val="49047FAC"/>
    <w:rsid w:val="494C1403"/>
    <w:rsid w:val="49D06037"/>
    <w:rsid w:val="4A104541"/>
    <w:rsid w:val="4A245A9E"/>
    <w:rsid w:val="4A2E1600"/>
    <w:rsid w:val="4A7F7900"/>
    <w:rsid w:val="4ADE00D7"/>
    <w:rsid w:val="4B335E7F"/>
    <w:rsid w:val="4BFC110F"/>
    <w:rsid w:val="4D8B73BF"/>
    <w:rsid w:val="4D8F40C6"/>
    <w:rsid w:val="4DB71FE5"/>
    <w:rsid w:val="4E1A16D0"/>
    <w:rsid w:val="4EC94885"/>
    <w:rsid w:val="4F15473A"/>
    <w:rsid w:val="4F7C15BC"/>
    <w:rsid w:val="4F9E1342"/>
    <w:rsid w:val="4FF65399"/>
    <w:rsid w:val="5039589F"/>
    <w:rsid w:val="50925AF3"/>
    <w:rsid w:val="50EF610F"/>
    <w:rsid w:val="5151790E"/>
    <w:rsid w:val="524F1AF9"/>
    <w:rsid w:val="53680915"/>
    <w:rsid w:val="53EE27E0"/>
    <w:rsid w:val="55396670"/>
    <w:rsid w:val="55E51557"/>
    <w:rsid w:val="56057417"/>
    <w:rsid w:val="568A59C8"/>
    <w:rsid w:val="56AF3EEE"/>
    <w:rsid w:val="594220EC"/>
    <w:rsid w:val="5B0B5193"/>
    <w:rsid w:val="5B9D620C"/>
    <w:rsid w:val="5C4F284F"/>
    <w:rsid w:val="5CE549B2"/>
    <w:rsid w:val="5EA51F2C"/>
    <w:rsid w:val="5F155C7A"/>
    <w:rsid w:val="603C3541"/>
    <w:rsid w:val="606D7418"/>
    <w:rsid w:val="60A53E53"/>
    <w:rsid w:val="617B5ECC"/>
    <w:rsid w:val="61D136D9"/>
    <w:rsid w:val="61E7295F"/>
    <w:rsid w:val="62895B1F"/>
    <w:rsid w:val="62BC009B"/>
    <w:rsid w:val="638D1FC0"/>
    <w:rsid w:val="64BA2D0A"/>
    <w:rsid w:val="65C42D7F"/>
    <w:rsid w:val="65F2228B"/>
    <w:rsid w:val="67B4207B"/>
    <w:rsid w:val="67B53E90"/>
    <w:rsid w:val="683C1E7E"/>
    <w:rsid w:val="6888076C"/>
    <w:rsid w:val="69DD620D"/>
    <w:rsid w:val="69E55F62"/>
    <w:rsid w:val="6A1F38EC"/>
    <w:rsid w:val="6A2257C4"/>
    <w:rsid w:val="6A6F0C1A"/>
    <w:rsid w:val="6A882B29"/>
    <w:rsid w:val="6AB9168E"/>
    <w:rsid w:val="6B494948"/>
    <w:rsid w:val="6B98319D"/>
    <w:rsid w:val="6C0A45EE"/>
    <w:rsid w:val="6C275F70"/>
    <w:rsid w:val="6CCD2F6B"/>
    <w:rsid w:val="6D500103"/>
    <w:rsid w:val="6EE9045E"/>
    <w:rsid w:val="6EFE6876"/>
    <w:rsid w:val="705235A3"/>
    <w:rsid w:val="705E1357"/>
    <w:rsid w:val="709F66D5"/>
    <w:rsid w:val="710407AD"/>
    <w:rsid w:val="7281059B"/>
    <w:rsid w:val="72B90484"/>
    <w:rsid w:val="741D1376"/>
    <w:rsid w:val="74D22FE5"/>
    <w:rsid w:val="757E319D"/>
    <w:rsid w:val="75F34198"/>
    <w:rsid w:val="76577D86"/>
    <w:rsid w:val="76F65B61"/>
    <w:rsid w:val="78045DE6"/>
    <w:rsid w:val="7AFC2ED5"/>
    <w:rsid w:val="7B6B4B54"/>
    <w:rsid w:val="7C3B1950"/>
    <w:rsid w:val="7D4A1063"/>
    <w:rsid w:val="7D921000"/>
    <w:rsid w:val="7E85130A"/>
    <w:rsid w:val="7EAA5E8F"/>
    <w:rsid w:val="7ED366EA"/>
    <w:rsid w:val="7F111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仿宋" w:hAnsi="仿宋" w:eastAsia="仿宋" w:cs="仿宋"/>
      <w:kern w:val="2"/>
      <w:sz w:val="32"/>
      <w:szCs w:val="32"/>
      <w:lang w:val="en-US" w:eastAsia="zh-CN" w:bidi="ar-SA"/>
    </w:rPr>
  </w:style>
  <w:style w:type="paragraph" w:styleId="2">
    <w:name w:val="heading 3"/>
    <w:basedOn w:val="1"/>
    <w:next w:val="1"/>
    <w:link w:val="17"/>
    <w:qFormat/>
    <w:uiPriority w:val="9"/>
    <w:pPr>
      <w:widowControl/>
      <w:spacing w:line="240" w:lineRule="auto"/>
      <w:ind w:firstLine="0" w:firstLineChars="0"/>
      <w:jc w:val="left"/>
      <w:outlineLvl w:val="2"/>
    </w:pPr>
    <w:rPr>
      <w:rFonts w:ascii="宋体" w:hAnsi="宋体" w:eastAsia="宋体" w:cs="宋体"/>
      <w:kern w:val="0"/>
      <w:sz w:val="27"/>
      <w:szCs w:val="27"/>
    </w:rPr>
  </w:style>
  <w:style w:type="character" w:default="1" w:styleId="6">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6"/>
    <w:semiHidden/>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5"/>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line="240" w:lineRule="auto"/>
      <w:ind w:firstLine="0" w:firstLineChars="0"/>
      <w:jc w:val="left"/>
    </w:pPr>
    <w:rPr>
      <w:rFonts w:ascii="宋体" w:hAnsi="宋体" w:eastAsia="宋体" w:cs="宋体"/>
      <w:kern w:val="0"/>
      <w:sz w:val="24"/>
      <w:szCs w:val="24"/>
    </w:rPr>
  </w:style>
  <w:style w:type="character" w:styleId="7">
    <w:name w:val="FollowedHyperlink"/>
    <w:basedOn w:val="6"/>
    <w:semiHidden/>
    <w:unhideWhenUsed/>
    <w:qFormat/>
    <w:uiPriority w:val="99"/>
    <w:rPr>
      <w:color w:val="000000"/>
      <w:u w:val="none"/>
    </w:rPr>
  </w:style>
  <w:style w:type="character" w:styleId="8">
    <w:name w:val="Emphasis"/>
    <w:basedOn w:val="6"/>
    <w:qFormat/>
    <w:uiPriority w:val="0"/>
  </w:style>
  <w:style w:type="character" w:styleId="9">
    <w:name w:val="Hyperlink"/>
    <w:basedOn w:val="6"/>
    <w:semiHidden/>
    <w:unhideWhenUsed/>
    <w:qFormat/>
    <w:uiPriority w:val="99"/>
    <w:rPr>
      <w:color w:val="000000"/>
      <w:u w:val="none"/>
    </w:rPr>
  </w:style>
  <w:style w:type="paragraph" w:customStyle="1" w:styleId="11">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2">
    <w:name w:val="一级标题黑体"/>
    <w:basedOn w:val="1"/>
    <w:qFormat/>
    <w:uiPriority w:val="99"/>
    <w:pPr>
      <w:spacing w:line="590" w:lineRule="exact"/>
      <w:ind w:firstLine="643"/>
    </w:pPr>
    <w:rPr>
      <w:rFonts w:eastAsia="方正黑体_GBK"/>
      <w:b/>
      <w:bCs/>
    </w:rPr>
  </w:style>
  <w:style w:type="paragraph" w:customStyle="1" w:styleId="13">
    <w:name w:val="二级标题楷体"/>
    <w:basedOn w:val="1"/>
    <w:qFormat/>
    <w:uiPriority w:val="99"/>
    <w:pPr>
      <w:spacing w:line="590" w:lineRule="exact"/>
      <w:ind w:firstLine="643"/>
    </w:pPr>
    <w:rPr>
      <w:rFonts w:eastAsia="方正楷体_GBK"/>
      <w:b/>
      <w:bCs/>
    </w:rPr>
  </w:style>
  <w:style w:type="paragraph" w:customStyle="1" w:styleId="14">
    <w:name w:val="表标题"/>
    <w:basedOn w:val="1"/>
    <w:qFormat/>
    <w:uiPriority w:val="99"/>
    <w:pPr>
      <w:spacing w:afterLines="50" w:line="660" w:lineRule="exact"/>
      <w:jc w:val="center"/>
    </w:pPr>
    <w:rPr>
      <w:rFonts w:ascii="Times New Roman" w:hAnsi="Times New Roman" w:eastAsia="方正小标宋_GBK" w:cs="Times New Roman"/>
      <w:b/>
      <w:bCs/>
      <w:sz w:val="44"/>
      <w:szCs w:val="44"/>
    </w:rPr>
  </w:style>
  <w:style w:type="character" w:customStyle="1" w:styleId="15">
    <w:name w:val="页眉 Char"/>
    <w:basedOn w:val="6"/>
    <w:link w:val="4"/>
    <w:semiHidden/>
    <w:qFormat/>
    <w:uiPriority w:val="99"/>
    <w:rPr>
      <w:rFonts w:ascii="仿宋" w:hAnsi="仿宋" w:eastAsia="仿宋" w:cs="仿宋"/>
      <w:kern w:val="2"/>
      <w:sz w:val="18"/>
      <w:szCs w:val="18"/>
    </w:rPr>
  </w:style>
  <w:style w:type="character" w:customStyle="1" w:styleId="16">
    <w:name w:val="页脚 Char"/>
    <w:basedOn w:val="6"/>
    <w:link w:val="3"/>
    <w:semiHidden/>
    <w:qFormat/>
    <w:uiPriority w:val="99"/>
    <w:rPr>
      <w:rFonts w:ascii="仿宋" w:hAnsi="仿宋" w:eastAsia="仿宋" w:cs="仿宋"/>
      <w:kern w:val="2"/>
      <w:sz w:val="18"/>
      <w:szCs w:val="18"/>
    </w:rPr>
  </w:style>
  <w:style w:type="character" w:customStyle="1" w:styleId="17">
    <w:name w:val="标题 3 Char"/>
    <w:basedOn w:val="6"/>
    <w:link w:val="2"/>
    <w:qFormat/>
    <w:uiPriority w:val="9"/>
    <w:rPr>
      <w:rFonts w:ascii="宋体" w:hAnsi="宋体" w:cs="宋体"/>
      <w:sz w:val="27"/>
      <w:szCs w:val="27"/>
    </w:rPr>
  </w:style>
  <w:style w:type="character" w:customStyle="1" w:styleId="18">
    <w:name w:val="green"/>
    <w:basedOn w:val="6"/>
    <w:qFormat/>
    <w:uiPriority w:val="0"/>
    <w:rPr>
      <w:color w:val="66AE00"/>
      <w:sz w:val="18"/>
      <w:szCs w:val="18"/>
    </w:rPr>
  </w:style>
  <w:style w:type="character" w:customStyle="1" w:styleId="19">
    <w:name w:val="green1"/>
    <w:basedOn w:val="6"/>
    <w:qFormat/>
    <w:uiPriority w:val="0"/>
    <w:rPr>
      <w:color w:val="66AE00"/>
      <w:sz w:val="18"/>
      <w:szCs w:val="18"/>
    </w:rPr>
  </w:style>
  <w:style w:type="character" w:customStyle="1" w:styleId="20">
    <w:name w:val="red"/>
    <w:basedOn w:val="6"/>
    <w:qFormat/>
    <w:uiPriority w:val="0"/>
    <w:rPr>
      <w:color w:val="FF0000"/>
      <w:sz w:val="18"/>
      <w:szCs w:val="18"/>
    </w:rPr>
  </w:style>
  <w:style w:type="character" w:customStyle="1" w:styleId="21">
    <w:name w:val="red1"/>
    <w:basedOn w:val="6"/>
    <w:qFormat/>
    <w:uiPriority w:val="0"/>
    <w:rPr>
      <w:color w:val="FF0000"/>
      <w:sz w:val="18"/>
      <w:szCs w:val="18"/>
    </w:rPr>
  </w:style>
  <w:style w:type="character" w:customStyle="1" w:styleId="22">
    <w:name w:val="red2"/>
    <w:basedOn w:val="6"/>
    <w:qFormat/>
    <w:uiPriority w:val="0"/>
    <w:rPr>
      <w:color w:val="FF0000"/>
    </w:rPr>
  </w:style>
  <w:style w:type="character" w:customStyle="1" w:styleId="23">
    <w:name w:val="hover24"/>
    <w:basedOn w:val="6"/>
    <w:qFormat/>
    <w:uiPriority w:val="0"/>
  </w:style>
  <w:style w:type="character" w:customStyle="1" w:styleId="24">
    <w:name w:val="gb-jt"/>
    <w:basedOn w:val="6"/>
    <w:qFormat/>
    <w:uiPriority w:val="0"/>
  </w:style>
  <w:style w:type="character" w:customStyle="1" w:styleId="25">
    <w:name w:val="blue"/>
    <w:basedOn w:val="6"/>
    <w:qFormat/>
    <w:uiPriority w:val="0"/>
    <w:rPr>
      <w:color w:val="0371C6"/>
      <w:sz w:val="21"/>
      <w:szCs w:val="21"/>
    </w:rPr>
  </w:style>
  <w:style w:type="character" w:customStyle="1" w:styleId="26">
    <w:name w:val="right"/>
    <w:basedOn w:val="6"/>
    <w:qFormat/>
    <w:uiPriority w:val="0"/>
    <w:rPr>
      <w:color w:val="999999"/>
      <w:sz w:val="18"/>
      <w:szCs w:val="18"/>
    </w:rPr>
  </w:style>
  <w:style w:type="character" w:customStyle="1" w:styleId="27">
    <w:name w:val="hover25"/>
    <w:basedOn w:val="6"/>
    <w:qFormat/>
    <w:uiPriority w:val="0"/>
  </w:style>
  <w:style w:type="paragraph" w:styleId="28">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44F6CA-F69D-4855-A050-D6E0949D5533}">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806</Words>
  <Characters>4598</Characters>
  <Lines>38</Lines>
  <Paragraphs>10</Paragraphs>
  <ScaleCrop>false</ScaleCrop>
  <LinksUpToDate>false</LinksUpToDate>
  <CharactersWithSpaces>5394</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2018-05-04T02:53:00Z</dcterms:created>
  <dc:creator>lenovo</dc:creator>
  <cp:lastModifiedBy>许昌市公共资源交易中心:杨丹丹</cp:lastModifiedBy>
  <cp:lastPrinted>2018-05-04T03:34:00Z</cp:lastPrinted>
  <dcterms:modified xsi:type="dcterms:W3CDTF">2018-05-04T07:23:51Z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