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禹州市颍河景观带18座景观平台勘察项目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092" w:firstLineChars="700"/>
        <w:jc w:val="both"/>
        <w:textAlignment w:val="auto"/>
        <w:outlineLvl w:val="9"/>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澄</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清</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内</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092" w:firstLineChars="700"/>
        <w:jc w:val="both"/>
        <w:textAlignment w:val="auto"/>
        <w:outlineLvl w:val="9"/>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1、采购人：禹州</w:t>
      </w:r>
      <w:r>
        <w:rPr>
          <w:rFonts w:hint="eastAsia" w:ascii="仿宋" w:hAnsi="仿宋" w:eastAsia="仿宋" w:cs="仿宋"/>
          <w:sz w:val="32"/>
          <w:szCs w:val="32"/>
          <w:lang w:eastAsia="zh-CN"/>
        </w:rPr>
        <w:t>市住房和城乡规划建设局</w:t>
      </w: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2、项目名称：禹州市颍河景观带18座景观平台勘察项目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3、采购编号：YZCG-G201</w:t>
      </w:r>
      <w:r>
        <w:rPr>
          <w:rFonts w:hint="eastAsia" w:ascii="仿宋" w:hAnsi="仿宋" w:eastAsia="仿宋" w:cs="仿宋"/>
          <w:sz w:val="32"/>
          <w:szCs w:val="32"/>
          <w:lang w:val="en-US" w:eastAsia="zh-CN"/>
        </w:rPr>
        <w:t>8070</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eastAsia="zh-CN"/>
        </w:rPr>
        <w:t>澄清内容：招标文件第五部分开标和评标中的评分办法以下表为准：</w:t>
      </w:r>
    </w:p>
    <w:tbl>
      <w:tblPr>
        <w:tblStyle w:val="6"/>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36"/>
        <w:gridCol w:w="1617"/>
        <w:gridCol w:w="2144"/>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1" w:type="dxa"/>
            <w:vAlign w:val="center"/>
          </w:tcPr>
          <w:p>
            <w:pPr>
              <w:pStyle w:val="7"/>
              <w:spacing w:line="360" w:lineRule="auto"/>
              <w:rPr>
                <w:rFonts w:hint="eastAsia" w:ascii="仿宋" w:hAnsi="仿宋" w:eastAsia="仿宋" w:cs="仿宋"/>
                <w:sz w:val="24"/>
                <w:szCs w:val="24"/>
              </w:rPr>
            </w:pPr>
            <w:bookmarkStart w:id="0" w:name="OLE_LINK19"/>
            <w:r>
              <w:rPr>
                <w:rFonts w:hint="eastAsia" w:ascii="仿宋" w:hAnsi="仿宋" w:eastAsia="仿宋" w:cs="仿宋"/>
                <w:sz w:val="24"/>
                <w:szCs w:val="24"/>
              </w:rPr>
              <w:t>序号</w:t>
            </w:r>
          </w:p>
        </w:tc>
        <w:tc>
          <w:tcPr>
            <w:tcW w:w="1136" w:type="dxa"/>
            <w:vAlign w:val="center"/>
          </w:tcPr>
          <w:p>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1617" w:type="dxa"/>
            <w:vAlign w:val="center"/>
          </w:tcPr>
          <w:p>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分值（100分）</w:t>
            </w:r>
          </w:p>
        </w:tc>
        <w:tc>
          <w:tcPr>
            <w:tcW w:w="6045" w:type="dxa"/>
            <w:gridSpan w:val="2"/>
            <w:vAlign w:val="center"/>
          </w:tcPr>
          <w:p>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701" w:type="dxa"/>
            <w:vAlign w:val="center"/>
          </w:tcPr>
          <w:p>
            <w:pPr>
              <w:pStyle w:val="7"/>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36" w:type="dxa"/>
            <w:vAlign w:val="center"/>
          </w:tcPr>
          <w:p>
            <w:pPr>
              <w:pStyle w:val="7"/>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pStyle w:val="7"/>
              <w:spacing w:line="360" w:lineRule="auto"/>
              <w:rPr>
                <w:rFonts w:hint="eastAsia" w:ascii="仿宋" w:hAnsi="仿宋" w:eastAsia="仿宋" w:cs="仿宋"/>
                <w:sz w:val="24"/>
                <w:szCs w:val="24"/>
              </w:rPr>
            </w:pPr>
            <w:r>
              <w:rPr>
                <w:rFonts w:hint="eastAsia" w:ascii="仿宋" w:hAnsi="仿宋" w:eastAsia="仿宋" w:cs="仿宋"/>
                <w:sz w:val="24"/>
                <w:szCs w:val="24"/>
              </w:rPr>
              <w:t>投标</w:t>
            </w:r>
          </w:p>
          <w:p>
            <w:pPr>
              <w:pStyle w:val="7"/>
              <w:spacing w:line="360" w:lineRule="auto"/>
              <w:rPr>
                <w:rFonts w:hint="eastAsia" w:ascii="仿宋" w:hAnsi="仿宋" w:eastAsia="仿宋" w:cs="仿宋"/>
                <w:sz w:val="24"/>
                <w:szCs w:val="24"/>
              </w:rPr>
            </w:pPr>
            <w:r>
              <w:rPr>
                <w:rFonts w:hint="eastAsia" w:ascii="仿宋" w:hAnsi="仿宋" w:eastAsia="仿宋" w:cs="仿宋"/>
                <w:sz w:val="24"/>
                <w:szCs w:val="24"/>
              </w:rPr>
              <w:t>报价</w:t>
            </w:r>
          </w:p>
        </w:tc>
        <w:tc>
          <w:tcPr>
            <w:tcW w:w="1617" w:type="dxa"/>
            <w:vAlign w:val="center"/>
          </w:tcPr>
          <w:p>
            <w:pPr>
              <w:pStyle w:val="7"/>
              <w:spacing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30分</w:t>
            </w:r>
          </w:p>
        </w:tc>
        <w:tc>
          <w:tcPr>
            <w:tcW w:w="6045" w:type="dxa"/>
            <w:gridSpan w:val="2"/>
            <w:vAlign w:val="center"/>
          </w:tcPr>
          <w:p>
            <w:pPr>
              <w:pStyle w:val="7"/>
              <w:spacing w:line="24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评标基准价指满足招标文件要求且投标价格最低的投标报价为评标基准价。</w:t>
            </w:r>
          </w:p>
          <w:p>
            <w:pPr>
              <w:spacing w:line="360" w:lineRule="auto"/>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价格得分=（评标基准价/投标报价）×30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trPr>
        <w:tc>
          <w:tcPr>
            <w:tcW w:w="701" w:type="dxa"/>
            <w:vAlign w:val="center"/>
          </w:tcPr>
          <w:p>
            <w:pPr>
              <w:pStyle w:val="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36" w:type="dxa"/>
            <w:vAlign w:val="center"/>
          </w:tcPr>
          <w:p>
            <w:pPr>
              <w:pStyle w:val="7"/>
              <w:spacing w:line="360" w:lineRule="auto"/>
              <w:jc w:val="center"/>
              <w:rPr>
                <w:rFonts w:hint="eastAsia" w:ascii="仿宋" w:hAnsi="仿宋" w:eastAsia="仿宋" w:cs="仿宋"/>
                <w:sz w:val="24"/>
                <w:szCs w:val="24"/>
              </w:rPr>
            </w:pPr>
            <w:r>
              <w:rPr>
                <w:rFonts w:hint="eastAsia" w:ascii="仿宋" w:hAnsi="仿宋" w:eastAsia="仿宋" w:cs="仿宋"/>
                <w:bCs/>
                <w:sz w:val="24"/>
                <w:szCs w:val="24"/>
              </w:rPr>
              <w:t>企业综合实力</w:t>
            </w:r>
          </w:p>
        </w:tc>
        <w:tc>
          <w:tcPr>
            <w:tcW w:w="16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sz w:val="24"/>
                <w:szCs w:val="24"/>
              </w:rPr>
              <w:t>（0～30分）</w:t>
            </w:r>
          </w:p>
        </w:tc>
        <w:tc>
          <w:tcPr>
            <w:tcW w:w="6045" w:type="dxa"/>
            <w:gridSpan w:val="2"/>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（1）2014年1月1日以来，企业具有类似项目勘察经历者，每份合同得5分，最高得20分。企业没有同类项目勘察经历者，不得分。（以合同或中标通知书原件为准）</w:t>
            </w:r>
          </w:p>
          <w:p>
            <w:pPr>
              <w:spacing w:line="360" w:lineRule="auto"/>
              <w:rPr>
                <w:rFonts w:hint="eastAsia" w:ascii="仿宋" w:hAnsi="仿宋" w:eastAsia="仿宋" w:cs="仿宋"/>
                <w:spacing w:val="1"/>
                <w:sz w:val="24"/>
                <w:szCs w:val="24"/>
                <w:lang w:val="en-US"/>
              </w:rPr>
            </w:pPr>
            <w:r>
              <w:rPr>
                <w:rFonts w:hint="eastAsia" w:ascii="仿宋" w:hAnsi="仿宋" w:eastAsia="仿宋" w:cs="仿宋"/>
                <w:b w:val="0"/>
                <w:bCs w:val="0"/>
                <w:kern w:val="2"/>
                <w:sz w:val="24"/>
                <w:szCs w:val="24"/>
                <w:lang w:val="en-US" w:eastAsia="zh-CN" w:bidi="ar-SA"/>
              </w:rPr>
              <w:t>（2）2014年1月1日以来投标人获得勘察类奖项者，国家级的每项得3分，省级的每项得2分，市级的每项得1分，本项最多得8分；（3）企业需提供工商企业信用信息公示报告（国家企业信用信息公示系统http:/www.gsxt.gov.cn）、企业所在地税务主管部门出具的纳税情况证明等信用情况，无不良信息者，每项得1分，最高2分，未提供或有不良信息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701" w:type="dxa"/>
            <w:vAlign w:val="center"/>
          </w:tcPr>
          <w:p>
            <w:pPr>
              <w:pStyle w:val="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36"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服务承诺</w:t>
            </w:r>
          </w:p>
        </w:tc>
        <w:tc>
          <w:tcPr>
            <w:tcW w:w="1617"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（0～10分）</w:t>
            </w:r>
          </w:p>
        </w:tc>
        <w:tc>
          <w:tcPr>
            <w:tcW w:w="6045" w:type="dxa"/>
            <w:gridSpan w:val="2"/>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（1）投标人诚信承诺：保证拟派的项目负责人及项目部成员均为本公司人员；保证此次投标活动不存在挂靠和被挂靠现象；凡有此项承诺者得2分，无此项承诺的不得分。</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（2）保证不中途更换项目负责人和项目部成员；凡有此项承诺者得2分，无此项承诺的此项不得分。</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（3）投标人承诺能够在招标文件规定的勘察周期内完成本工程的勘察任务，凡有此项承诺者得2分，无此项承诺的此项不得分。</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（4）除（1）—（3）项服务承诺外，投标人针对招标项目的特点和要求，结合自身条件和潜力为招标人排忧解难，有优惠承诺者由评委进行综合评分，在1—4分范围内进行打分；没有优惠承诺不得分。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01" w:type="dxa"/>
            <w:vMerge w:val="restart"/>
            <w:vAlign w:val="center"/>
          </w:tcPr>
          <w:p>
            <w:pPr>
              <w:pStyle w:val="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36" w:type="dxa"/>
            <w:vMerge w:val="restart"/>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勘察</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方案</w:t>
            </w:r>
          </w:p>
        </w:tc>
        <w:tc>
          <w:tcPr>
            <w:tcW w:w="1617" w:type="dxa"/>
            <w:vMerge w:val="restart"/>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（0-30）</w:t>
            </w:r>
          </w:p>
        </w:tc>
        <w:tc>
          <w:tcPr>
            <w:tcW w:w="2144"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工程勘察方案</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（8分）</w:t>
            </w:r>
          </w:p>
        </w:tc>
        <w:tc>
          <w:tcPr>
            <w:tcW w:w="3901"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有总体勘察方案的设计和勘察技术手段、钻孔的数量和位置、孔类分配、钻孔的深度和采集岩心的组数、岩心的采集率、采集后的岩心的保存措施、勘察成果的分析、工程地质评价的采用方法的得6分，全面切实可行的加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1" w:type="dxa"/>
            <w:vMerge w:val="continue"/>
            <w:vAlign w:val="center"/>
          </w:tcPr>
          <w:p>
            <w:pPr>
              <w:pStyle w:val="7"/>
              <w:spacing w:line="360" w:lineRule="auto"/>
              <w:jc w:val="center"/>
              <w:rPr>
                <w:rFonts w:hint="eastAsia" w:ascii="仿宋" w:hAnsi="仿宋" w:eastAsia="仿宋" w:cs="仿宋"/>
                <w:sz w:val="24"/>
                <w:szCs w:val="24"/>
              </w:rPr>
            </w:pPr>
          </w:p>
        </w:tc>
        <w:tc>
          <w:tcPr>
            <w:tcW w:w="1136"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1617"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2144"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进度保证措施（4分）</w:t>
            </w:r>
          </w:p>
        </w:tc>
        <w:tc>
          <w:tcPr>
            <w:tcW w:w="3901"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有保证勘察进度的措施的得2分，科学可行性的加2分；没有不得分。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01" w:type="dxa"/>
            <w:vMerge w:val="continue"/>
            <w:vAlign w:val="center"/>
          </w:tcPr>
          <w:p>
            <w:pPr>
              <w:pStyle w:val="7"/>
              <w:spacing w:line="360" w:lineRule="auto"/>
              <w:jc w:val="center"/>
              <w:rPr>
                <w:rFonts w:hint="eastAsia" w:ascii="仿宋" w:hAnsi="仿宋" w:eastAsia="仿宋" w:cs="仿宋"/>
                <w:sz w:val="24"/>
                <w:szCs w:val="24"/>
              </w:rPr>
            </w:pPr>
          </w:p>
        </w:tc>
        <w:tc>
          <w:tcPr>
            <w:tcW w:w="1136"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1617"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2144"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与招标人和设计单位的配合措施</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（3分）</w:t>
            </w:r>
          </w:p>
        </w:tc>
        <w:tc>
          <w:tcPr>
            <w:tcW w:w="3901"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有招标人和设计单位配合措施的得2分，切实可行的加1分；没有不得分。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1" w:type="dxa"/>
            <w:vMerge w:val="continue"/>
            <w:vAlign w:val="center"/>
          </w:tcPr>
          <w:p>
            <w:pPr>
              <w:pStyle w:val="7"/>
              <w:spacing w:line="360" w:lineRule="auto"/>
              <w:jc w:val="center"/>
              <w:rPr>
                <w:rFonts w:hint="eastAsia" w:ascii="仿宋" w:hAnsi="仿宋" w:eastAsia="仿宋" w:cs="仿宋"/>
                <w:sz w:val="24"/>
                <w:szCs w:val="24"/>
              </w:rPr>
            </w:pPr>
          </w:p>
        </w:tc>
        <w:tc>
          <w:tcPr>
            <w:tcW w:w="1136"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1617"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2144"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质量保证措施 </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（7分）</w:t>
            </w:r>
          </w:p>
        </w:tc>
        <w:tc>
          <w:tcPr>
            <w:tcW w:w="3901"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有保证勘察质量措施的得5分，科学可行的加2分；没有不得分。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701" w:type="dxa"/>
            <w:vMerge w:val="continue"/>
            <w:vAlign w:val="center"/>
          </w:tcPr>
          <w:p>
            <w:pPr>
              <w:pStyle w:val="7"/>
              <w:spacing w:line="360" w:lineRule="auto"/>
              <w:jc w:val="center"/>
              <w:rPr>
                <w:rFonts w:hint="eastAsia" w:ascii="仿宋" w:hAnsi="仿宋" w:eastAsia="仿宋" w:cs="仿宋"/>
                <w:sz w:val="24"/>
                <w:szCs w:val="24"/>
              </w:rPr>
            </w:pPr>
          </w:p>
        </w:tc>
        <w:tc>
          <w:tcPr>
            <w:tcW w:w="1136"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1617"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2144"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安全、文明保证措施（5分）</w:t>
            </w:r>
          </w:p>
        </w:tc>
        <w:tc>
          <w:tcPr>
            <w:tcW w:w="3901"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有保证安全、文明保证措施的得3分，科学可行的加2分；没有不得分。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01" w:type="dxa"/>
            <w:vMerge w:val="continue"/>
            <w:vAlign w:val="center"/>
          </w:tcPr>
          <w:p>
            <w:pPr>
              <w:pStyle w:val="7"/>
              <w:spacing w:line="360" w:lineRule="auto"/>
              <w:jc w:val="center"/>
              <w:rPr>
                <w:rFonts w:hint="eastAsia" w:ascii="仿宋" w:hAnsi="仿宋" w:eastAsia="仿宋" w:cs="仿宋"/>
                <w:sz w:val="24"/>
                <w:szCs w:val="24"/>
              </w:rPr>
            </w:pPr>
          </w:p>
        </w:tc>
        <w:tc>
          <w:tcPr>
            <w:tcW w:w="1136"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1617" w:type="dxa"/>
            <w:vMerge w:val="continue"/>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p>
        </w:tc>
        <w:tc>
          <w:tcPr>
            <w:tcW w:w="2144"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合理化建议</w:t>
            </w:r>
          </w:p>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（3分）</w:t>
            </w:r>
          </w:p>
        </w:tc>
        <w:tc>
          <w:tcPr>
            <w:tcW w:w="3901" w:type="dxa"/>
            <w:vAlign w:val="center"/>
          </w:tcPr>
          <w:p>
            <w:pPr>
              <w:tabs>
                <w:tab w:val="left" w:pos="6660"/>
              </w:tabs>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有合理化建议的得2分，切实可行的加1分；没有不得分。</w:t>
            </w:r>
          </w:p>
        </w:tc>
      </w:tr>
      <w:bookmarkEnd w:id="0"/>
    </w:tbl>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5、其它内容不变。</w:t>
      </w:r>
    </w:p>
    <w:p>
      <w:pPr>
        <w:keepNext w:val="0"/>
        <w:keepLines w:val="0"/>
        <w:pageBreakBefore w:val="0"/>
        <w:widowControl w:val="0"/>
        <w:kinsoku/>
        <w:wordWrap/>
        <w:overflowPunct/>
        <w:topLinePunct w:val="0"/>
        <w:autoSpaceDE/>
        <w:autoSpaceDN/>
        <w:bidi w:val="0"/>
        <w:adjustRightInd/>
        <w:snapToGrid/>
        <w:spacing w:line="520" w:lineRule="exact"/>
        <w:ind w:left="319" w:leftChars="152" w:right="0" w:rightChars="0" w:firstLine="240" w:firstLineChars="1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760" w:firstLineChars="1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80" w:firstLineChars="19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sectPr>
      <w:pgSz w:w="11906" w:h="16838"/>
      <w:pgMar w:top="144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A327E"/>
    <w:rsid w:val="00C42DFC"/>
    <w:rsid w:val="0EB82846"/>
    <w:rsid w:val="10172793"/>
    <w:rsid w:val="173973A7"/>
    <w:rsid w:val="1B012474"/>
    <w:rsid w:val="1D4017BB"/>
    <w:rsid w:val="1FA11232"/>
    <w:rsid w:val="286C1EF6"/>
    <w:rsid w:val="2D8B7D46"/>
    <w:rsid w:val="35D26FF3"/>
    <w:rsid w:val="3A2A3A89"/>
    <w:rsid w:val="4B33066F"/>
    <w:rsid w:val="502A327E"/>
    <w:rsid w:val="5CD05A8A"/>
    <w:rsid w:val="5E9103B8"/>
    <w:rsid w:val="61D57D8D"/>
    <w:rsid w:val="68EF5EF6"/>
    <w:rsid w:val="710228D4"/>
    <w:rsid w:val="72CA5EEF"/>
    <w:rsid w:val="7C46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qFormat/>
    <w:uiPriority w:val="0"/>
    <w:rPr>
      <w:rFonts w:ascii="仿宋_GB2312" w:hAnsi="Times New Roman" w:eastAsia="仿宋_GB2312" w:cs="Times New Roman"/>
      <w:kern w:val="0"/>
      <w:sz w:val="24"/>
      <w:szCs w:val="20"/>
    </w:rPr>
  </w:style>
  <w:style w:type="paragraph" w:customStyle="1" w:styleId="7">
    <w:name w:val="样式 标题 3 + (中文) 黑体 小四 非加粗 段前: 7.8 磅 段后: 0 磅 行距: 固定值 20 磅"/>
    <w:basedOn w:val="4"/>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2017-12-06T08:40:00Z</dcterms:created>
  <dc:creator>Administrator</dc:creator>
  <cp:lastModifiedBy>樱花草</cp:lastModifiedBy>
  <cp:lastPrinted>2018-05-25T01:46:00Z</cp:lastPrinted>
  <dcterms:modified xsi:type="dcterms:W3CDTF">2018-05-30T00:18:37Z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