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ascii="黑体" w:hAnsi="黑体" w:eastAsia="黑体"/>
          <w:b/>
          <w:bCs/>
          <w:spacing w:val="-20"/>
          <w:sz w:val="44"/>
          <w:szCs w:val="44"/>
          <w:lang w:val="en-US"/>
        </w:rPr>
      </w:pPr>
      <w:r>
        <w:rPr>
          <w:rFonts w:hint="eastAsia" w:ascii="仿宋" w:hAnsi="仿宋" w:eastAsia="仿宋" w:cs="仿宋"/>
          <w:b/>
          <w:bCs/>
          <w:sz w:val="44"/>
          <w:szCs w:val="44"/>
          <w:lang w:eastAsia="zh-CN"/>
        </w:rPr>
        <w:t>禹州市看守所视频监控系统升级改造项目</w:t>
      </w:r>
      <w:r>
        <w:rPr>
          <w:rFonts w:hint="eastAsia" w:ascii="仿宋" w:hAnsi="仿宋" w:eastAsia="仿宋" w:cs="仿宋"/>
          <w:b/>
          <w:bCs/>
          <w:sz w:val="44"/>
          <w:szCs w:val="44"/>
          <w:lang w:val="en-US" w:eastAsia="zh-CN"/>
        </w:rPr>
        <w:t>(二次)</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ascii="仿宋" w:hAnsi="仿宋" w:eastAsia="仿宋"/>
          <w:sz w:val="32"/>
          <w:lang w:val="en-US"/>
        </w:rPr>
      </w:pPr>
      <w:r>
        <w:rPr>
          <w:rFonts w:hint="eastAsia" w:ascii="仿宋" w:hAnsi="仿宋" w:eastAsia="仿宋"/>
          <w:sz w:val="32"/>
        </w:rPr>
        <w:t>采购单位：</w:t>
      </w:r>
      <w:r>
        <w:rPr>
          <w:rFonts w:hint="eastAsia" w:ascii="仿宋" w:hAnsi="仿宋" w:eastAsia="仿宋" w:cs="仿宋"/>
          <w:sz w:val="32"/>
          <w:szCs w:val="32"/>
        </w:rPr>
        <w:t>禹州</w:t>
      </w:r>
      <w:r>
        <w:rPr>
          <w:rFonts w:hint="eastAsia" w:ascii="仿宋" w:hAnsi="仿宋" w:eastAsia="仿宋" w:cs="仿宋"/>
          <w:sz w:val="32"/>
          <w:szCs w:val="32"/>
          <w:lang w:eastAsia="zh-CN"/>
        </w:rPr>
        <w:t>公安局</w:t>
      </w:r>
    </w:p>
    <w:p>
      <w:pPr>
        <w:autoSpaceDE w:val="0"/>
        <w:autoSpaceDN w:val="0"/>
        <w:spacing w:line="360" w:lineRule="auto"/>
        <w:ind w:left="319" w:leftChars="152" w:right="-20" w:firstLine="0" w:firstLineChars="0"/>
        <w:outlineLvl w:val="0"/>
        <w:rPr>
          <w:rFonts w:hint="eastAsia" w:ascii="仿宋" w:hAnsi="仿宋" w:eastAsia="仿宋"/>
          <w:sz w:val="32"/>
          <w:lang w:eastAsia="zh-CN"/>
        </w:rPr>
      </w:pPr>
      <w:r>
        <w:rPr>
          <w:rFonts w:hint="eastAsia" w:ascii="仿宋" w:hAnsi="仿宋" w:eastAsia="仿宋"/>
          <w:sz w:val="32"/>
        </w:rPr>
        <w:t>项目名称：禹州市看守所视频监控系统升级改造项目</w:t>
      </w:r>
      <w:r>
        <w:rPr>
          <w:rFonts w:hint="eastAsia" w:ascii="仿宋" w:hAnsi="仿宋" w:eastAsia="仿宋"/>
          <w:sz w:val="32"/>
          <w:lang w:eastAsia="zh-CN"/>
        </w:rPr>
        <w:t>（二次）</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lang w:eastAsia="zh-CN"/>
        </w:rPr>
        <w:t>采购编号：</w:t>
      </w:r>
      <w:r>
        <w:rPr>
          <w:rFonts w:hint="eastAsia" w:ascii="仿宋" w:hAnsi="仿宋" w:eastAsia="仿宋"/>
          <w:sz w:val="32"/>
        </w:rPr>
        <w:t>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8066-1</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五</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ind w:firstLine="723" w:firstLineChars="200"/>
        <w:jc w:val="both"/>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禹州市看守所视频监控系统升级改造项目（二次）</w:t>
      </w:r>
    </w:p>
    <w:p>
      <w:pPr>
        <w:ind w:firstLine="3975" w:firstLineChars="1100"/>
        <w:jc w:val="both"/>
        <w:rPr>
          <w:rFonts w:hint="eastAsia" w:ascii="仿宋" w:hAnsi="仿宋" w:eastAsia="仿宋" w:cs="仿宋"/>
          <w:sz w:val="36"/>
          <w:szCs w:val="36"/>
        </w:rPr>
      </w:pP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w:t>
      </w:r>
      <w:r>
        <w:rPr>
          <w:rFonts w:hint="eastAsia" w:ascii="仿宋" w:hAnsi="仿宋" w:eastAsia="仿宋" w:cs="仿宋"/>
          <w:sz w:val="24"/>
          <w:szCs w:val="24"/>
          <w:lang w:eastAsia="zh-CN"/>
        </w:rPr>
        <w:t>公安局</w:t>
      </w:r>
      <w:r>
        <w:rPr>
          <w:rFonts w:hint="eastAsia" w:ascii="仿宋" w:hAnsi="仿宋" w:eastAsia="仿宋" w:cs="仿宋"/>
          <w:sz w:val="24"/>
          <w:szCs w:val="24"/>
        </w:rPr>
        <w:t>的委托，就“禹州市看守所视频监控系统升级改造项目”进行公开招标，欢迎合格的投标人前来投标。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1、采购人：禹州市</w:t>
      </w:r>
      <w:r>
        <w:rPr>
          <w:rFonts w:hint="eastAsia" w:ascii="仿宋" w:hAnsi="仿宋" w:eastAsia="仿宋" w:cs="仿宋"/>
          <w:sz w:val="24"/>
          <w:szCs w:val="24"/>
          <w:lang w:eastAsia="zh-CN"/>
        </w:rPr>
        <w:t>公安局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2、项目名称：禹州市看守所视频监控系统升级改造项目</w:t>
      </w:r>
      <w:r>
        <w:rPr>
          <w:rFonts w:hint="eastAsia" w:ascii="仿宋" w:hAnsi="仿宋" w:eastAsia="仿宋" w:cs="仿宋"/>
          <w:sz w:val="24"/>
          <w:szCs w:val="24"/>
          <w:lang w:eastAsia="zh-CN"/>
        </w:rPr>
        <w:t>（二次）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8066-1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4、项目需求：看守所视频监控系统升级改造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5、采购预算：126万元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、最高限价：</w:t>
      </w:r>
      <w:r>
        <w:rPr>
          <w:rFonts w:hint="eastAsia" w:ascii="仿宋" w:hAnsi="仿宋" w:eastAsia="仿宋" w:cs="仿宋"/>
          <w:sz w:val="24"/>
          <w:szCs w:val="24"/>
          <w:lang w:val="en-US" w:eastAsia="zh-CN"/>
        </w:rPr>
        <w:t>116.187872</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1、符合《政府采购法》第二十二条之规定，具有独立法人资格且具有相应的经营范围（以营业执照为准）；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2、网上下载招标文件时间：自招标文件在网上发出之日起至提交投标文件前一个小时均可进行投标报名、下载招标文件。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20</w:t>
      </w:r>
      <w:r>
        <w:rPr>
          <w:rFonts w:hint="eastAsia" w:ascii="仿宋" w:hAnsi="仿宋" w:eastAsia="仿宋" w:cs="仿宋"/>
          <w:sz w:val="24"/>
          <w:szCs w:val="24"/>
        </w:rPr>
        <w:t>日</w:t>
      </w:r>
      <w:r>
        <w:rPr>
          <w:rFonts w:hint="eastAsia" w:ascii="仿宋" w:hAnsi="仿宋" w:eastAsia="仿宋" w:cs="仿宋"/>
          <w:sz w:val="24"/>
          <w:szCs w:val="24"/>
          <w:lang w:val="en-US" w:eastAsia="zh-CN"/>
        </w:rPr>
        <w:t>9：00</w:t>
      </w:r>
      <w:r>
        <w:rPr>
          <w:rFonts w:hint="eastAsia" w:ascii="仿宋" w:hAnsi="仿宋" w:eastAsia="仿宋" w:cs="仿宋"/>
          <w:sz w:val="24"/>
          <w:szCs w:val="24"/>
        </w:rPr>
        <w:t>　（北京时间），逾期送达或不符合规定的投标文件不予接受。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禹州市公安局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w:t>
      </w:r>
      <w:r>
        <w:rPr>
          <w:rFonts w:hint="eastAsia" w:ascii="仿宋" w:hAnsi="仿宋" w:eastAsia="仿宋" w:cs="仿宋"/>
          <w:sz w:val="24"/>
          <w:szCs w:val="24"/>
          <w:lang w:eastAsia="zh-CN"/>
        </w:rPr>
        <w:t>华夏大道</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董先生</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18839900682</w:t>
      </w: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320" w:firstLineChars="18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4560" w:firstLineChars="19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25</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p>
    <w:p>
      <w:pPr>
        <w:spacing w:line="360" w:lineRule="auto"/>
        <w:ind w:firstLine="3534" w:firstLineChars="800"/>
        <w:rPr>
          <w:rFonts w:hint="eastAsia" w:ascii="仿宋" w:hAnsi="仿宋" w:eastAsia="仿宋" w:cs="仿宋"/>
          <w:b/>
          <w:sz w:val="44"/>
          <w:szCs w:val="44"/>
        </w:rPr>
      </w:pPr>
    </w:p>
    <w:p>
      <w:pPr>
        <w:spacing w:line="360" w:lineRule="auto"/>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3"/>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2"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2" w:type="dxa"/>
            <w:tcMar>
              <w:top w:w="0" w:type="dxa"/>
              <w:left w:w="0" w:type="dxa"/>
              <w:bottom w:w="0" w:type="dxa"/>
              <w:right w:w="0" w:type="dxa"/>
            </w:tcMar>
            <w:vAlign w:val="center"/>
          </w:tcPr>
          <w:p>
            <w:pPr>
              <w:widowControl/>
              <w:rPr>
                <w:rFonts w:ascii="仿宋" w:hAnsi="仿宋" w:eastAsia="仿宋"/>
                <w:b/>
                <w:kern w:val="0"/>
                <w:sz w:val="24"/>
                <w:szCs w:val="24"/>
                <w:lang w:val="en-US"/>
              </w:rPr>
            </w:pPr>
            <w:r>
              <w:rPr>
                <w:rFonts w:hint="eastAsia" w:ascii="仿宋" w:hAnsi="仿宋" w:eastAsia="仿宋"/>
                <w:sz w:val="24"/>
                <w:szCs w:val="24"/>
              </w:rPr>
              <w:t>YZCG—G201</w:t>
            </w:r>
            <w:r>
              <w:rPr>
                <w:rFonts w:hint="eastAsia" w:ascii="仿宋" w:hAnsi="仿宋" w:eastAsia="仿宋"/>
                <w:sz w:val="24"/>
                <w:szCs w:val="24"/>
                <w:lang w:val="en-US" w:eastAsia="zh-CN"/>
              </w:rPr>
              <w:t>8066-1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2" w:type="dxa"/>
            <w:tcMar>
              <w:top w:w="0" w:type="dxa"/>
              <w:left w:w="0" w:type="dxa"/>
              <w:bottom w:w="0" w:type="dxa"/>
              <w:right w:w="0" w:type="dxa"/>
            </w:tcMar>
            <w:vAlign w:val="center"/>
          </w:tcPr>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2" w:type="dxa"/>
            <w:tcMar>
              <w:top w:w="0" w:type="dxa"/>
              <w:left w:w="0" w:type="dxa"/>
              <w:bottom w:w="0" w:type="dxa"/>
              <w:right w:w="0" w:type="dxa"/>
            </w:tcMar>
            <w:vAlign w:val="center"/>
          </w:tcPr>
          <w:p>
            <w:pPr>
              <w:jc w:val="both"/>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禹州市看守所视频监控系统升级改造项目（二次）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2"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2"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合同签订</w:t>
            </w:r>
            <w:r>
              <w:rPr>
                <w:rFonts w:hint="eastAsia" w:ascii="仿宋" w:hAnsi="仿宋" w:eastAsia="仿宋"/>
                <w:sz w:val="24"/>
                <w:szCs w:val="24"/>
                <w:lang w:eastAsia="zh-CN"/>
              </w:rPr>
              <w:t>后</w:t>
            </w:r>
            <w:r>
              <w:rPr>
                <w:rFonts w:hint="eastAsia" w:ascii="仿宋" w:hAnsi="仿宋" w:eastAsia="仿宋"/>
                <w:sz w:val="24"/>
                <w:szCs w:val="24"/>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壹万</w:t>
            </w:r>
            <w:r>
              <w:rPr>
                <w:rFonts w:hint="eastAsia" w:ascii="仿宋" w:hAnsi="仿宋" w:eastAsia="仿宋"/>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6</w:t>
            </w:r>
            <w:r>
              <w:rPr>
                <w:rFonts w:hint="eastAsia" w:ascii="仿宋" w:hAnsi="仿宋" w:eastAsia="仿宋"/>
                <w:sz w:val="24"/>
                <w:szCs w:val="24"/>
              </w:rPr>
              <w:t>月</w:t>
            </w:r>
            <w:r>
              <w:rPr>
                <w:rFonts w:hint="eastAsia" w:ascii="仿宋" w:hAnsi="仿宋" w:eastAsia="仿宋"/>
                <w:sz w:val="24"/>
                <w:szCs w:val="24"/>
                <w:lang w:val="en-US" w:eastAsia="zh-CN"/>
              </w:rPr>
              <w:t>20</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2"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0"/>
              </w:numPr>
              <w:spacing w:line="440" w:lineRule="exact"/>
              <w:ind w:left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6</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20</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6</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20</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2"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本项目最高限价为：</w:t>
            </w:r>
            <w:r>
              <w:rPr>
                <w:rFonts w:hint="eastAsia" w:ascii="仿宋" w:hAnsi="仿宋" w:eastAsia="仿宋" w:cs="仿宋"/>
                <w:sz w:val="24"/>
                <w:szCs w:val="24"/>
                <w:lang w:val="en-US" w:eastAsia="zh-CN"/>
              </w:rPr>
              <w:t>116.187872</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6"/>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numPr>
          <w:ilvl w:val="0"/>
          <w:numId w:val="0"/>
        </w:numPr>
        <w:spacing w:line="440" w:lineRule="exact"/>
        <w:rPr>
          <w:rFonts w:hint="eastAsia" w:ascii="仿宋" w:hAnsi="仿宋" w:eastAsia="仿宋"/>
          <w:b/>
          <w:sz w:val="44"/>
          <w:lang w:val="en-US" w:eastAsia="zh-CN"/>
        </w:rPr>
      </w:pPr>
    </w:p>
    <w:p>
      <w:pPr>
        <w:spacing w:before="471" w:after="312" w:line="360" w:lineRule="auto"/>
        <w:outlineLvl w:val="0"/>
        <w:rPr>
          <w:rFonts w:hint="eastAsia" w:ascii="仿宋" w:hAnsi="仿宋" w:eastAsia="仿宋" w:cs="仿宋"/>
          <w:sz w:val="24"/>
          <w:szCs w:val="24"/>
          <w:lang w:eastAsia="zh-CN"/>
        </w:rPr>
      </w:pPr>
      <w:r>
        <w:rPr>
          <w:rFonts w:hint="eastAsia" w:ascii="仿宋" w:hAnsi="仿宋" w:eastAsia="仿宋" w:cs="仿宋"/>
          <w:b/>
          <w:bCs/>
          <w:kern w:val="44"/>
          <w:sz w:val="24"/>
          <w:szCs w:val="24"/>
          <w:lang w:eastAsia="zh-CN"/>
        </w:rPr>
        <w:t>一</w:t>
      </w:r>
      <w:r>
        <w:rPr>
          <w:rFonts w:hint="eastAsia" w:ascii="仿宋" w:hAnsi="仿宋" w:eastAsia="仿宋" w:cs="仿宋"/>
          <w:b/>
          <w:bCs/>
          <w:kern w:val="44"/>
          <w:sz w:val="24"/>
          <w:szCs w:val="24"/>
        </w:rPr>
        <w:t>、</w:t>
      </w:r>
      <w:r>
        <w:rPr>
          <w:rFonts w:hint="eastAsia" w:ascii="仿宋" w:hAnsi="仿宋" w:eastAsia="仿宋" w:cs="仿宋"/>
          <w:b/>
          <w:sz w:val="24"/>
          <w:szCs w:val="24"/>
        </w:rPr>
        <w:t>项目概述</w:t>
      </w:r>
      <w:r>
        <w:rPr>
          <w:rFonts w:hint="eastAsia" w:ascii="仿宋" w:hAnsi="仿宋" w:eastAsia="仿宋" w:cs="仿宋"/>
          <w:b/>
          <w:sz w:val="24"/>
          <w:szCs w:val="24"/>
          <w:lang w:eastAsia="zh-CN"/>
        </w:rPr>
        <w:t>：</w:t>
      </w:r>
    </w:p>
    <w:tbl>
      <w:tblPr>
        <w:tblStyle w:val="36"/>
        <w:tblW w:w="891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2376"/>
        <w:gridCol w:w="65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49" w:hRule="atLeast"/>
        </w:trPr>
        <w:tc>
          <w:tcPr>
            <w:tcW w:w="2376" w:type="dxa"/>
            <w:vAlign w:val="center"/>
          </w:tcPr>
          <w:p>
            <w:pPr>
              <w:keepNext w:val="0"/>
              <w:keepLines w:val="0"/>
              <w:suppressLineNumbers w:val="0"/>
              <w:snapToGrid w:val="0"/>
              <w:spacing w:before="0" w:beforeAutospacing="0" w:after="0" w:afterAutospacing="0"/>
              <w:ind w:left="0" w:right="0"/>
              <w:jc w:val="center"/>
              <w:outlineLvl w:val="0"/>
              <w:rPr>
                <w:rFonts w:hint="eastAsia" w:ascii="仿宋" w:hAnsi="仿宋" w:eastAsia="仿宋" w:cs="仿宋"/>
                <w:b/>
                <w:sz w:val="24"/>
                <w:szCs w:val="24"/>
              </w:rPr>
            </w:pPr>
            <w:r>
              <w:rPr>
                <w:rFonts w:hint="eastAsia" w:ascii="仿宋" w:hAnsi="仿宋" w:eastAsia="仿宋" w:cs="仿宋"/>
                <w:b/>
                <w:sz w:val="24"/>
                <w:szCs w:val="24"/>
              </w:rPr>
              <w:t>项目名称</w:t>
            </w:r>
          </w:p>
        </w:tc>
        <w:tc>
          <w:tcPr>
            <w:tcW w:w="6540" w:type="dxa"/>
            <w:vAlign w:val="center"/>
          </w:tcPr>
          <w:p>
            <w:pPr>
              <w:keepNext w:val="0"/>
              <w:keepLines w:val="0"/>
              <w:suppressLineNumbers w:val="0"/>
              <w:snapToGrid w:val="0"/>
              <w:spacing w:before="0" w:beforeAutospacing="0" w:after="0" w:afterAutospacing="0"/>
              <w:ind w:left="0" w:right="0"/>
              <w:outlineLvl w:val="0"/>
              <w:rPr>
                <w:rFonts w:hint="eastAsia" w:ascii="仿宋" w:hAnsi="仿宋" w:eastAsia="仿宋" w:cs="仿宋"/>
                <w:sz w:val="24"/>
                <w:szCs w:val="24"/>
              </w:rPr>
            </w:pPr>
            <w:r>
              <w:rPr>
                <w:rFonts w:hint="eastAsia" w:ascii="仿宋" w:hAnsi="仿宋" w:eastAsia="仿宋" w:cs="仿宋"/>
                <w:sz w:val="24"/>
                <w:szCs w:val="24"/>
              </w:rPr>
              <w:t>禹州市看守所视频改造项目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14" w:hRule="atLeast"/>
        </w:trPr>
        <w:tc>
          <w:tcPr>
            <w:tcW w:w="2376" w:type="dxa"/>
            <w:vAlign w:val="center"/>
          </w:tcPr>
          <w:p>
            <w:pPr>
              <w:keepNext w:val="0"/>
              <w:keepLines w:val="0"/>
              <w:suppressLineNumbers w:val="0"/>
              <w:snapToGrid w:val="0"/>
              <w:spacing w:before="0" w:beforeAutospacing="0" w:after="0" w:afterAutospacing="0"/>
              <w:ind w:left="0" w:right="0"/>
              <w:jc w:val="center"/>
              <w:outlineLvl w:val="0"/>
              <w:rPr>
                <w:rFonts w:hint="eastAsia" w:ascii="仿宋" w:hAnsi="仿宋" w:eastAsia="仿宋" w:cs="仿宋"/>
                <w:b/>
                <w:sz w:val="24"/>
                <w:szCs w:val="24"/>
              </w:rPr>
            </w:pPr>
            <w:r>
              <w:rPr>
                <w:rFonts w:hint="eastAsia" w:ascii="仿宋" w:hAnsi="仿宋" w:eastAsia="仿宋" w:cs="仿宋"/>
                <w:b/>
                <w:sz w:val="24"/>
                <w:szCs w:val="24"/>
              </w:rPr>
              <w:t>采购内容</w:t>
            </w:r>
          </w:p>
        </w:tc>
        <w:tc>
          <w:tcPr>
            <w:tcW w:w="6540" w:type="dxa"/>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sz w:val="24"/>
                <w:szCs w:val="24"/>
              </w:rPr>
            </w:pPr>
            <w:r>
              <w:rPr>
                <w:rFonts w:hint="eastAsia" w:ascii="仿宋" w:hAnsi="仿宋" w:eastAsia="仿宋" w:cs="仿宋"/>
                <w:sz w:val="24"/>
                <w:szCs w:val="24"/>
              </w:rPr>
              <w:t>本项目的采购内容为禹州市看守所视频改造项目采购及安装、调试、验收、培训、质保服务、运输和保险以及与货物有关的其他伴随服务。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30" w:hRule="atLeast"/>
        </w:trPr>
        <w:tc>
          <w:tcPr>
            <w:tcW w:w="2376" w:type="dxa"/>
            <w:vAlign w:val="center"/>
          </w:tcPr>
          <w:p>
            <w:pPr>
              <w:keepNext w:val="0"/>
              <w:keepLines w:val="0"/>
              <w:suppressLineNumbers w:val="0"/>
              <w:snapToGrid w:val="0"/>
              <w:spacing w:before="0" w:beforeAutospacing="0" w:after="0" w:afterAutospacing="0"/>
              <w:ind w:left="0" w:right="0"/>
              <w:jc w:val="center"/>
              <w:outlineLvl w:val="0"/>
              <w:rPr>
                <w:rFonts w:hint="eastAsia" w:ascii="仿宋" w:hAnsi="仿宋" w:eastAsia="仿宋" w:cs="仿宋"/>
                <w:b/>
                <w:sz w:val="24"/>
                <w:szCs w:val="24"/>
              </w:rPr>
            </w:pPr>
            <w:r>
              <w:rPr>
                <w:rFonts w:hint="eastAsia" w:ascii="仿宋" w:hAnsi="仿宋" w:eastAsia="仿宋" w:cs="仿宋"/>
                <w:b/>
                <w:sz w:val="24"/>
                <w:szCs w:val="24"/>
              </w:rPr>
              <w:t>主要技术规格</w:t>
            </w:r>
          </w:p>
        </w:tc>
        <w:tc>
          <w:tcPr>
            <w:tcW w:w="6540" w:type="dxa"/>
            <w:vAlign w:val="center"/>
          </w:tcPr>
          <w:p>
            <w:pPr>
              <w:keepNext w:val="0"/>
              <w:keepLines w:val="0"/>
              <w:suppressLineNumbers w:val="0"/>
              <w:snapToGrid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详见设备清单技术参数</w:t>
            </w:r>
          </w:p>
        </w:tc>
      </w:tr>
    </w:tbl>
    <w:p>
      <w:pPr>
        <w:pStyle w:val="19"/>
        <w:snapToGrid w:val="0"/>
        <w:spacing w:after="156" w:afterLines="50"/>
        <w:outlineLvl w:val="0"/>
        <w:rPr>
          <w:rFonts w:hint="eastAsia" w:ascii="仿宋" w:hAnsi="仿宋" w:eastAsia="仿宋" w:cs="仿宋"/>
          <w:b/>
          <w:sz w:val="24"/>
          <w:szCs w:val="24"/>
        </w:rPr>
      </w:pPr>
    </w:p>
    <w:p>
      <w:pPr>
        <w:snapToGrid w:val="0"/>
        <w:spacing w:after="156" w:afterLines="50"/>
        <w:outlineLvl w:val="0"/>
        <w:rPr>
          <w:rFonts w:hint="eastAsia" w:ascii="仿宋" w:hAnsi="仿宋" w:eastAsia="仿宋" w:cs="仿宋"/>
          <w:b/>
          <w:sz w:val="24"/>
          <w:szCs w:val="24"/>
        </w:rPr>
      </w:pPr>
      <w:r>
        <w:rPr>
          <w:rFonts w:hint="eastAsia" w:ascii="仿宋" w:hAnsi="仿宋" w:eastAsia="仿宋" w:cs="仿宋"/>
          <w:b/>
          <w:sz w:val="24"/>
          <w:szCs w:val="24"/>
        </w:rPr>
        <w:t>二、项目需求及要求</w:t>
      </w:r>
    </w:p>
    <w:p>
      <w:pPr>
        <w:widowControl/>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1、招标内容及基本要求</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须保证系统达到用户的功能要求，保证系统正常、稳定运行。本需求方案的功能要求及需求清单所列设备仅是基本需求，投标人须根据本项目的总体安排，并结合实际情况、项目资金预算等对所有的设备、器件、软件、附件进行完善、补充，使技术方案更全面、功能更完善，并在投标文件内列明设备清单、报价（包含所有安装调试和人工等一切费用）。</w:t>
      </w:r>
    </w:p>
    <w:p>
      <w:pPr>
        <w:pStyle w:val="19"/>
        <w:snapToGrid w:val="0"/>
        <w:spacing w:after="156" w:afterLines="50"/>
        <w:outlineLvl w:val="0"/>
        <w:rPr>
          <w:rFonts w:hint="eastAsia" w:ascii="仿宋" w:hAnsi="仿宋" w:eastAsia="仿宋" w:cs="仿宋"/>
          <w:b/>
          <w:sz w:val="24"/>
          <w:szCs w:val="24"/>
        </w:rPr>
      </w:pPr>
      <w:r>
        <w:rPr>
          <w:rFonts w:hint="eastAsia" w:ascii="仿宋" w:hAnsi="仿宋" w:eastAsia="仿宋" w:cs="仿宋"/>
          <w:b/>
          <w:sz w:val="24"/>
          <w:szCs w:val="24"/>
        </w:rPr>
        <w:t>三、说明</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1、总则</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1．1本章所述技术规格及要求是招标人提供的最低限度的技术要求，投标人应保证提供符合本技术规格及要求和有关工业标准的优质产品。</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1．2本技术规格及要求所使用的标准和规范如与投标人所执行的标准发生矛盾时，按较高标准执行。</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1．3招标人保留在对本技术规格及要求补充和修改的权利，投标人应承诺予以配合，如提出修改，具体事件由中标人与招标人另行商定。</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1．4投标人所提供的货物，如若发生侵犯知识产权的行为时，其侵权责任与招标人无关，应由投标人承担相应的责任，并不得损害招标人的利益。</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2、所遵循的标准和质量保证</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2．1投标人提供的所有货物，其制造商应有完善的质量检测手段和质量保证体系，产品符合国家标准和行业标准。</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2．2投标人所提供货物的设计、制造、产品性能、材料的选择和材料的检验及产品的测试等，都应按国内外通行的现行标准和相应的技术规范执行。而这些标准和技术规范应为合同签字日为止最新发布发行的标准和技术规范。</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3、设计依据</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主要依据《安全防范视频监控联网系统信息传输、交换、控制技术要求》（GB/T 28181-2011）或《公共安全视频监控联网系统信息传输、交换、控制技术要求》（GB/T 28181-2016）、《看守所技术建设规范》（JJ001-2002）、《看守所监控系统建设规范》（公监管[2009]189号）、《周界防范高压电网装置》（GB25287-2010）、现行国家、行业和地方的标准规范、政府和管理部门的法律和管理条例进行设计。</w:t>
      </w:r>
    </w:p>
    <w:p>
      <w:pPr>
        <w:spacing w:line="360" w:lineRule="auto"/>
        <w:ind w:left="566" w:leftChars="135" w:right="315" w:rightChars="150" w:hanging="283"/>
        <w:rPr>
          <w:rFonts w:hint="eastAsia" w:ascii="仿宋" w:hAnsi="仿宋" w:eastAsia="仿宋" w:cs="仿宋"/>
          <w:sz w:val="24"/>
          <w:szCs w:val="24"/>
        </w:rPr>
      </w:pPr>
      <w:r>
        <w:rPr>
          <w:rFonts w:hint="eastAsia" w:ascii="仿宋" w:hAnsi="仿宋" w:eastAsia="仿宋" w:cs="仿宋"/>
          <w:sz w:val="24"/>
          <w:szCs w:val="24"/>
        </w:rPr>
        <w:t>《安全防范视频监控联网系统信息传输、交换、控制技术要求》（GB/T 28181-2011）或《公共安全视频监控联网系统信息传输、交换、控制技术要求》（GB/T 28181-2016）</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《看守所技术建设规范》（JJ001-2002）</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《看守所监控系统建设规范》(公监管[2009]189号)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《看守所装备配备标准》(PB003-2001)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《周界防范高压电网装置》(GB25287-2010)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《智能建筑设计标准》(GB/T50314-2006)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《智能建筑工程质量验收规范》(GB 50339-2013)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《电子计算机机房设计规范》(GB 50174—2008)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《电子信息系统机房施工及验收规范》(GB50462-2008)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《系统接地的形式及安全技术要求》(GB14050-2008)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《低压配电设计规范》(GB50054-2011)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《民用建设电气设计规范》(JGJ_16-2008)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《建筑防雷接地设计规范》(GB50057-2010)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《建筑电气工程施工质量验收规范》(GB50303-2011)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《民用闭路监视电视系统工程技术规范》(GB50198-2011)</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《工业电视系统工程设计规范》(GB 50115-2009) </w:t>
      </w:r>
    </w:p>
    <w:p>
      <w:pPr>
        <w:spacing w:line="360" w:lineRule="auto"/>
        <w:ind w:firstLine="284"/>
        <w:rPr>
          <w:rFonts w:hint="eastAsia" w:ascii="仿宋" w:hAnsi="仿宋" w:eastAsia="仿宋" w:cs="仿宋"/>
          <w:sz w:val="24"/>
          <w:szCs w:val="24"/>
        </w:rPr>
      </w:pPr>
      <w:r>
        <w:rPr>
          <w:rFonts w:hint="eastAsia" w:ascii="仿宋" w:hAnsi="仿宋" w:eastAsia="仿宋" w:cs="仿宋"/>
          <w:sz w:val="24"/>
          <w:szCs w:val="24"/>
        </w:rPr>
        <w:t xml:space="preserve">《彩色电视图像质量主观评价方法》(GB/T 7401-1987)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《有线电视系统工程技术规范》(GB50200-94)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《安全防范验收规划》(GA /308—2001)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《安全防范工程技术规范》(GB/50348—2004)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《防盗报警中心控制台》(GB/T16572-1996)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《安全防范系统通用图形符号》(GA/T 74-2000)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《安全防范工程费用概预算编制办法》(GA/T 70-2004)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《安全防范系统验收规划》(GA 308—2007)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《安全防范工程技术规范》(GB 50348—2004)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《安全防范系统雷电浪涌防护技术要求》(GA/T 670-2006)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《安全防范报警设备安全要求和实验方法》(GB 16796-1997)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《出入口控制系统工程设计规范》(GB50396-2007) </w:t>
      </w:r>
    </w:p>
    <w:p>
      <w:pPr>
        <w:pStyle w:val="19"/>
        <w:snapToGrid w:val="0"/>
        <w:spacing w:after="156" w:afterLines="50"/>
        <w:outlineLvl w:val="0"/>
        <w:rPr>
          <w:rFonts w:hint="eastAsia" w:ascii="仿宋" w:hAnsi="仿宋" w:eastAsia="仿宋" w:cs="仿宋"/>
          <w:b/>
          <w:sz w:val="24"/>
          <w:szCs w:val="24"/>
        </w:rPr>
      </w:pPr>
      <w:r>
        <w:rPr>
          <w:rFonts w:hint="eastAsia" w:ascii="仿宋" w:hAnsi="仿宋" w:eastAsia="仿宋" w:cs="仿宋"/>
          <w:b/>
          <w:sz w:val="24"/>
          <w:szCs w:val="24"/>
        </w:rPr>
        <w:t>四、安装及验收</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1、总体要求</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1.1供应商严格按照国家及有关部门规定的程序和安全规范进行安装；</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1.2货物设备的安装调试由成交供应商负责，其费用包含在投标报价中。</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2、设备的检验与调试</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招标人要求对整机的性能进行调试、试验、检测。检测结果必须符台国家制造与安装安全规范以及中标人提供的制造、安装标准和技术规范要求。</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3、人员培训</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中标人应选派有资格的工程技术人员对招标人有关人员进行免费培训。培训内容为投备的基本原理、操作使用、维修保养等。</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4、售后服务</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4．1提供设备使用和维护技术方面的信息和技术资料；</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4. 2投标人应对售后服务作出承诺。</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5、质量保证期</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 xml:space="preserve">    质量保证期为不低于三年。在此期间，设备因制造、安装而发生损坏或不能正常工作时，中标人应负责免费维修或更换零部件。</w:t>
      </w:r>
    </w:p>
    <w:p>
      <w:pPr>
        <w:spacing w:line="360" w:lineRule="auto"/>
        <w:jc w:val="center"/>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jc w:val="both"/>
        <w:rPr>
          <w:rFonts w:hint="eastAsia" w:ascii="仿宋" w:hAnsi="仿宋" w:eastAsia="仿宋" w:cs="仿宋"/>
          <w:b/>
          <w:sz w:val="24"/>
          <w:szCs w:val="24"/>
        </w:rPr>
      </w:pPr>
    </w:p>
    <w:p>
      <w:pPr>
        <w:spacing w:line="360" w:lineRule="auto"/>
        <w:jc w:val="both"/>
        <w:rPr>
          <w:rFonts w:hint="eastAsia" w:ascii="仿宋" w:hAnsi="仿宋" w:eastAsia="仿宋" w:cs="仿宋"/>
          <w:b/>
          <w:sz w:val="24"/>
          <w:szCs w:val="24"/>
        </w:rPr>
      </w:pPr>
    </w:p>
    <w:p>
      <w:pPr>
        <w:spacing w:line="360" w:lineRule="auto"/>
        <w:jc w:val="both"/>
        <w:rPr>
          <w:rFonts w:hint="eastAsia" w:ascii="仿宋" w:hAnsi="仿宋" w:eastAsia="仿宋" w:cs="仿宋"/>
          <w:b/>
          <w:sz w:val="24"/>
          <w:szCs w:val="24"/>
        </w:rPr>
      </w:pPr>
      <w:r>
        <w:rPr>
          <w:rFonts w:hint="eastAsia" w:ascii="仿宋" w:hAnsi="仿宋" w:eastAsia="仿宋" w:cs="仿宋"/>
          <w:b/>
          <w:sz w:val="24"/>
          <w:szCs w:val="24"/>
          <w:lang w:eastAsia="zh-CN"/>
        </w:rPr>
        <w:t>五</w:t>
      </w:r>
      <w:r>
        <w:rPr>
          <w:rFonts w:hint="eastAsia" w:ascii="仿宋" w:hAnsi="仿宋" w:eastAsia="仿宋" w:cs="仿宋"/>
          <w:b/>
          <w:sz w:val="24"/>
          <w:szCs w:val="24"/>
        </w:rPr>
        <w:t>、设备采购清单</w:t>
      </w:r>
    </w:p>
    <w:tbl>
      <w:tblPr>
        <w:tblStyle w:val="36"/>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3"/>
        <w:gridCol w:w="5811"/>
        <w:gridCol w:w="709"/>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48" w:type="dxa"/>
            <w:gridSpan w:val="6"/>
            <w:vAlign w:val="center"/>
          </w:tcPr>
          <w:p>
            <w:pPr>
              <w:keepNext w:val="0"/>
              <w:keepLines w:val="0"/>
              <w:widowControl/>
              <w:suppressLineNumbers w:val="0"/>
              <w:spacing w:before="0" w:beforeAutospacing="0" w:after="0" w:afterAutospacing="0"/>
              <w:ind w:left="0" w:right="0"/>
              <w:rPr>
                <w:rFonts w:hint="eastAsia" w:ascii="仿宋" w:hAnsi="仿宋" w:eastAsia="仿宋" w:cs="仿宋"/>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09" w:type="dxa"/>
            <w:shd w:val="clear" w:color="000000" w:fill="8DB4E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993" w:type="dxa"/>
            <w:shd w:val="clear" w:color="000000" w:fill="8DB4E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设备名称</w:t>
            </w:r>
          </w:p>
        </w:tc>
        <w:tc>
          <w:tcPr>
            <w:tcW w:w="5811" w:type="dxa"/>
            <w:shd w:val="clear" w:color="000000" w:fill="8DB4E2"/>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技术参数及要求</w:t>
            </w:r>
          </w:p>
        </w:tc>
        <w:tc>
          <w:tcPr>
            <w:tcW w:w="709" w:type="dxa"/>
            <w:shd w:val="clear" w:color="000000" w:fill="8DB4E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w:t>
            </w:r>
          </w:p>
        </w:tc>
        <w:tc>
          <w:tcPr>
            <w:tcW w:w="992" w:type="dxa"/>
            <w:shd w:val="clear" w:color="000000" w:fill="8DB4E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单位</w:t>
            </w:r>
          </w:p>
        </w:tc>
        <w:tc>
          <w:tcPr>
            <w:tcW w:w="1134" w:type="dxa"/>
            <w:shd w:val="clear" w:color="000000" w:fill="8DB4E2"/>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5"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300万全景摄像机</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具有300万像素CMOS传感器。</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★最低照度彩色：0.01lx，黑白:0.001lx，灰度等级不小于11级。</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★红外补光距离不小于45米。</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需支持三码流技术，可同时输出三路码流，主码流最高2048x1536@30fps，第三码流最大2048x1536@30fps，子码流704x576@30fps。</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在2048x1536@25fps下，清晰度不小于1400TVL。</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支持H.264、H.265、MJPEG视频编码格式。</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需具备人脸抓拍、区域入侵检测、越界检测、虚焦检测、进入区域、离开区域、徘徊、人员聚集、逆行、场景变更等功能。</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需具有电子防抖、ROI感兴趣区域、SVC可伸缩编码、自动增益、背光补偿、数字降噪、强光抑制、走廊模式、视频水印等功能。</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★设备与客户端之间用100米网线进行传输，数据包丢包率不大于0.2%。</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★不低于IP66防尘防水等级。</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46</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46个监室全景摄像机,内置拾音器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400万H.265 POE半球</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400万1/3”CMOS ICR日夜型半球型网络摄像机；支持H.265及/H.264/ MJPEG编码；最小照度 0.07Lux @(F1.2,AGC ON) ,0 Lux with IR；0.19 Lux @(F2.0,AGC ON), 0 Lux with IR；快门 1/3秒至1/100,000秒；镜头 4mm, 水平视场角:78°(2.8mm,6mm,8mm可选)；调整角度 水平:0°~360°;垂直:0°~ 75°;旋转:0°~360°；宽动态范围 120dB；帧率 50Hz: 25fps(2560×1440, 2048 × 1536, 1920 × 1080, 1280 × 720)；感兴趣区域 ROI支持双码流分别设置1个固定区域；存储功能 支持Micro SD/SDHC /SDXC卡(128G)断网本地存储；智能功能 越界侦测,区域入侵侦测,场景变更侦测,人脸侦测,虚焦侦测,物品遗留侦测,物品拾取侦测,非法停车侦测,人员聚集侦测,徘徊侦测,快速移动侦测,进入区域侦测,离开区域侦测，音频异常侦测；工作温度和湿度 -10℃~40℃,湿度小于95%(无凝结)；电源供应 DC12V±25% / PoE(802.3af)；功耗 5.5W MAX（ICR切换瞬间7.5W MAX）；红外照射距离 EXIR 20-30米；内置麦克风；1对音频输入（Line in）/输出接口（插线式）、1对报警输入/输出接口</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143</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内置拾音功能，对每个风场各两台防暴半球、审讯室、医疗室等室内场所进行监控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400万枪机</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具有400万像素CMOS传感器。</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最低照度彩色：0.001lx，黑白：0.0001lx，灰度等级不小于11级。</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★红外补光距离不小于50米。</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★清晰度不小于1300TVL。</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支持H.264、H.265、MJPEG视频编码格式。</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★信噪比不小于57dB。</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需支持8行字符显示，字体颜色可设置。</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★需具有1路报警输入和2路报警输出接口，具有1个音频输入、1个音频输出接口。</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不低于IP66防尘防水等级。</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电源供电 DC12V±25%，支持PoE(802.3af)</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对上巡视道、下巡视道、监区通道、审讯走道等进行监控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枪机支架</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壁装支架/白/铝合金/尺寸不小于70×97.1×181.8mm</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140</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个</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拾音器</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★拾音器据声源5米距离声音采集清晰，能够有效监听60平方米范围。</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★需支持DC12V供电，且在不小于DC12V±20%范围内变化时可以正常工作。</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★降噪能力不小于9dB。</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拾音器能够在-30~70摄氏度环境下稳定工作。</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个</w:t>
            </w:r>
          </w:p>
        </w:tc>
        <w:tc>
          <w:tcPr>
            <w:tcW w:w="11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律师会见室专用拾音器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看守所智能综合管控平台</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支持统一接入管理视频监控系统、门禁系统、对讲系统、报警系统、巡更系统、智能系统、LED等各安防子系统，能与视频监控系统间实现联动操作；</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支持录像查询、回放、下载，可进行快速播放、慢速播放、单帧播放、边放边录，支持多路同步回放、录像切片回放、录像定点回放等功能；</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含服务器1台，配置不低于：E5-2630 V4(10核2.2GHz)×1/16GB DDR4×2/1TB SATA×1/SAS_HBA/DVD/1GbE×4/冗电/导轨/2U/Windows Server 2008 R2简体中文标准版激活码</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网络存储服务器</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单设备应配置≥64位多核处理器，≥4GB内存，需配置冗余金牌电源，支持双系统</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★应支持IPSAN、NAS存储功能</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可接入2T/3T/4T/6T/8T/10TSATA磁盘，支持磁盘交错启动和漫游，并支持在线热插拔；</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★可接入硬盘≥24块，支持SATA混插；</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应能提供RAID0、1、3、5、6、10、50，60模式，支持全局、局部等多种热备选择，支持坏盘自动重构；</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★设备可对视音频、图片、智能数据（智能行为分析录像）流进行混合直存，无须存储服务器和图片服务器的参与，平台服务器宕机时，存储业务正常</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★支持不低于550MBps图片并发输入，同时不低于550MBps图片并发输出</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★支持接入单前端设备不超出25路码流冗余存储</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★设备应能预录报警触发前1-30分钟的视频录像。</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可接入MPEG4、H.264、H.265、Smart265、SVAC的前端设备并存储录像文件,可将大华、宇视、海康等厂商SDK封装格式的视频流转成标准（MPEG4、H.264、H.265、SVAC等编码格式）PS流（ProgramStream）输出。</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★设备可同时支持视频、图片、智能流和文件直写存储。</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硬盘</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企业级4T硬盘</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84</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存储20天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55寸拼接单元</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55“超窄边液晶屏；物理分辨率达到1920×1080，物理拼缝≤5mm，响应时间≤8ms。输入接口：VGA×1，DVI×1，BNC×1，YPbPr×1，HDMI×1，USB×1。</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2.5</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拼接处理器</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不大于5U机箱+4路DVI输入（支持转VGA）+16路DVI输出+单主控板+单电源；整机支持解码128路1080P@30Hz、256路720P@30Hz或512路4CIF@30Hz以下分辨率；</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5"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4路嵌入式高清解码器</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1个VGA输入接口，1个DVI-I输入接口。输出口支持4个HDMI接口，支持4路模拟音频输出，支持2路模拟视频输出。</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★设备可以设置1024×768、1280×1024、1280×720、1920×1080、1600×1200、3840x2160等的视频图像分辨率通过HDMI输出显示。</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设备支持解码显示画面任意设置大小，并可通过客户端软件使显示画面在外接多个显示屏上随意移动并跨屏显示。</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要求设备支持按1/4/9/16画面进行分割，也支持1路输入视频发送到多个输出接口拼接显示，支持1x2,1x3,1x4,2x1,2x2,3x1,4x1的拼接显示</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★要求设备支持ONVIF、RTSP、H264、H265等协议。</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提审室及律师会见室监控画面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2.7</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落地支架</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采用1.2-1.5冷轧钢板焊接喷塑而成</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2.8</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大屏配套线缆</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DVI、VGA等线缆，可根据现场实际情况确定；</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9"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2.9</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防静电地板</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12m*5.4m,</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60</w:t>
            </w:r>
            <w:r>
              <w:rPr>
                <w:rFonts w:hint="eastAsia" w:ascii="仿宋" w:hAnsi="仿宋" w:eastAsia="仿宋" w:cs="仿宋"/>
                <w:color w:val="000000"/>
                <w:kern w:val="0"/>
                <w:sz w:val="24"/>
                <w:szCs w:val="24"/>
                <w:lang w:val="en-US" w:eastAsia="zh-CN"/>
              </w:rPr>
              <w:t>0</w:t>
            </w:r>
            <w:r>
              <w:rPr>
                <w:rFonts w:hint="eastAsia" w:ascii="仿宋" w:hAnsi="仿宋" w:eastAsia="仿宋" w:cs="仿宋"/>
                <w:color w:val="000000"/>
                <w:kern w:val="0"/>
                <w:sz w:val="24"/>
                <w:szCs w:val="24"/>
              </w:rPr>
              <w:t>mm*6</w:t>
            </w:r>
            <w:r>
              <w:rPr>
                <w:rFonts w:hint="eastAsia" w:ascii="仿宋" w:hAnsi="仿宋" w:eastAsia="仿宋" w:cs="仿宋"/>
                <w:color w:val="000000"/>
                <w:kern w:val="0"/>
                <w:sz w:val="24"/>
                <w:szCs w:val="24"/>
                <w:lang w:val="en-US" w:eastAsia="zh-CN"/>
              </w:rPr>
              <w:t>0</w:t>
            </w:r>
            <w:r>
              <w:rPr>
                <w:rFonts w:hint="eastAsia" w:ascii="仿宋" w:hAnsi="仿宋" w:eastAsia="仿宋" w:cs="仿宋"/>
                <w:color w:val="000000"/>
                <w:kern w:val="0"/>
                <w:sz w:val="24"/>
                <w:szCs w:val="24"/>
              </w:rPr>
              <w:t>0mm</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75</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平方米</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用于二楼监控室以及一楼机房静电地面铺设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2.10</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监控室操作台</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4.2m*1.2m</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2.11</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智能网络视频分析服务器</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支持剧烈运动、人员攀高、人员起身、如厕超时、声强突变、离岗报警、穿越警戒线、进入区域、离开区域、区域入侵、徘徊报警、放风场滞留等功能。</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配合前端摄像机以及拾音器，对48个监舍打架斗殴、攀高事件进行预警</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支持智能服务器对智能报警事件录像存储功能。可对触发智能规则的报警时间进行录像存储，并可设置报警预录和延录时间。</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支持视频质量诊断功能，诊断内容包括条纹干扰、信号丢失、场景突变、视频异常。</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配合前端摄像机以及拾音器，对48个监舍打架斗殴、攀高事件进行预警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6"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3.1</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高清播放机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(多媒体信息发布终端)</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CPU:高性能ARM Cotex-A9双核，1GHz;</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GPU:四核ARM Mali-400 MP GPU;</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RAM:1GB，DDR3;</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FLASH：4GB eMMC Flash；</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内含多媒体播放器软件及杜比音效Dolby Digital AC-3 </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服务器</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至强四核E3-1226v3（3.30GHz）/8G/500G/无dvd/3年</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3.3</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单路直播编码器</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输入：1路HDMI输入；视频编码方式：MPEG-4 AVC/H.264；音频编码方式：MPEG-1 Layer 2, HE-AAC (V2), LC-AAC。</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3.4</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信号处理器（工业级专用）</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将HDMI信号转为STMB信号</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3.5</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智能信息发布系统核心软件V2.0</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CLEAR IMS admin 2.0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CLEAR IMS main server 2.0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CLEAR IMS log server 2.0</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4.1</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CD播放器</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自动播放控制，全数码伺服；系统+ESS解码方案，超强纠错功能</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4.2</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数字调谐器</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调频、调幅两波段，分别有可存储电台达100个</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 有自动调谐、记忆功能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遥控器控制操作简单</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4.3</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前置放大器</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12个输入通道，包括5路话筒、3路线路口、4个紧急接口</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第5个话筒具有最高优先、强行切入优先功能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每个通道均可独立调校音量，统一音量控制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4个紧急输入具有二级优先，强行切入优先功能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12 input channels including 5 channels of MIC input, 3 Line-In, 4 </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4.4</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桌面</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话筒</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1.专业控制台设计，可桌面放置、壁挂安装和嵌入式安装；</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2.具有10.1寸数字真彩显示屏，电容式触摸屏，分辨率达1280*800；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3.内置500万像素高清数字摄像头(具有硬件遮挡功能，保护隐私)，采用H.264编码；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4.内置3W扬声器和话筒咪头，用于免提通话、接收广播和监听(数字降噪)；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5.可对全区、分区、个别终端进行喊话广播；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6.文件广播和预录音广播功能，可将本地音频文件或录音广播给指定终端；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7.具有红色紧急按键，支持一键广播到预设分区；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8.支持来/去电显示功能，来电语音播报；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9.仿调音台操作界面，音源控制直观便捷；</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10.支持无服务器情况下的脱机广播；</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11.可查看其他终端的工作状态(登录状态、对讲状态、任务状态)；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12.可拆卸话筒杆，支持3种方式通话：免提(内置咪)、免提(话筒杆)和听筒；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13.具有HDMI接口，可外接显示器；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14.支持POE供电，符合IEEE802.3af标准；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15. 标准RJ45接口，有以太网口的地方即可接入，支持跨网段和跨路由；</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电源、功耗    DC 12V或POE IEEE802.3af,  ≤20W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网络通讯协议  TCP、UDP、ARP、ICMP、IGMP、SIP、HTTP、FTP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网络芯片速率  10/100Mbps</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音频编码      MP2/MP3/PCM/ADPCM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音频采样、位率 8kHz～44.1kHz, 16bit, 8kbps-320kbps</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视频传输位率   96Kbps-2048Kbps</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摄像头         CMOS 500W像素</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内置功放功率   3W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信噪比, 频响   &gt; 90dB、20 Hz～20K Hz</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网络声音延迟 对讲延迟≤30ms</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显示屏         TFT 10.1"LCD 1280x800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显示语言       中文、英语</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接口           1个RJ45网口, 1路报警输入, 1路报警输出, 1路线路输出,1路线路输入，1路HDMI接口,2个USB接口</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工作温度、湿度  -10℃～55℃,  ≤90%RH（无结露）</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产品尺寸、重量  336x210x32.5mm ,1.65kg</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4.5</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监所专用网络广播功放-120W</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1.机架式设计(1U)，超薄型的网络定压功放, 启动时间≤1秒;</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2.内置D类数字功放，120W定压100V输出，发热小功效更高；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3.设有5个输入通道，每一通道均可独立调节音量，统一音调控制；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4.可以自由设置5个输入通道的优先级 (前面板话筒口默认最高优先)；</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5.提供音频线路输出，接外部功放扩音(带功放电源控制)；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6.有以太网口地方即可接入，支持跨网段和跨路由；</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4.6</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监所专用室内音箱</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材料:木制；额定功率：5W；最大功率：10W；频率响应：180-20KHz；定压；尺寸：248x156x146</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47</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4.7</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监所专用网络对讲广播控制中心</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1.专业机架式工控机箱体设计，采用钢结构，有较高防磁、防尘、防冲击能力；</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2.采用15英寸工业级加固触摸屏，简单易用的触摸屏操控；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3.内置大容量硬盘，具有抗震动、抗摔、读写速度快、功耗低等特点；</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4.工业级专用主板设计，处理速度更快，运作性能更强，适用于长时间运行；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5.安装广播系统服务器软件后，构成IP广播系统的管理控制中心，对广播系统各路音源信号控制，广播区域分配，终端信息的配置；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6.可根据服务软件形成的电子地图，查看各路广播终端实时情况，尽在掌控；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7.标准RJ45网络接口，有以太网口的地方即可接入，支持跨网段和跨路由。</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电源、功耗 AC100-240V；≤300W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显示屏幕 15寸电阻式(四线)触控屏，TFT32位真彩色, 1024*768分辨率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光驱 DVD-ROM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CPU:  i3-4150（因配置不断升级，以合同为准）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主板：华硕 P8H61-MPLUSV3(英特尔  H61 芯片组)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内存：金士顿（Kingston）DDR3 1600 2GB</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硬盘：SATA 1TB（因配置不断升级，以合同为准）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显卡：英特尔 HD  Graphics Family(1GB/华硕)</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显示器：乐华 R0W0001 Grystal  View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光驱：华硕 DVD-E818A9T b DVD 光驱</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声卡： 瑞昱ALC887@英特尔6Series  Chipset 高保真音频</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网卡： 瑞昱RTL8168E PCI-E Gigabit Etherner NIC/华硕</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分辨率：1024×768 32位真彩色（刷新率：60HZ）</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网络通讯协议 TCP、UDP、ARP、ICMP、IGMP</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网络芯片速率 10/100Mbps</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音频编码 MP2/MP3/PCM/ADPCM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音频采样 8kHz～44.1kHz, 16位</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传输位率 16kbps-192kbps</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信噪比/频响 LINE: ≥70dB; MIC: ≥70dB; 20Hz-20KHz</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网络声音延迟 广播延迟≤100ms, 对讲延迟≤30ms</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音频接口 1路线路输入、1路线路输出、1路话筒输入</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其他接口 1个 RJ45网口，4个 USB口</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5.1</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接入交换机</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全千兆网管二层POE交换机，机架式，24个千兆POE电口，4个千兆光口，支持通过console口管理。交换容量336Gbps，包转发率96Mpps，1U高度，尺寸（宽×深×高mm）440×260×44，重量&lt;5.5KG，工作温度：0℃～50℃，支持220v交流，POE输出功率≤370W，支持802.3af/at；支持VLAN,流量控制，ACL，QOS，支持SNMP V1/V2c/V3网管，支持静态路由、RIP、RIPng、STP，支持Openflow协议标准，支持线缆检测</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5.2</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核心交换机</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全网管三层交换机，机架式，48个千兆电口，4个万兆SFP+光口，2个QSFP+堆叠口，交换容量598Gbps,包转发率252Mpps,支持通过console口管理。1U高度，19英寸宽，工作温度：0℃～40℃，支持220v交流，48V直流供电，满负荷功耗90瓦；支持路由，IPV6，VLAN,流量控制，ACL，QOS，支持SNMP V1/V2c/V3网管。</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5.3</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机柜</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2米标准机柜</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13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5.4</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光纤</w:t>
            </w:r>
          </w:p>
        </w:tc>
        <w:tc>
          <w:tcPr>
            <w:tcW w:w="581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12芯光纤</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1500</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米</w:t>
            </w:r>
          </w:p>
        </w:tc>
        <w:tc>
          <w:tcPr>
            <w:tcW w:w="1134"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5.5</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光纤收发器</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DC10-58V工作温度-40-85存储温度-40-85传输距离0-60KM（可选）</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w:t>
            </w:r>
          </w:p>
        </w:tc>
        <w:tc>
          <w:tcPr>
            <w:tcW w:w="11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5.6</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光纤附件</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国标</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批</w:t>
            </w:r>
          </w:p>
        </w:tc>
        <w:tc>
          <w:tcPr>
            <w:tcW w:w="11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5.7</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网线</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室外防水</w:t>
            </w:r>
            <w:r>
              <w:rPr>
                <w:rFonts w:hint="eastAsia" w:ascii="仿宋" w:hAnsi="仿宋" w:eastAsia="仿宋" w:cs="仿宋"/>
                <w:color w:val="FF0000"/>
                <w:kern w:val="0"/>
                <w:sz w:val="24"/>
                <w:szCs w:val="24"/>
                <w:lang w:val="en-US" w:eastAsia="zh-CN"/>
              </w:rPr>
              <w:t>8</w:t>
            </w:r>
            <w:r>
              <w:rPr>
                <w:rFonts w:hint="eastAsia" w:ascii="仿宋" w:hAnsi="仿宋" w:eastAsia="仿宋" w:cs="仿宋"/>
                <w:color w:val="FF0000"/>
                <w:kern w:val="0"/>
                <w:sz w:val="24"/>
                <w:szCs w:val="24"/>
              </w:rPr>
              <w:t>*0.5</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箱</w:t>
            </w:r>
          </w:p>
        </w:tc>
        <w:tc>
          <w:tcPr>
            <w:tcW w:w="11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5.8</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电源线</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国标RVV2*2.0</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3000</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米</w:t>
            </w:r>
          </w:p>
        </w:tc>
        <w:tc>
          <w:tcPr>
            <w:tcW w:w="11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5.9</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工程附件</w:t>
            </w:r>
          </w:p>
        </w:tc>
        <w:tc>
          <w:tcPr>
            <w:tcW w:w="5811"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排插、软管、缠绕管、防水胶带等</w:t>
            </w:r>
          </w:p>
        </w:tc>
        <w:tc>
          <w:tcPr>
            <w:tcW w:w="709"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992"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134"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　</w:t>
            </w:r>
          </w:p>
        </w:tc>
      </w:tr>
    </w:tbl>
    <w:p>
      <w:pPr>
        <w:spacing w:line="360" w:lineRule="auto"/>
        <w:jc w:val="center"/>
        <w:outlineLvl w:val="0"/>
        <w:rPr>
          <w:rFonts w:hint="eastAsia" w:ascii="仿宋" w:hAnsi="仿宋" w:eastAsia="仿宋" w:cs="仿宋"/>
          <w:b/>
          <w:bCs/>
          <w:kern w:val="44"/>
          <w:sz w:val="24"/>
          <w:szCs w:val="24"/>
        </w:rPr>
      </w:pPr>
      <w:r>
        <w:rPr>
          <w:rFonts w:hint="eastAsia" w:ascii="仿宋" w:hAnsi="仿宋" w:eastAsia="仿宋" w:cs="仿宋"/>
          <w:b/>
          <w:bCs/>
          <w:kern w:val="44"/>
          <w:sz w:val="24"/>
          <w:szCs w:val="24"/>
        </w:rPr>
        <w:t>监控安装位置汇总表</w:t>
      </w:r>
    </w:p>
    <w:tbl>
      <w:tblPr>
        <w:tblStyle w:val="36"/>
        <w:tblW w:w="8931" w:type="dxa"/>
        <w:tblInd w:w="108" w:type="dxa"/>
        <w:tblLayout w:type="fixed"/>
        <w:tblCellMar>
          <w:top w:w="0" w:type="dxa"/>
          <w:left w:w="108" w:type="dxa"/>
          <w:bottom w:w="0" w:type="dxa"/>
          <w:right w:w="108" w:type="dxa"/>
        </w:tblCellMar>
      </w:tblPr>
      <w:tblGrid>
        <w:gridCol w:w="1560"/>
        <w:gridCol w:w="2551"/>
        <w:gridCol w:w="992"/>
        <w:gridCol w:w="3828"/>
      </w:tblGrid>
      <w:tr>
        <w:tblPrEx>
          <w:tblLayout w:type="fixed"/>
          <w:tblCellMar>
            <w:top w:w="0" w:type="dxa"/>
            <w:left w:w="108" w:type="dxa"/>
            <w:bottom w:w="0" w:type="dxa"/>
            <w:right w:w="108" w:type="dxa"/>
          </w:tblCellMar>
        </w:tblPrEx>
        <w:trPr>
          <w:trHeight w:val="270" w:hRule="atLeast"/>
        </w:trPr>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摄像机类型</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安装位置</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38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r>
      <w:tr>
        <w:tblPrEx>
          <w:tblLayout w:type="fixed"/>
          <w:tblCellMar>
            <w:top w:w="0" w:type="dxa"/>
            <w:left w:w="108" w:type="dxa"/>
            <w:bottom w:w="0" w:type="dxa"/>
            <w:right w:w="108" w:type="dxa"/>
          </w:tblCellMar>
        </w:tblPrEx>
        <w:trPr>
          <w:trHeight w:val="270" w:hRule="atLeast"/>
        </w:trPr>
        <w:tc>
          <w:tcPr>
            <w:tcW w:w="15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300万全景摄像机</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监室</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46</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内置拾音，每个监室一台</w:t>
            </w:r>
          </w:p>
        </w:tc>
      </w:tr>
      <w:tr>
        <w:tblPrEx>
          <w:tblLayout w:type="fixed"/>
          <w:tblCellMar>
            <w:top w:w="0" w:type="dxa"/>
            <w:left w:w="108" w:type="dxa"/>
            <w:bottom w:w="0" w:type="dxa"/>
            <w:right w:w="108" w:type="dxa"/>
          </w:tblCellMar>
        </w:tblPrEx>
        <w:trPr>
          <w:trHeight w:val="270" w:hRule="atLeast"/>
        </w:trPr>
        <w:tc>
          <w:tcPr>
            <w:tcW w:w="156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400万像素H.265 POE半球</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风场</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94</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禁闭室</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内置拾音，三个禁闭室加禁闭室走廊</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管教室</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心理咨询室</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医疗室</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家属会见</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律师会见</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外置拾音，安装高保真拾音器</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监控室</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收押大厅</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便民服务大厅</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存包室</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提审室</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监区电动大门</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内置拾音</w:t>
            </w:r>
          </w:p>
        </w:tc>
      </w:tr>
      <w:tr>
        <w:tblPrEx>
          <w:tblLayout w:type="fixed"/>
          <w:tblCellMar>
            <w:top w:w="0" w:type="dxa"/>
            <w:left w:w="108" w:type="dxa"/>
            <w:bottom w:w="0" w:type="dxa"/>
            <w:right w:w="108" w:type="dxa"/>
          </w:tblCellMar>
        </w:tblPrEx>
        <w:trPr>
          <w:trHeight w:val="270" w:hRule="atLeast"/>
        </w:trPr>
        <w:tc>
          <w:tcPr>
            <w:tcW w:w="156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400万像素枪机</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车行通道B门+提审室门</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不小于50米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车行通道A门到北二层楼南头</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不小于50米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医疗会见室门</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不小于50米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上巡视道</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不小于50米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下巡视道</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不小于50米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下巡视道走道</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不小于50米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上巡视道走道</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不小于50米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监控室上下走道</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不小于50米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监区院子</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不小于50米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铁丝网旁走道</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不小于50米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提审走道</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不小于50米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医疗走道</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不小于50米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收押大厅及电动A门</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不小于50米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律师会见及家属会见门口</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不小于50米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存包室门口与东大门内</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不小于50米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便民服务门口与大门</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不小于50米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存包室外门与东大门外</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不小于50米</w:t>
            </w:r>
          </w:p>
        </w:tc>
      </w:tr>
      <w:tr>
        <w:tblPrEx>
          <w:tblLayout w:type="fixed"/>
          <w:tblCellMar>
            <w:top w:w="0" w:type="dxa"/>
            <w:left w:w="108" w:type="dxa"/>
            <w:bottom w:w="0" w:type="dxa"/>
            <w:right w:w="108" w:type="dxa"/>
          </w:tblCellMar>
        </w:tblPrEx>
        <w:trPr>
          <w:trHeight w:val="270" w:hRule="atLeast"/>
        </w:trPr>
        <w:tc>
          <w:tcPr>
            <w:tcW w:w="156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看守所大门口</w:t>
            </w: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8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不小于50米</w:t>
            </w:r>
          </w:p>
        </w:tc>
      </w:tr>
      <w:tr>
        <w:tblPrEx>
          <w:tblLayout w:type="fixed"/>
          <w:tblCellMar>
            <w:top w:w="0" w:type="dxa"/>
            <w:left w:w="108" w:type="dxa"/>
            <w:bottom w:w="0" w:type="dxa"/>
            <w:right w:w="108" w:type="dxa"/>
          </w:tblCellMar>
        </w:tblPrEx>
        <w:trPr>
          <w:trHeight w:val="270" w:hRule="atLeast"/>
        </w:trPr>
        <w:tc>
          <w:tcPr>
            <w:tcW w:w="89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合计：310</w:t>
            </w:r>
          </w:p>
        </w:tc>
      </w:tr>
    </w:tbl>
    <w:p>
      <w:pPr>
        <w:numPr>
          <w:ilvl w:val="0"/>
          <w:numId w:val="0"/>
        </w:numPr>
        <w:spacing w:line="440" w:lineRule="exact"/>
        <w:rPr>
          <w:rFonts w:hint="eastAsia" w:ascii="仿宋" w:hAnsi="仿宋" w:eastAsia="仿宋" w:cs="仿宋"/>
          <w:b/>
          <w:bCs/>
          <w:kern w:val="44"/>
          <w:sz w:val="24"/>
          <w:szCs w:val="24"/>
        </w:rPr>
      </w:pPr>
    </w:p>
    <w:p>
      <w:pPr>
        <w:numPr>
          <w:ilvl w:val="0"/>
          <w:numId w:val="0"/>
        </w:numPr>
        <w:spacing w:line="440" w:lineRule="exact"/>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注：</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eastAsia="zh-CN"/>
        </w:rPr>
        <w:t>、投标商应确保系统与上级公安机关监管部门视频监控平台无缝对接，如不能完成无缝对接，视为验收不合格；</w:t>
      </w:r>
    </w:p>
    <w:p>
      <w:pPr>
        <w:numPr>
          <w:ilvl w:val="0"/>
          <w:numId w:val="0"/>
        </w:numPr>
        <w:spacing w:line="440" w:lineRule="exact"/>
        <w:ind w:left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本采购</w:t>
      </w:r>
      <w:r>
        <w:rPr>
          <w:rFonts w:hint="eastAsia" w:ascii="仿宋" w:hAnsi="仿宋" w:eastAsia="仿宋" w:cs="仿宋"/>
          <w:b w:val="0"/>
          <w:bCs/>
          <w:sz w:val="24"/>
          <w:szCs w:val="24"/>
          <w:lang w:eastAsia="zh-CN"/>
        </w:rPr>
        <w:t>项目</w:t>
      </w:r>
      <w:r>
        <w:rPr>
          <w:rFonts w:hint="eastAsia" w:ascii="仿宋" w:hAnsi="仿宋" w:eastAsia="仿宋" w:cs="仿宋"/>
          <w:b w:val="0"/>
          <w:bCs/>
          <w:sz w:val="24"/>
          <w:szCs w:val="24"/>
        </w:rPr>
        <w:t>为交钥匙项目，未尽事宜由投标人负责完善方案，不追加费用</w:t>
      </w:r>
      <w:r>
        <w:rPr>
          <w:rFonts w:hint="eastAsia" w:ascii="仿宋" w:hAnsi="仿宋" w:eastAsia="仿宋" w:cs="仿宋"/>
          <w:b w:val="0"/>
          <w:bCs/>
          <w:sz w:val="24"/>
          <w:szCs w:val="24"/>
          <w:lang w:eastAsia="zh-CN"/>
        </w:rPr>
        <w:t>；</w:t>
      </w:r>
    </w:p>
    <w:p>
      <w:pPr>
        <w:widowControl w:val="0"/>
        <w:numPr>
          <w:ilvl w:val="0"/>
          <w:numId w:val="0"/>
        </w:numPr>
        <w:spacing w:line="440" w:lineRule="exact"/>
        <w:ind w:left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本采购</w:t>
      </w:r>
      <w:r>
        <w:rPr>
          <w:rFonts w:hint="eastAsia" w:ascii="仿宋" w:hAnsi="仿宋" w:eastAsia="仿宋" w:cs="仿宋"/>
          <w:b w:val="0"/>
          <w:bCs/>
          <w:sz w:val="24"/>
          <w:szCs w:val="24"/>
          <w:lang w:eastAsia="zh-CN"/>
        </w:rPr>
        <w:t>项目工期</w:t>
      </w:r>
      <w:r>
        <w:rPr>
          <w:rFonts w:hint="eastAsia" w:ascii="仿宋" w:hAnsi="仿宋" w:eastAsia="仿宋" w:cs="仿宋"/>
          <w:b w:val="0"/>
          <w:bCs/>
          <w:sz w:val="24"/>
          <w:szCs w:val="24"/>
          <w:lang w:val="en-US" w:eastAsia="zh-CN"/>
        </w:rPr>
        <w:t>60日，自签订施工合同之日起60日内完成施工，每超期1日扣除合同金额的1%；</w:t>
      </w:r>
    </w:p>
    <w:p>
      <w:pPr>
        <w:widowControl w:val="0"/>
        <w:numPr>
          <w:ilvl w:val="0"/>
          <w:numId w:val="0"/>
        </w:numPr>
        <w:spacing w:line="440" w:lineRule="exact"/>
        <w:ind w:left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本采购</w:t>
      </w:r>
      <w:r>
        <w:rPr>
          <w:rFonts w:hint="eastAsia" w:ascii="仿宋" w:hAnsi="仿宋" w:eastAsia="仿宋" w:cs="仿宋"/>
          <w:b w:val="0"/>
          <w:bCs/>
          <w:sz w:val="24"/>
          <w:szCs w:val="24"/>
          <w:lang w:eastAsia="zh-CN"/>
        </w:rPr>
        <w:t>项目质保期为</w:t>
      </w:r>
      <w:r>
        <w:rPr>
          <w:rFonts w:hint="eastAsia" w:ascii="仿宋" w:hAnsi="仿宋" w:eastAsia="仿宋" w:cs="仿宋"/>
          <w:b w:val="0"/>
          <w:bCs/>
          <w:sz w:val="24"/>
          <w:szCs w:val="24"/>
          <w:lang w:val="en-US" w:eastAsia="zh-CN"/>
        </w:rPr>
        <w:t>3年，质保期内，投标商应确保系统正常运行，系统正常运行维护费用由中标供应商负担，监控前端运行完好率要达到95%以上，</w:t>
      </w:r>
      <w:r>
        <w:rPr>
          <w:rFonts w:hint="eastAsia" w:ascii="仿宋" w:hAnsi="仿宋" w:eastAsia="仿宋" w:cs="仿宋"/>
          <w:kern w:val="0"/>
          <w:sz w:val="24"/>
          <w:szCs w:val="24"/>
        </w:rPr>
        <w:t>前后端设备、线路传输、电源等一概故障均要在24小时内处理完毕</w:t>
      </w:r>
      <w:r>
        <w:rPr>
          <w:rFonts w:hint="eastAsia" w:ascii="仿宋" w:hAnsi="仿宋" w:eastAsia="仿宋" w:cs="仿宋"/>
          <w:kern w:val="0"/>
          <w:sz w:val="24"/>
          <w:szCs w:val="24"/>
          <w:lang w:eastAsia="zh-CN"/>
        </w:rPr>
        <w:t>，质保期内</w:t>
      </w:r>
      <w:r>
        <w:rPr>
          <w:rFonts w:hint="eastAsia" w:ascii="仿宋" w:hAnsi="仿宋" w:eastAsia="仿宋" w:cs="仿宋"/>
          <w:b w:val="0"/>
          <w:bCs/>
          <w:sz w:val="24"/>
          <w:szCs w:val="24"/>
          <w:lang w:val="en-US" w:eastAsia="zh-CN"/>
        </w:rPr>
        <w:t>免费系统升级；</w:t>
      </w:r>
    </w:p>
    <w:p>
      <w:pPr>
        <w:widowControl w:val="0"/>
        <w:numPr>
          <w:ilvl w:val="0"/>
          <w:numId w:val="0"/>
        </w:numPr>
        <w:spacing w:line="440" w:lineRule="exact"/>
        <w:ind w:leftChars="200"/>
        <w:jc w:val="both"/>
        <w:rPr>
          <w:rFonts w:hint="eastAsia" w:ascii="仿宋" w:hAnsi="仿宋" w:eastAsia="仿宋" w:cs="Arial Unicode MS"/>
          <w:position w:val="-4"/>
          <w:sz w:val="24"/>
          <w:lang w:val="en-US" w:eastAsia="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供应商应确保视频图像监控正常运行和信息安全，同时不得以任何理由和方式将视频图像监控的有关图像、资料和信息向第三方公开，不得将视频图像传输网络（线路）以任何理由和方式接入其他网络。由于维保服务责任单位和相关人员原因发生失密泄密的，公安机关保留追究维保责任单位和个人法律责任的权利。</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lang w:eastAsia="zh-CN"/>
        </w:rPr>
        <w:t>六</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w:t>
      </w:r>
      <w:r>
        <w:rPr>
          <w:rFonts w:hint="eastAsia" w:ascii="仿宋" w:hAnsi="仿宋" w:eastAsia="仿宋" w:cs="仿宋"/>
          <w:sz w:val="24"/>
          <w:szCs w:val="24"/>
          <w:lang w:eastAsia="zh-CN"/>
        </w:rPr>
        <w:t>供货时须</w:t>
      </w:r>
      <w:r>
        <w:rPr>
          <w:rFonts w:hint="eastAsia" w:ascii="仿宋" w:hAnsi="仿宋" w:eastAsia="仿宋" w:cs="仿宋"/>
          <w:sz w:val="24"/>
          <w:szCs w:val="24"/>
        </w:rPr>
        <w:t>提供随货物《产品合格证》</w:t>
      </w:r>
      <w:r>
        <w:rPr>
          <w:rFonts w:hint="eastAsia" w:ascii="仿宋" w:hAnsi="仿宋" w:eastAsia="仿宋" w:cs="仿宋"/>
          <w:sz w:val="24"/>
          <w:szCs w:val="24"/>
          <w:lang w:val="en-US"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b/>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widowControl w:val="0"/>
        <w:numPr>
          <w:ilvl w:val="0"/>
          <w:numId w:val="0"/>
        </w:numPr>
        <w:spacing w:line="440" w:lineRule="exact"/>
        <w:ind w:firstLine="480" w:firstLineChars="200"/>
        <w:jc w:val="both"/>
        <w:rPr>
          <w:rFonts w:hint="eastAsia" w:ascii="仿宋" w:hAnsi="仿宋" w:eastAsia="仿宋" w:cs="Arial Unicode MS"/>
          <w:position w:val="-4"/>
          <w:sz w:val="24"/>
          <w:lang w:val="en-US" w:eastAsia="zh-CN"/>
        </w:rPr>
      </w:pPr>
      <w:r>
        <w:rPr>
          <w:rFonts w:hint="eastAsia" w:ascii="仿宋" w:hAnsi="仿宋" w:eastAsia="仿宋" w:cs="仿宋"/>
          <w:b w:val="0"/>
          <w:bCs/>
          <w:sz w:val="24"/>
          <w:szCs w:val="24"/>
          <w:lang w:val="en-US" w:eastAsia="zh-CN"/>
        </w:rPr>
        <w:t>12、付款方式：系统建设建设完成经验收合格后付90%，剩余10%质保期满后一次性支付。</w:t>
      </w:r>
    </w:p>
    <w:p>
      <w:pPr>
        <w:spacing w:line="520" w:lineRule="exact"/>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p>
      <w:pPr>
        <w:spacing w:line="360" w:lineRule="auto"/>
        <w:ind w:firstLine="4320" w:firstLineChars="1800"/>
        <w:rPr>
          <w:rFonts w:hint="eastAsia" w:ascii="仿宋" w:hAnsi="仿宋" w:eastAsia="仿宋" w:cs="仿宋"/>
          <w:sz w:val="24"/>
          <w:szCs w:val="24"/>
          <w:lang w:eastAsia="zh-CN"/>
        </w:rPr>
      </w:pPr>
      <w:r>
        <w:rPr>
          <w:rFonts w:hint="eastAsia" w:ascii="仿宋" w:hAnsi="仿宋" w:eastAsia="仿宋" w:cs="仿宋"/>
          <w:sz w:val="24"/>
          <w:szCs w:val="24"/>
          <w:lang w:eastAsia="zh-CN"/>
        </w:rPr>
        <w:t>评分标准</w:t>
      </w:r>
    </w:p>
    <w:tbl>
      <w:tblPr>
        <w:tblStyle w:val="36"/>
        <w:tblW w:w="9573"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00"/>
        <w:gridCol w:w="1019"/>
        <w:gridCol w:w="155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636" w:hRule="atLeast"/>
        </w:trPr>
        <w:tc>
          <w:tcPr>
            <w:tcW w:w="900" w:type="dxa"/>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序号</w:t>
            </w:r>
          </w:p>
        </w:tc>
        <w:tc>
          <w:tcPr>
            <w:tcW w:w="2578" w:type="dxa"/>
            <w:gridSpan w:val="2"/>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b/>
                <w:sz w:val="24"/>
                <w:szCs w:val="24"/>
              </w:rPr>
              <w:t>评审内容</w:t>
            </w:r>
          </w:p>
        </w:tc>
        <w:tc>
          <w:tcPr>
            <w:tcW w:w="6095"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758" w:hRule="atLeast"/>
        </w:trPr>
        <w:tc>
          <w:tcPr>
            <w:tcW w:w="900" w:type="dxa"/>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3.5.1</w:t>
            </w:r>
          </w:p>
        </w:tc>
        <w:tc>
          <w:tcPr>
            <w:tcW w:w="2578" w:type="dxa"/>
            <w:gridSpan w:val="2"/>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          分值组成</w:t>
            </w:r>
          </w:p>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       （总分100分）</w:t>
            </w:r>
          </w:p>
        </w:tc>
        <w:tc>
          <w:tcPr>
            <w:tcW w:w="6095" w:type="dxa"/>
            <w:vAlign w:val="bottom"/>
          </w:tcPr>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报价得分：50分</w:t>
            </w:r>
          </w:p>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商务技术评分：50分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43" w:hRule="atLeast"/>
        </w:trPr>
        <w:tc>
          <w:tcPr>
            <w:tcW w:w="900" w:type="dxa"/>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3.5.2</w:t>
            </w:r>
          </w:p>
        </w:tc>
        <w:tc>
          <w:tcPr>
            <w:tcW w:w="2578" w:type="dxa"/>
            <w:gridSpan w:val="2"/>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评标基准价</w:t>
            </w:r>
          </w:p>
        </w:tc>
        <w:tc>
          <w:tcPr>
            <w:tcW w:w="6095" w:type="dxa"/>
            <w:vAlign w:val="center"/>
          </w:tcPr>
          <w:p>
            <w:pPr>
              <w:keepNext w:val="0"/>
              <w:keepLines w:val="0"/>
              <w:suppressLineNumbers w:val="0"/>
              <w:spacing w:before="0" w:beforeAutospacing="0" w:after="0" w:afterAutospacing="0" w:line="360" w:lineRule="auto"/>
              <w:ind w:left="0" w:right="0" w:firstLine="72" w:firstLineChars="30"/>
              <w:jc w:val="left"/>
              <w:rPr>
                <w:rFonts w:hint="eastAsia" w:ascii="仿宋" w:hAnsi="仿宋" w:eastAsia="仿宋" w:cs="仿宋"/>
                <w:color w:val="FF0000"/>
                <w:sz w:val="24"/>
                <w:szCs w:val="24"/>
              </w:rPr>
            </w:pPr>
            <w:r>
              <w:rPr>
                <w:rFonts w:hint="eastAsia" w:ascii="仿宋" w:hAnsi="仿宋" w:eastAsia="仿宋" w:cs="仿宋"/>
                <w:sz w:val="24"/>
                <w:szCs w:val="24"/>
              </w:rPr>
              <w:t>评标基准价指满足招标文件要求且投标价格最低的投标报价为评标基准价。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412" w:hRule="atLeast"/>
        </w:trPr>
        <w:tc>
          <w:tcPr>
            <w:tcW w:w="900" w:type="dxa"/>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3.5.3</w:t>
            </w:r>
          </w:p>
        </w:tc>
        <w:tc>
          <w:tcPr>
            <w:tcW w:w="2578" w:type="dxa"/>
            <w:gridSpan w:val="2"/>
            <w:vAlign w:val="center"/>
          </w:tcPr>
          <w:p>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投标报价得分</w:t>
            </w:r>
          </w:p>
          <w:p>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（50分）</w:t>
            </w:r>
          </w:p>
        </w:tc>
        <w:tc>
          <w:tcPr>
            <w:tcW w:w="6095" w:type="dxa"/>
            <w:vAlign w:val="center"/>
          </w:tcPr>
          <w:p>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sz w:val="24"/>
                <w:szCs w:val="24"/>
              </w:rPr>
            </w:pPr>
            <w:r>
              <w:rPr>
                <w:rFonts w:hint="eastAsia" w:ascii="仿宋" w:hAnsi="仿宋" w:eastAsia="仿宋" w:cs="仿宋"/>
                <w:sz w:val="24"/>
                <w:szCs w:val="24"/>
              </w:rPr>
              <w:t>价格得分=（评标基准价/投标报价）×50</w:t>
            </w:r>
          </w:p>
          <w:p>
            <w:pPr>
              <w:keepNext w:val="0"/>
              <w:keepLines w:val="0"/>
              <w:suppressLineNumbers w:val="0"/>
              <w:spacing w:before="0" w:beforeAutospacing="0" w:after="0" w:afterAutospacing="0" w:line="360" w:lineRule="auto"/>
              <w:ind w:left="0" w:right="0"/>
              <w:rPr>
                <w:rFonts w:hint="eastAsia" w:ascii="仿宋" w:hAnsi="仿宋" w:eastAsia="仿宋" w:cs="仿宋"/>
                <w:color w:val="FF0000"/>
                <w:sz w:val="24"/>
                <w:szCs w:val="24"/>
              </w:rPr>
            </w:pPr>
            <w:r>
              <w:rPr>
                <w:rFonts w:hint="eastAsia" w:ascii="仿宋" w:hAnsi="仿宋" w:eastAsia="仿宋" w:cs="仿宋"/>
                <w:sz w:val="24"/>
                <w:szCs w:val="24"/>
              </w:rPr>
              <w:t>《中华人民共和国财政部令第87号》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eastAsia="仿宋" w:cs="仿宋"/>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784" w:hRule="atLeast"/>
        </w:trPr>
        <w:tc>
          <w:tcPr>
            <w:tcW w:w="900" w:type="dxa"/>
            <w:vMerge w:val="restart"/>
            <w:tcBorders>
              <w:right w:val="single" w:color="auto" w:sz="4" w:space="0"/>
            </w:tcBorders>
            <w:vAlign w:val="center"/>
          </w:tcPr>
          <w:p>
            <w:pPr>
              <w:pStyle w:val="19"/>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3.5.4</w:t>
            </w:r>
          </w:p>
        </w:tc>
        <w:tc>
          <w:tcPr>
            <w:tcW w:w="1019" w:type="dxa"/>
            <w:vMerge w:val="restart"/>
            <w:tcBorders>
              <w:left w:val="single" w:color="auto" w:sz="4" w:space="0"/>
              <w:right w:val="single" w:color="auto" w:sz="4" w:space="0"/>
            </w:tcBorders>
            <w:vAlign w:val="center"/>
          </w:tcPr>
          <w:p>
            <w:pPr>
              <w:pStyle w:val="19"/>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商</w:t>
            </w:r>
          </w:p>
          <w:p>
            <w:pPr>
              <w:pStyle w:val="19"/>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务</w:t>
            </w:r>
          </w:p>
          <w:p>
            <w:pPr>
              <w:pStyle w:val="19"/>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部</w:t>
            </w:r>
          </w:p>
          <w:p>
            <w:pPr>
              <w:pStyle w:val="19"/>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分</w:t>
            </w:r>
          </w:p>
          <w:p>
            <w:pPr>
              <w:pStyle w:val="19"/>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（40分）</w:t>
            </w:r>
          </w:p>
        </w:tc>
        <w:tc>
          <w:tcPr>
            <w:tcW w:w="1559"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企业综合实力</w:t>
            </w:r>
          </w:p>
          <w:p>
            <w:pPr>
              <w:keepNext w:val="0"/>
              <w:keepLines w:val="0"/>
              <w:suppressLineNumbers w:val="0"/>
              <w:spacing w:before="0" w:beforeAutospacing="0" w:after="0" w:afterAutospacing="0" w:line="360" w:lineRule="auto"/>
              <w:ind w:left="0" w:right="0" w:firstLine="72" w:firstLineChars="30"/>
              <w:jc w:val="center"/>
              <w:rPr>
                <w:rFonts w:hint="eastAsia" w:ascii="仿宋" w:hAnsi="仿宋" w:eastAsia="仿宋" w:cs="仿宋"/>
                <w:sz w:val="24"/>
                <w:szCs w:val="24"/>
              </w:rPr>
            </w:pPr>
            <w:r>
              <w:rPr>
                <w:rFonts w:hint="eastAsia" w:ascii="仿宋" w:hAnsi="仿宋" w:eastAsia="仿宋" w:cs="仿宋"/>
                <w:color w:val="000000"/>
                <w:sz w:val="24"/>
                <w:szCs w:val="24"/>
              </w:rPr>
              <w:t>及项目班子配备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（5分）</w:t>
            </w:r>
          </w:p>
        </w:tc>
        <w:tc>
          <w:tcPr>
            <w:tcW w:w="6095" w:type="dxa"/>
            <w:tcBorders>
              <w:left w:val="single" w:color="auto" w:sz="4" w:space="0"/>
            </w:tcBorders>
            <w:vAlign w:val="center"/>
          </w:tcPr>
          <w:p>
            <w:pPr>
              <w:keepNext w:val="0"/>
              <w:keepLines w:val="0"/>
              <w:suppressLineNumbers w:val="0"/>
              <w:spacing w:before="0" w:beforeAutospacing="0" w:after="0" w:afterAutospacing="0" w:line="360" w:lineRule="auto"/>
              <w:ind w:left="0" w:right="0" w:firstLine="72" w:firstLineChars="30"/>
              <w:jc w:val="left"/>
              <w:rPr>
                <w:rFonts w:hint="eastAsia" w:ascii="仿宋" w:hAnsi="仿宋" w:eastAsia="仿宋" w:cs="仿宋"/>
                <w:kern w:val="0"/>
                <w:sz w:val="24"/>
                <w:szCs w:val="24"/>
              </w:rPr>
            </w:pPr>
            <w:r>
              <w:rPr>
                <w:rFonts w:hint="eastAsia" w:ascii="仿宋" w:hAnsi="仿宋" w:eastAsia="仿宋" w:cs="仿宋"/>
                <w:kern w:val="0"/>
                <w:sz w:val="24"/>
                <w:szCs w:val="24"/>
              </w:rPr>
              <w:t>1、投标人须提供工商企业信用信息公示报告【国家企业信用信息公示系统http://www.gsxt.gov.cn包括基础信息、行政许可信息、行政处罚信息、列入经营异常名录信息、列入严重违法失信企业名单（黑名单）信息】（加盖投标人公章），提供完整且无不良信息者得1分；提供企业所在地税务主管部门出具的纳税情况证明等信用情况（加盖企业所在地税务主管部门公章）的得1分，该项满分2分。</w:t>
            </w:r>
          </w:p>
          <w:p>
            <w:pPr>
              <w:keepNext w:val="0"/>
              <w:keepLines w:val="0"/>
              <w:suppressLineNumbers w:val="0"/>
              <w:spacing w:before="0" w:beforeAutospacing="0" w:after="0" w:afterAutospacing="0" w:line="360" w:lineRule="auto"/>
              <w:ind w:left="0" w:right="0" w:firstLine="72" w:firstLineChars="3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2、投标人具有质量管理体系、信息安全管理体系、信息技术服务管理体系证书的得2分； </w:t>
            </w:r>
          </w:p>
          <w:p>
            <w:pPr>
              <w:keepNext w:val="0"/>
              <w:keepLines w:val="0"/>
              <w:suppressLineNumbers w:val="0"/>
              <w:spacing w:before="0" w:beforeAutospacing="0" w:after="0" w:afterAutospacing="0" w:line="360" w:lineRule="auto"/>
              <w:ind w:left="0" w:right="0" w:firstLine="72" w:firstLineChars="30"/>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3、投标人具有中国信息安全认证中心颁发的信息安全服务资质认证证书三级及以上资质的得1分；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322" w:hRule="atLeast"/>
        </w:trPr>
        <w:tc>
          <w:tcPr>
            <w:tcW w:w="900" w:type="dxa"/>
            <w:vMerge w:val="continue"/>
            <w:tcBorders>
              <w:right w:val="single" w:color="auto" w:sz="4" w:space="0"/>
            </w:tcBorders>
            <w:vAlign w:val="center"/>
          </w:tcPr>
          <w:p>
            <w:pPr>
              <w:pStyle w:val="19"/>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019" w:type="dxa"/>
            <w:vMerge w:val="continue"/>
            <w:tcBorders>
              <w:left w:val="single" w:color="auto" w:sz="4" w:space="0"/>
              <w:right w:val="single" w:color="auto" w:sz="4" w:space="0"/>
            </w:tcBorders>
            <w:vAlign w:val="center"/>
          </w:tcPr>
          <w:p>
            <w:pPr>
              <w:pStyle w:val="19"/>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559"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kern w:val="0"/>
                <w:sz w:val="24"/>
                <w:szCs w:val="24"/>
              </w:rPr>
              <w:t>主要设备、材料的质量和性能</w:t>
            </w:r>
            <w:r>
              <w:rPr>
                <w:rFonts w:hint="eastAsia" w:ascii="仿宋" w:hAnsi="仿宋" w:eastAsia="仿宋" w:cs="仿宋"/>
                <w:sz w:val="24"/>
                <w:szCs w:val="24"/>
              </w:rPr>
              <w:t>（30分）</w:t>
            </w:r>
          </w:p>
        </w:tc>
        <w:tc>
          <w:tcPr>
            <w:tcW w:w="6095"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1、主要设备同一品牌，含摄像机、编解码设备、服务器、监控平台、存储设备为同一品牌，得4分，否则不得分。</w:t>
            </w:r>
          </w:p>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2、主要产品设备制造商应通过ISO9001质量管理体系认证、ISO14001环境管理体系认证、ISO27001信息安全管理体系认证，提供有效的证书复印件并加盖产品制造商公章，全部提供得6分，否则不得分；</w:t>
            </w:r>
          </w:p>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3、设备技术参数（20分）</w:t>
            </w:r>
          </w:p>
          <w:p>
            <w:pPr>
              <w:keepNext w:val="0"/>
              <w:keepLines w:val="0"/>
              <w:suppressLineNumbers w:val="0"/>
              <w:spacing w:before="0" w:beforeAutospacing="0" w:after="0" w:afterAutospacing="0" w:line="360" w:lineRule="auto"/>
              <w:ind w:left="0" w:right="0" w:firstLine="240" w:firstLineChars="100"/>
              <w:rPr>
                <w:rFonts w:hint="eastAsia" w:ascii="仿宋" w:hAnsi="仿宋" w:eastAsia="仿宋" w:cs="仿宋"/>
                <w:sz w:val="24"/>
                <w:szCs w:val="24"/>
              </w:rPr>
            </w:pPr>
            <w:r>
              <w:rPr>
                <w:rFonts w:hint="eastAsia" w:ascii="仿宋" w:hAnsi="仿宋" w:eastAsia="仿宋" w:cs="仿宋"/>
                <w:sz w:val="24"/>
                <w:szCs w:val="24"/>
              </w:rPr>
              <w:t>投标人所提供货物必须为“无偏离或正偏离”，其中加★项需提供公安部型检报告复印件，评委根据加★项参数正楄离情况在0-20内加分（以提供的检测报告为准，每优于1项加1分，最高加20分）。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854" w:hRule="atLeast"/>
        </w:trPr>
        <w:tc>
          <w:tcPr>
            <w:tcW w:w="900" w:type="dxa"/>
            <w:vMerge w:val="continue"/>
            <w:tcBorders>
              <w:right w:val="single" w:color="auto" w:sz="4" w:space="0"/>
            </w:tcBorders>
            <w:vAlign w:val="center"/>
          </w:tcPr>
          <w:p>
            <w:pPr>
              <w:pStyle w:val="19"/>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019" w:type="dxa"/>
            <w:vMerge w:val="continue"/>
            <w:tcBorders>
              <w:left w:val="single" w:color="auto" w:sz="4" w:space="0"/>
              <w:right w:val="single" w:color="auto" w:sz="4" w:space="0"/>
            </w:tcBorders>
            <w:vAlign w:val="center"/>
          </w:tcPr>
          <w:p>
            <w:pPr>
              <w:pStyle w:val="19"/>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559"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72" w:firstLineChars="30"/>
              <w:jc w:val="center"/>
              <w:rPr>
                <w:rFonts w:hint="eastAsia" w:ascii="仿宋" w:hAnsi="仿宋" w:eastAsia="仿宋" w:cs="仿宋"/>
                <w:sz w:val="24"/>
                <w:szCs w:val="24"/>
              </w:rPr>
            </w:pPr>
            <w:r>
              <w:rPr>
                <w:rFonts w:hint="eastAsia" w:ascii="仿宋" w:hAnsi="仿宋" w:eastAsia="仿宋" w:cs="仿宋"/>
                <w:sz w:val="24"/>
                <w:szCs w:val="24"/>
              </w:rPr>
              <w:t>售后服务</w:t>
            </w:r>
          </w:p>
          <w:p>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4"/>
                <w:szCs w:val="24"/>
              </w:rPr>
            </w:pPr>
            <w:r>
              <w:rPr>
                <w:rFonts w:hint="eastAsia" w:ascii="仿宋" w:hAnsi="仿宋" w:eastAsia="仿宋" w:cs="仿宋"/>
                <w:sz w:val="24"/>
                <w:szCs w:val="24"/>
              </w:rPr>
              <w:t>（5分）</w:t>
            </w:r>
          </w:p>
        </w:tc>
        <w:tc>
          <w:tcPr>
            <w:tcW w:w="6095" w:type="dxa"/>
            <w:tcBorders>
              <w:lef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1、售后服务（0-2分） </w:t>
            </w:r>
          </w:p>
          <w:p>
            <w:pPr>
              <w:keepNext w:val="0"/>
              <w:keepLines w:val="0"/>
              <w:suppressLineNumbers w:val="0"/>
              <w:autoSpaceDE w:val="0"/>
              <w:autoSpaceDN w:val="0"/>
              <w:spacing w:before="0" w:beforeAutospacing="0" w:after="0" w:afterAutospacing="0" w:line="360" w:lineRule="auto"/>
              <w:ind w:left="0" w:right="0" w:firstLine="240" w:firstLineChars="100"/>
              <w:rPr>
                <w:rFonts w:hint="eastAsia" w:ascii="仿宋" w:hAnsi="仿宋" w:eastAsia="仿宋" w:cs="仿宋"/>
                <w:sz w:val="24"/>
                <w:szCs w:val="24"/>
              </w:rPr>
            </w:pPr>
            <w:r>
              <w:rPr>
                <w:rFonts w:hint="eastAsia" w:ascii="仿宋" w:hAnsi="仿宋" w:eastAsia="仿宋" w:cs="仿宋"/>
                <w:sz w:val="24"/>
                <w:szCs w:val="24"/>
              </w:rPr>
              <w:t>根据技术培训内容、形式、时间安排的合理性以及投标人在方案中阐述的售后服务情况，在1-2分范围内酌情打分。</w:t>
            </w:r>
          </w:p>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2、售后响应时间（0-2分）</w:t>
            </w:r>
          </w:p>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  售后服务上门响应时间以小时为单位，以6小时为起点，基本分0.5分，每减少1小时，加0.5分，最多加2分，6小时以上的不得分。</w:t>
            </w:r>
          </w:p>
          <w:p>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r>
              <w:rPr>
                <w:rFonts w:hint="eastAsia" w:ascii="仿宋" w:hAnsi="仿宋" w:eastAsia="仿宋" w:cs="仿宋"/>
                <w:color w:val="000000"/>
                <w:sz w:val="24"/>
                <w:szCs w:val="24"/>
              </w:rPr>
              <w:t>服务承诺（0-1分）</w:t>
            </w:r>
          </w:p>
          <w:p>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评标委员会根据响应情况进行横向比较得分。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restart"/>
            <w:vAlign w:val="center"/>
          </w:tcPr>
          <w:p>
            <w:pPr>
              <w:pStyle w:val="19"/>
              <w:keepNext w:val="0"/>
              <w:keepLines w:val="0"/>
              <w:suppressLineNumbers w:val="0"/>
              <w:spacing w:before="0" w:beforeAutospacing="0" w:after="0" w:afterAutospacing="0" w:line="360" w:lineRule="auto"/>
              <w:ind w:left="0" w:right="0" w:firstLine="459"/>
              <w:rPr>
                <w:rFonts w:hint="eastAsia" w:ascii="仿宋" w:hAnsi="仿宋" w:eastAsia="仿宋" w:cs="仿宋"/>
                <w:sz w:val="24"/>
                <w:szCs w:val="24"/>
              </w:rPr>
            </w:pPr>
            <w:r>
              <w:rPr>
                <w:rFonts w:hint="eastAsia" w:ascii="仿宋" w:hAnsi="仿宋" w:eastAsia="仿宋" w:cs="仿宋"/>
                <w:sz w:val="24"/>
                <w:szCs w:val="24"/>
              </w:rPr>
              <w:t xml:space="preserve"> 3.5.5</w:t>
            </w:r>
          </w:p>
          <w:p>
            <w:pPr>
              <w:pStyle w:val="19"/>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c>
          <w:tcPr>
            <w:tcW w:w="1019" w:type="dxa"/>
            <w:vMerge w:val="restart"/>
            <w:vAlign w:val="center"/>
          </w:tcPr>
          <w:p>
            <w:pPr>
              <w:pStyle w:val="19"/>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技</w:t>
            </w:r>
          </w:p>
          <w:p>
            <w:pPr>
              <w:pStyle w:val="19"/>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术</w:t>
            </w:r>
          </w:p>
          <w:p>
            <w:pPr>
              <w:pStyle w:val="19"/>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部</w:t>
            </w:r>
          </w:p>
          <w:p>
            <w:pPr>
              <w:pStyle w:val="19"/>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分</w:t>
            </w:r>
          </w:p>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sz w:val="24"/>
                <w:szCs w:val="24"/>
              </w:rPr>
              <w:t>（10分）</w:t>
            </w:r>
          </w:p>
        </w:tc>
        <w:tc>
          <w:tcPr>
            <w:tcW w:w="155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项目实施方案</w:t>
            </w:r>
          </w:p>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（3分）</w:t>
            </w:r>
          </w:p>
        </w:tc>
        <w:tc>
          <w:tcPr>
            <w:tcW w:w="6095" w:type="dxa"/>
            <w:vAlign w:val="center"/>
          </w:tcPr>
          <w:p>
            <w:pPr>
              <w:keepNext w:val="0"/>
              <w:keepLines w:val="0"/>
              <w:widowControl/>
              <w:suppressLineNumbers w:val="0"/>
              <w:adjustRightIn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（1）设备供货、安装、调试方案（0-1分）</w:t>
            </w:r>
          </w:p>
          <w:p>
            <w:pPr>
              <w:keepNext w:val="0"/>
              <w:keepLines w:val="0"/>
              <w:widowControl/>
              <w:suppressLineNumbers w:val="0"/>
              <w:adjustRightIn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（2）伴随服务（0-1分）</w:t>
            </w:r>
          </w:p>
          <w:p>
            <w:pPr>
              <w:keepNext w:val="0"/>
              <w:keepLines w:val="0"/>
              <w:widowControl/>
              <w:suppressLineNumbers w:val="0"/>
              <w:adjustRightIn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（3）成品保护措施（0-1分）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11" w:hRule="atLeast"/>
        </w:trPr>
        <w:tc>
          <w:tcPr>
            <w:tcW w:w="900" w:type="dxa"/>
            <w:vMerge w:val="continue"/>
            <w:vAlign w:val="center"/>
          </w:tcPr>
          <w:p>
            <w:pPr>
              <w:pStyle w:val="19"/>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019"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559" w:type="dxa"/>
            <w:vAlign w:val="center"/>
          </w:tcPr>
          <w:p>
            <w:pPr>
              <w:keepNext w:val="0"/>
              <w:keepLines w:val="0"/>
              <w:suppressLineNumbers w:val="0"/>
              <w:spacing w:before="0" w:beforeAutospacing="0" w:after="0" w:afterAutospacing="0"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z w:val="24"/>
                <w:szCs w:val="24"/>
              </w:rPr>
              <w:t>供货安装质量保证措施</w:t>
            </w:r>
            <w:r>
              <w:rPr>
                <w:rFonts w:hint="eastAsia" w:ascii="仿宋" w:hAnsi="仿宋" w:eastAsia="仿宋" w:cs="仿宋"/>
                <w:kern w:val="0"/>
                <w:sz w:val="24"/>
                <w:szCs w:val="24"/>
              </w:rPr>
              <w:t>（1分）</w:t>
            </w:r>
          </w:p>
        </w:tc>
        <w:tc>
          <w:tcPr>
            <w:tcW w:w="6095" w:type="dxa"/>
            <w:vAlign w:val="center"/>
          </w:tcPr>
          <w:p>
            <w:pPr>
              <w:pStyle w:val="19"/>
              <w:keepNext w:val="0"/>
              <w:keepLines w:val="0"/>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供货及安装质量保证措施可行的得0-1分，没有的不得分。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19"/>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019" w:type="dxa"/>
            <w:vMerge w:val="continue"/>
            <w:vAlign w:val="center"/>
          </w:tcPr>
          <w:p>
            <w:pPr>
              <w:pStyle w:val="19"/>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559" w:type="dxa"/>
            <w:vAlign w:val="center"/>
          </w:tcPr>
          <w:p>
            <w:pPr>
              <w:keepNext w:val="0"/>
              <w:keepLines w:val="0"/>
              <w:suppressLineNumbers w:val="0"/>
              <w:spacing w:before="0" w:beforeAutospacing="0" w:after="0" w:afterAutospacing="0" w:line="360" w:lineRule="auto"/>
              <w:ind w:left="0" w:right="0"/>
              <w:jc w:val="center"/>
              <w:textAlignment w:val="baseline"/>
              <w:rPr>
                <w:rFonts w:hint="eastAsia" w:ascii="仿宋" w:hAnsi="仿宋" w:eastAsia="仿宋" w:cs="仿宋"/>
                <w:sz w:val="24"/>
                <w:szCs w:val="24"/>
              </w:rPr>
            </w:pPr>
            <w:r>
              <w:rPr>
                <w:rFonts w:hint="eastAsia" w:ascii="仿宋" w:hAnsi="仿宋" w:eastAsia="仿宋" w:cs="仿宋"/>
                <w:sz w:val="24"/>
                <w:szCs w:val="24"/>
              </w:rPr>
              <w:t>供货及安装进度保证措施</w:t>
            </w:r>
            <w:r>
              <w:rPr>
                <w:rFonts w:hint="eastAsia" w:ascii="仿宋" w:hAnsi="仿宋" w:eastAsia="仿宋" w:cs="仿宋"/>
                <w:kern w:val="0"/>
                <w:sz w:val="24"/>
                <w:szCs w:val="24"/>
              </w:rPr>
              <w:t>（2分）</w:t>
            </w:r>
          </w:p>
        </w:tc>
        <w:tc>
          <w:tcPr>
            <w:tcW w:w="6095" w:type="dxa"/>
            <w:vAlign w:val="center"/>
          </w:tcPr>
          <w:p>
            <w:pPr>
              <w:pStyle w:val="19"/>
              <w:keepNext w:val="0"/>
              <w:keepLines w:val="0"/>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主要设备15日内全部到位得2分，30日内到位得1分，否则不得分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19"/>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019" w:type="dxa"/>
            <w:vMerge w:val="continue"/>
            <w:vAlign w:val="center"/>
          </w:tcPr>
          <w:p>
            <w:pPr>
              <w:pStyle w:val="19"/>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559" w:type="dxa"/>
            <w:vAlign w:val="center"/>
          </w:tcPr>
          <w:p>
            <w:pPr>
              <w:keepNext w:val="0"/>
              <w:keepLines w:val="0"/>
              <w:suppressLineNumbers w:val="0"/>
              <w:spacing w:before="0" w:beforeAutospacing="0" w:after="0" w:afterAutospacing="0" w:line="360" w:lineRule="auto"/>
              <w:ind w:left="0" w:right="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后续服务的安排及保证措施（2分）</w:t>
            </w:r>
          </w:p>
        </w:tc>
        <w:tc>
          <w:tcPr>
            <w:tcW w:w="6095" w:type="dxa"/>
            <w:vAlign w:val="center"/>
          </w:tcPr>
          <w:p>
            <w:pPr>
              <w:pStyle w:val="19"/>
              <w:keepNext w:val="0"/>
              <w:keepLines w:val="0"/>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kern w:val="0"/>
                <w:sz w:val="24"/>
                <w:szCs w:val="24"/>
              </w:rPr>
              <w:t>有后续服务的安排及保证措施得在0-2分范围内酌情打分，没有的不得分。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19"/>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019" w:type="dxa"/>
            <w:vMerge w:val="continue"/>
            <w:vAlign w:val="center"/>
          </w:tcPr>
          <w:p>
            <w:pPr>
              <w:pStyle w:val="19"/>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559" w:type="dxa"/>
            <w:vAlign w:val="center"/>
          </w:tcPr>
          <w:p>
            <w:pPr>
              <w:keepNext w:val="0"/>
              <w:keepLines w:val="0"/>
              <w:suppressLineNumbers w:val="0"/>
              <w:spacing w:before="0" w:beforeAutospacing="0" w:after="0" w:afterAutospacing="0" w:line="360" w:lineRule="auto"/>
              <w:ind w:left="0" w:right="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技术培训计划（2分）</w:t>
            </w:r>
          </w:p>
        </w:tc>
        <w:tc>
          <w:tcPr>
            <w:tcW w:w="6095" w:type="dxa"/>
            <w:vAlign w:val="center"/>
          </w:tcPr>
          <w:p>
            <w:pPr>
              <w:pStyle w:val="19"/>
              <w:keepNext w:val="0"/>
              <w:keepLines w:val="0"/>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kern w:val="0"/>
                <w:sz w:val="24"/>
                <w:szCs w:val="24"/>
              </w:rPr>
              <w:t>根据技术培训内容、形式、时间安排的合理性在0-2分范围内酌情打分，没有的不得分。</w:t>
            </w:r>
          </w:p>
        </w:tc>
      </w:tr>
    </w:tbl>
    <w:p>
      <w:pPr>
        <w:pStyle w:val="125"/>
        <w:spacing w:before="120" w:after="120"/>
        <w:ind w:left="0" w:leftChars="0" w:firstLine="0" w:firstLineChars="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bookmarkStart w:id="1" w:name="_GoBack"/>
      <w:bookmarkEnd w:id="1"/>
      <w:r>
        <w:rPr>
          <w:rFonts w:hint="eastAsia" w:ascii="仿宋" w:hAnsi="仿宋" w:eastAsia="仿宋" w:cs="仿宋"/>
          <w:b/>
          <w:bCs/>
          <w:sz w:val="24"/>
          <w:szCs w:val="24"/>
          <w:lang w:eastAsia="zh-CN"/>
        </w:rPr>
        <w:t>）</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8"/>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8"/>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8"/>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8"/>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8"/>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numPr>
          <w:ilvl w:val="0"/>
          <w:numId w:val="9"/>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（1）2016年度经审计的财务报告，包括“三表一注”，即资产负债表、利润表、现金流量表及其附注，或基本开户银行出具的资信证明。（法人投标提供）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hint="eastAsia"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62"/>
        <w:gridCol w:w="1348"/>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w:t>
            </w:r>
          </w:p>
        </w:tc>
        <w:tc>
          <w:tcPr>
            <w:tcW w:w="116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3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62"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3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62"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3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b/>
          <w:bCs/>
          <w:sz w:val="24"/>
          <w:szCs w:val="24"/>
          <w:lang w:val="en-US" w:eastAsia="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8                        </w:t>
      </w:r>
      <w:r>
        <w:rPr>
          <w:rFonts w:hint="eastAsia" w:ascii="仿宋" w:hAnsi="仿宋" w:eastAsia="仿宋" w:cs="宋体"/>
          <w:b/>
          <w:bCs/>
          <w:sz w:val="24"/>
          <w:szCs w:val="24"/>
          <w:lang w:val="en-US" w:eastAsia="zh-CN"/>
        </w:rPr>
        <w:t xml:space="preserve"> </w:t>
      </w:r>
    </w:p>
    <w:p>
      <w:pPr>
        <w:autoSpaceDE w:val="0"/>
        <w:autoSpaceDN w:val="0"/>
        <w:adjustRightInd w:val="0"/>
        <w:spacing w:line="360" w:lineRule="auto"/>
        <w:ind w:firstLine="4096" w:firstLineChars="1700"/>
        <w:rPr>
          <w:rFonts w:ascii="仿宋" w:hAnsi="仿宋" w:eastAsia="仿宋" w:cs="宋体"/>
          <w:b/>
          <w:bCs/>
          <w:sz w:val="24"/>
          <w:szCs w:val="24"/>
          <w:lang w:val="zh-CN"/>
        </w:rPr>
      </w:pPr>
      <w:r>
        <w:rPr>
          <w:rFonts w:hint="eastAsia" w:ascii="仿宋" w:hAnsi="仿宋" w:eastAsia="仿宋" w:cs="宋体"/>
          <w:b/>
          <w:bCs/>
          <w:sz w:val="24"/>
          <w:szCs w:val="24"/>
          <w:lang w:val="en-US" w:eastAsia="zh-CN"/>
        </w:rPr>
        <w:t>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9</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w:t>
      </w:r>
      <w:r>
        <w:rPr>
          <w:rFonts w:hint="eastAsia" w:ascii="仿宋" w:hAnsi="仿宋" w:eastAsia="仿宋" w:cs="仿宋_GB2312"/>
          <w:sz w:val="24"/>
          <w:szCs w:val="24"/>
          <w:lang w:val="en-US" w:eastAsia="zh-CN"/>
        </w:rPr>
        <w:t>10</w:t>
      </w:r>
      <w:r>
        <w:rPr>
          <w:rFonts w:hint="eastAsia" w:ascii="仿宋" w:hAnsi="仿宋" w:eastAsia="仿宋" w:cs="仿宋_GB2312"/>
          <w:sz w:val="24"/>
          <w:szCs w:val="24"/>
        </w:rPr>
        <w:t xml:space="preserve">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sz w:val="24"/>
          <w:szCs w:val="24"/>
        </w:rPr>
      </w:pPr>
      <w:r>
        <w:rPr>
          <w:rFonts w:hint="eastAsia" w:ascii="仿宋" w:hAnsi="仿宋" w:eastAsia="仿宋" w:cs="仿宋_GB2312"/>
          <w:b/>
          <w:bCs/>
          <w:sz w:val="24"/>
          <w:szCs w:val="24"/>
        </w:rPr>
        <w:t>（技术参数要求中相关证明材料）</w:t>
      </w: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2">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8A4CB1C"/>
    <w:multiLevelType w:val="singleLevel"/>
    <w:tmpl w:val="28A4CB1C"/>
    <w:lvl w:ilvl="0" w:tentative="0">
      <w:start w:val="19"/>
      <w:numFmt w:val="decimal"/>
      <w:suff w:val="nothing"/>
      <w:lvlText w:val="%1、"/>
      <w:lvlJc w:val="left"/>
    </w:lvl>
  </w:abstractNum>
  <w:abstractNum w:abstractNumId="4">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E374A4"/>
    <w:multiLevelType w:val="singleLevel"/>
    <w:tmpl w:val="56E374A4"/>
    <w:lvl w:ilvl="0" w:tentative="0">
      <w:start w:val="9"/>
      <w:numFmt w:val="decimal"/>
      <w:pStyle w:val="119"/>
      <w:suff w:val="nothing"/>
      <w:lvlText w:val="%1、"/>
      <w:lvlJc w:val="left"/>
    </w:lvl>
  </w:abstractNum>
  <w:abstractNum w:abstractNumId="6">
    <w:nsid w:val="5A0532E2"/>
    <w:multiLevelType w:val="singleLevel"/>
    <w:tmpl w:val="5A0532E2"/>
    <w:lvl w:ilvl="0" w:tentative="0">
      <w:start w:val="4"/>
      <w:numFmt w:val="chineseCounting"/>
      <w:suff w:val="nothing"/>
      <w:lvlText w:val="第%1部"/>
      <w:lvlJc w:val="left"/>
    </w:lvl>
  </w:abstractNum>
  <w:abstractNum w:abstractNumId="7">
    <w:nsid w:val="5A27AEF7"/>
    <w:multiLevelType w:val="singleLevel"/>
    <w:tmpl w:val="5A27AEF7"/>
    <w:lvl w:ilvl="0" w:tentative="0">
      <w:start w:val="2"/>
      <w:numFmt w:val="chineseCounting"/>
      <w:suff w:val="nothing"/>
      <w:lvlText w:val="（%1）"/>
      <w:lvlJc w:val="left"/>
    </w:lvl>
  </w:abstractNum>
  <w:abstractNum w:abstractNumId="8">
    <w:nsid w:val="5A30CB82"/>
    <w:multiLevelType w:val="singleLevel"/>
    <w:tmpl w:val="5A30CB82"/>
    <w:lvl w:ilvl="0" w:tentative="0">
      <w:start w:val="1"/>
      <w:numFmt w:val="chineseCounting"/>
      <w:suff w:val="space"/>
      <w:lvlText w:val="第%1部分"/>
      <w:lvlJc w:val="left"/>
    </w:lvl>
  </w:abstractNum>
  <w:num w:numId="1">
    <w:abstractNumId w:val="5"/>
  </w:num>
  <w:num w:numId="2">
    <w:abstractNumId w:val="8"/>
  </w:num>
  <w:num w:numId="3">
    <w:abstractNumId w:val="7"/>
  </w:num>
  <w:num w:numId="4">
    <w:abstractNumId w:val="4"/>
  </w:num>
  <w:num w:numId="5">
    <w:abstractNumId w:val="3"/>
  </w:num>
  <w:num w:numId="6">
    <w:abstractNumId w:val="6"/>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4E5185D"/>
    <w:rsid w:val="04F1400C"/>
    <w:rsid w:val="054A14EB"/>
    <w:rsid w:val="055236E0"/>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8F0D95"/>
    <w:rsid w:val="0BC25BE0"/>
    <w:rsid w:val="0BE45DA3"/>
    <w:rsid w:val="0C00330B"/>
    <w:rsid w:val="0C053D42"/>
    <w:rsid w:val="0C232636"/>
    <w:rsid w:val="0C3957DB"/>
    <w:rsid w:val="0C3C6A01"/>
    <w:rsid w:val="0C662DD8"/>
    <w:rsid w:val="0CBA4EC9"/>
    <w:rsid w:val="0CBE01FC"/>
    <w:rsid w:val="0CE25187"/>
    <w:rsid w:val="0D2824A3"/>
    <w:rsid w:val="0D295B6A"/>
    <w:rsid w:val="0D62434A"/>
    <w:rsid w:val="0D832C84"/>
    <w:rsid w:val="0DD45553"/>
    <w:rsid w:val="0DFD39BC"/>
    <w:rsid w:val="0E1F7A52"/>
    <w:rsid w:val="0F0D73B6"/>
    <w:rsid w:val="0F263449"/>
    <w:rsid w:val="0F2C7289"/>
    <w:rsid w:val="0FBA420F"/>
    <w:rsid w:val="10240870"/>
    <w:rsid w:val="105F0CCD"/>
    <w:rsid w:val="10A25988"/>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705BCF"/>
    <w:rsid w:val="146639B0"/>
    <w:rsid w:val="14810804"/>
    <w:rsid w:val="14C32394"/>
    <w:rsid w:val="14E7756C"/>
    <w:rsid w:val="15183347"/>
    <w:rsid w:val="15555471"/>
    <w:rsid w:val="15D15729"/>
    <w:rsid w:val="162949D9"/>
    <w:rsid w:val="166F3B31"/>
    <w:rsid w:val="16BB3F9C"/>
    <w:rsid w:val="17093EDF"/>
    <w:rsid w:val="17411E12"/>
    <w:rsid w:val="175B5BC6"/>
    <w:rsid w:val="17D43D54"/>
    <w:rsid w:val="17E545EE"/>
    <w:rsid w:val="180F6DA6"/>
    <w:rsid w:val="183733AB"/>
    <w:rsid w:val="183D0ACD"/>
    <w:rsid w:val="18553478"/>
    <w:rsid w:val="186A4EF9"/>
    <w:rsid w:val="18AD21CB"/>
    <w:rsid w:val="19491C75"/>
    <w:rsid w:val="19786E3B"/>
    <w:rsid w:val="1A107C46"/>
    <w:rsid w:val="1A4540A3"/>
    <w:rsid w:val="1A717838"/>
    <w:rsid w:val="1A8E3CC9"/>
    <w:rsid w:val="1B1630FE"/>
    <w:rsid w:val="1BDD2E04"/>
    <w:rsid w:val="1BFB31C4"/>
    <w:rsid w:val="1CAE5C61"/>
    <w:rsid w:val="1CC57EEC"/>
    <w:rsid w:val="1D1E07AB"/>
    <w:rsid w:val="1D285414"/>
    <w:rsid w:val="1D3C7D6B"/>
    <w:rsid w:val="1D5D79CE"/>
    <w:rsid w:val="1D846EFB"/>
    <w:rsid w:val="1E1761B2"/>
    <w:rsid w:val="1F5A334E"/>
    <w:rsid w:val="1F8F7C87"/>
    <w:rsid w:val="1FA97651"/>
    <w:rsid w:val="1FD141B8"/>
    <w:rsid w:val="1FE67A99"/>
    <w:rsid w:val="200E5455"/>
    <w:rsid w:val="20852B17"/>
    <w:rsid w:val="208F4659"/>
    <w:rsid w:val="20C91244"/>
    <w:rsid w:val="20CB6D0B"/>
    <w:rsid w:val="20E71C78"/>
    <w:rsid w:val="21093329"/>
    <w:rsid w:val="212773A1"/>
    <w:rsid w:val="214A163F"/>
    <w:rsid w:val="21D44845"/>
    <w:rsid w:val="221572B4"/>
    <w:rsid w:val="22311600"/>
    <w:rsid w:val="226550CC"/>
    <w:rsid w:val="23523DCA"/>
    <w:rsid w:val="23794CD9"/>
    <w:rsid w:val="23F71CF6"/>
    <w:rsid w:val="24BF19AA"/>
    <w:rsid w:val="24CA4202"/>
    <w:rsid w:val="24D66891"/>
    <w:rsid w:val="25302039"/>
    <w:rsid w:val="254429A8"/>
    <w:rsid w:val="256C7451"/>
    <w:rsid w:val="25AD30A0"/>
    <w:rsid w:val="2667745A"/>
    <w:rsid w:val="26E95B4E"/>
    <w:rsid w:val="276906C7"/>
    <w:rsid w:val="278238A3"/>
    <w:rsid w:val="28742078"/>
    <w:rsid w:val="288E3F7A"/>
    <w:rsid w:val="288F49C5"/>
    <w:rsid w:val="28BF1B33"/>
    <w:rsid w:val="28BF2210"/>
    <w:rsid w:val="28CE556E"/>
    <w:rsid w:val="299315DB"/>
    <w:rsid w:val="29C152D2"/>
    <w:rsid w:val="2A292F06"/>
    <w:rsid w:val="2A29332E"/>
    <w:rsid w:val="2A666F4C"/>
    <w:rsid w:val="2A6671E5"/>
    <w:rsid w:val="2A8574C7"/>
    <w:rsid w:val="2B0B3F2F"/>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F232D02"/>
    <w:rsid w:val="2F2A34A3"/>
    <w:rsid w:val="2F38041E"/>
    <w:rsid w:val="2F433D86"/>
    <w:rsid w:val="2F9A5364"/>
    <w:rsid w:val="2F9D183B"/>
    <w:rsid w:val="2FEB36BE"/>
    <w:rsid w:val="30006487"/>
    <w:rsid w:val="30842425"/>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69728B"/>
    <w:rsid w:val="34876DB2"/>
    <w:rsid w:val="34B022E5"/>
    <w:rsid w:val="34CE04B2"/>
    <w:rsid w:val="34F94C42"/>
    <w:rsid w:val="35020BCE"/>
    <w:rsid w:val="354E2015"/>
    <w:rsid w:val="35636C46"/>
    <w:rsid w:val="35736992"/>
    <w:rsid w:val="37692631"/>
    <w:rsid w:val="37B10108"/>
    <w:rsid w:val="389F7F0D"/>
    <w:rsid w:val="38B66F17"/>
    <w:rsid w:val="39264E83"/>
    <w:rsid w:val="397D15ED"/>
    <w:rsid w:val="39A31772"/>
    <w:rsid w:val="3A0511AE"/>
    <w:rsid w:val="3A252A28"/>
    <w:rsid w:val="3A361775"/>
    <w:rsid w:val="3A5B0DB6"/>
    <w:rsid w:val="3B1A3171"/>
    <w:rsid w:val="3B8A1786"/>
    <w:rsid w:val="3BB175C9"/>
    <w:rsid w:val="3BF37AE3"/>
    <w:rsid w:val="3C5A516A"/>
    <w:rsid w:val="3CD05D89"/>
    <w:rsid w:val="3D574C5D"/>
    <w:rsid w:val="3D764DCB"/>
    <w:rsid w:val="3D8F46AB"/>
    <w:rsid w:val="3DB32B5C"/>
    <w:rsid w:val="3DB854BF"/>
    <w:rsid w:val="3DE17511"/>
    <w:rsid w:val="3E0165CC"/>
    <w:rsid w:val="3E0A31F9"/>
    <w:rsid w:val="3E5F6553"/>
    <w:rsid w:val="3E85714B"/>
    <w:rsid w:val="3EB83441"/>
    <w:rsid w:val="3ED405D8"/>
    <w:rsid w:val="3EF23AFC"/>
    <w:rsid w:val="3F4E5E4B"/>
    <w:rsid w:val="3F544F16"/>
    <w:rsid w:val="3FD1121A"/>
    <w:rsid w:val="3FDF074D"/>
    <w:rsid w:val="402E6982"/>
    <w:rsid w:val="405158C9"/>
    <w:rsid w:val="409A7D1F"/>
    <w:rsid w:val="40DD14B7"/>
    <w:rsid w:val="41595C3E"/>
    <w:rsid w:val="42031639"/>
    <w:rsid w:val="420D6E21"/>
    <w:rsid w:val="42551AC7"/>
    <w:rsid w:val="426D69CE"/>
    <w:rsid w:val="43306F54"/>
    <w:rsid w:val="439D162E"/>
    <w:rsid w:val="43AF4EB6"/>
    <w:rsid w:val="43DA0DF8"/>
    <w:rsid w:val="43F21A5E"/>
    <w:rsid w:val="449D0BDB"/>
    <w:rsid w:val="44A75B9D"/>
    <w:rsid w:val="44CC251D"/>
    <w:rsid w:val="44ED61E4"/>
    <w:rsid w:val="44F765DB"/>
    <w:rsid w:val="452D2CD2"/>
    <w:rsid w:val="454E1873"/>
    <w:rsid w:val="45570A50"/>
    <w:rsid w:val="46FF7143"/>
    <w:rsid w:val="476E4F77"/>
    <w:rsid w:val="479A1D63"/>
    <w:rsid w:val="479E2BBB"/>
    <w:rsid w:val="47D76C48"/>
    <w:rsid w:val="48164989"/>
    <w:rsid w:val="485B029F"/>
    <w:rsid w:val="48AF4A09"/>
    <w:rsid w:val="48FD39E6"/>
    <w:rsid w:val="49B4550E"/>
    <w:rsid w:val="49F50EB5"/>
    <w:rsid w:val="4A996A59"/>
    <w:rsid w:val="4AB76254"/>
    <w:rsid w:val="4AF72F43"/>
    <w:rsid w:val="4AFC078A"/>
    <w:rsid w:val="4AFE130C"/>
    <w:rsid w:val="4B06415A"/>
    <w:rsid w:val="4B2C4572"/>
    <w:rsid w:val="4B307A80"/>
    <w:rsid w:val="4BBD5B2C"/>
    <w:rsid w:val="4BF36702"/>
    <w:rsid w:val="4C0E0B24"/>
    <w:rsid w:val="4F071606"/>
    <w:rsid w:val="4F403B1D"/>
    <w:rsid w:val="4F7F31B2"/>
    <w:rsid w:val="4F827ABA"/>
    <w:rsid w:val="4FA93F1C"/>
    <w:rsid w:val="4FCB730B"/>
    <w:rsid w:val="504A74E2"/>
    <w:rsid w:val="50D62ACD"/>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8266B57"/>
    <w:rsid w:val="588A5505"/>
    <w:rsid w:val="58CE0AFE"/>
    <w:rsid w:val="58E11F40"/>
    <w:rsid w:val="58EA7FCE"/>
    <w:rsid w:val="593B360F"/>
    <w:rsid w:val="597E7640"/>
    <w:rsid w:val="5A8975CA"/>
    <w:rsid w:val="5A8D6038"/>
    <w:rsid w:val="5AF228EA"/>
    <w:rsid w:val="5B176006"/>
    <w:rsid w:val="5B8B5722"/>
    <w:rsid w:val="5C1D3EC2"/>
    <w:rsid w:val="5C29274B"/>
    <w:rsid w:val="5C2A1394"/>
    <w:rsid w:val="5C6F34F3"/>
    <w:rsid w:val="5CDE1B94"/>
    <w:rsid w:val="5D2B1C2D"/>
    <w:rsid w:val="5DAD4A6A"/>
    <w:rsid w:val="5DD07849"/>
    <w:rsid w:val="5DF40C4F"/>
    <w:rsid w:val="5E6E4ACB"/>
    <w:rsid w:val="5EEA3B04"/>
    <w:rsid w:val="5F092277"/>
    <w:rsid w:val="5F4B6391"/>
    <w:rsid w:val="5F50568C"/>
    <w:rsid w:val="5F8471B4"/>
    <w:rsid w:val="5FB2630F"/>
    <w:rsid w:val="5FCE7ED4"/>
    <w:rsid w:val="5FEB58A2"/>
    <w:rsid w:val="601B36B0"/>
    <w:rsid w:val="605A5E28"/>
    <w:rsid w:val="60A449E5"/>
    <w:rsid w:val="612A61E3"/>
    <w:rsid w:val="61B82A98"/>
    <w:rsid w:val="61F84732"/>
    <w:rsid w:val="62352BFE"/>
    <w:rsid w:val="62530EF5"/>
    <w:rsid w:val="63097C59"/>
    <w:rsid w:val="633D6D93"/>
    <w:rsid w:val="634F7C15"/>
    <w:rsid w:val="6352088C"/>
    <w:rsid w:val="63736A17"/>
    <w:rsid w:val="63937116"/>
    <w:rsid w:val="63C05B9E"/>
    <w:rsid w:val="642F4F3E"/>
    <w:rsid w:val="651A4BCA"/>
    <w:rsid w:val="659F5C58"/>
    <w:rsid w:val="65D24C12"/>
    <w:rsid w:val="65F1505D"/>
    <w:rsid w:val="660A512C"/>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66357B"/>
    <w:rsid w:val="6EB95270"/>
    <w:rsid w:val="6F8956C3"/>
    <w:rsid w:val="6FB90394"/>
    <w:rsid w:val="6FC41E1E"/>
    <w:rsid w:val="6FE86904"/>
    <w:rsid w:val="70241AB8"/>
    <w:rsid w:val="706476AA"/>
    <w:rsid w:val="7105714A"/>
    <w:rsid w:val="710F25A0"/>
    <w:rsid w:val="714177A5"/>
    <w:rsid w:val="7255719B"/>
    <w:rsid w:val="744C618D"/>
    <w:rsid w:val="74920FD0"/>
    <w:rsid w:val="74924B26"/>
    <w:rsid w:val="74B50A85"/>
    <w:rsid w:val="74DF7784"/>
    <w:rsid w:val="75125292"/>
    <w:rsid w:val="75541B4D"/>
    <w:rsid w:val="758826A4"/>
    <w:rsid w:val="75B01AA9"/>
    <w:rsid w:val="76140509"/>
    <w:rsid w:val="763C41F4"/>
    <w:rsid w:val="768649B8"/>
    <w:rsid w:val="76EF0C8A"/>
    <w:rsid w:val="76F83624"/>
    <w:rsid w:val="773F1990"/>
    <w:rsid w:val="776A79F9"/>
    <w:rsid w:val="777A7DC6"/>
    <w:rsid w:val="78640367"/>
    <w:rsid w:val="78C403B7"/>
    <w:rsid w:val="79640B02"/>
    <w:rsid w:val="796E4180"/>
    <w:rsid w:val="79874C47"/>
    <w:rsid w:val="79D2695D"/>
    <w:rsid w:val="7A731DE7"/>
    <w:rsid w:val="7ABE7E81"/>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TotalTime>3</TotalTime>
  <ScaleCrop>false</ScaleCrop>
  <LinksUpToDate>false</LinksUpToDate>
  <CharactersWithSpaces>53671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2017-10-17T02:26:00Z</cp:lastPrinted>
  <dcterms:modified xsi:type="dcterms:W3CDTF">2018-05-25T02:59:06Z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