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442" w:firstLineChars="100"/>
        <w:rPr>
          <w:rFonts w:hint="eastAsia" w:ascii="仿宋" w:hAnsi="仿宋" w:eastAsia="仿宋"/>
          <w:b/>
          <w:w w:val="90"/>
          <w:sz w:val="84"/>
        </w:rPr>
      </w:pPr>
      <w:r>
        <w:rPr>
          <w:rFonts w:hint="eastAsia" w:ascii="仿宋" w:hAnsi="仿宋" w:eastAsia="仿宋" w:cs="仿宋"/>
          <w:b/>
          <w:bCs/>
          <w:sz w:val="44"/>
          <w:szCs w:val="44"/>
          <w:lang w:eastAsia="zh-CN"/>
        </w:rPr>
        <w:t>禹州市颍河景观带</w:t>
      </w:r>
      <w:r>
        <w:rPr>
          <w:rFonts w:hint="eastAsia" w:ascii="仿宋" w:hAnsi="仿宋" w:eastAsia="仿宋" w:cs="仿宋"/>
          <w:b/>
          <w:bCs/>
          <w:sz w:val="44"/>
          <w:szCs w:val="44"/>
          <w:lang w:val="en-US" w:eastAsia="zh-CN"/>
        </w:rPr>
        <w:t>18座景观平台勘察</w:t>
      </w:r>
      <w:r>
        <w:rPr>
          <w:rFonts w:hint="eastAsia" w:ascii="仿宋" w:hAnsi="仿宋" w:eastAsia="仿宋" w:cs="仿宋"/>
          <w:b/>
          <w:bCs/>
          <w:sz w:val="44"/>
          <w:szCs w:val="44"/>
          <w:lang w:eastAsia="zh-CN"/>
        </w:rPr>
        <w:t>项目</w:t>
      </w: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采购单位：禹州市住房和城乡规划建设局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项目名称：禹州市颍河景观带18座景观平台勘察项目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8070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pStyle w:val="2"/>
      </w:pPr>
    </w:p>
    <w:p>
      <w:pPr>
        <w:ind w:firstLine="1084" w:firstLineChars="3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禹州市颍河景观带</w:t>
      </w:r>
      <w:r>
        <w:rPr>
          <w:rFonts w:hint="eastAsia" w:ascii="仿宋" w:hAnsi="仿宋" w:eastAsia="仿宋" w:cs="仿宋"/>
          <w:b/>
          <w:bCs/>
          <w:sz w:val="36"/>
          <w:szCs w:val="36"/>
          <w:lang w:val="en-US" w:eastAsia="zh-CN"/>
        </w:rPr>
        <w:t>18座景观平台勘察</w:t>
      </w:r>
      <w:r>
        <w:rPr>
          <w:rFonts w:hint="eastAsia" w:ascii="仿宋" w:hAnsi="仿宋" w:eastAsia="仿宋" w:cs="仿宋"/>
          <w:b/>
          <w:bCs/>
          <w:sz w:val="36"/>
          <w:szCs w:val="36"/>
          <w:lang w:eastAsia="zh-CN"/>
        </w:rPr>
        <w:t>项目</w:t>
      </w:r>
    </w:p>
    <w:p>
      <w:pPr>
        <w:ind w:firstLine="3614" w:firstLineChars="10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邀  请  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市住房和城乡规划建设局</w:t>
      </w:r>
      <w:r>
        <w:rPr>
          <w:rFonts w:hint="eastAsia" w:ascii="仿宋" w:hAnsi="仿宋" w:eastAsia="仿宋" w:cs="仿宋"/>
          <w:sz w:val="24"/>
          <w:szCs w:val="24"/>
        </w:rPr>
        <w:t>的委托，就“禹州市颍河景观带18座景观平台</w:t>
      </w:r>
      <w:r>
        <w:rPr>
          <w:rFonts w:hint="eastAsia" w:ascii="仿宋" w:hAnsi="仿宋" w:eastAsia="仿宋" w:cs="仿宋"/>
          <w:sz w:val="24"/>
          <w:szCs w:val="24"/>
          <w:lang w:eastAsia="zh-CN"/>
        </w:rPr>
        <w:t>勘察</w:t>
      </w:r>
      <w:r>
        <w:rPr>
          <w:rFonts w:hint="eastAsia" w:ascii="仿宋" w:hAnsi="仿宋" w:eastAsia="仿宋" w:cs="仿宋"/>
          <w:sz w:val="24"/>
          <w:szCs w:val="24"/>
        </w:rPr>
        <w:t>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w:t>
      </w:r>
      <w:r>
        <w:rPr>
          <w:rFonts w:hint="eastAsia" w:ascii="仿宋" w:hAnsi="仿宋" w:eastAsia="仿宋" w:cs="仿宋"/>
          <w:sz w:val="24"/>
          <w:szCs w:val="24"/>
          <w:lang w:eastAsia="zh-CN"/>
        </w:rPr>
        <w:t>市住房和城乡规划建设局</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2、项目名称：禹州市颍河景观带18座景观平台桩基</w:t>
      </w:r>
      <w:r>
        <w:rPr>
          <w:rFonts w:hint="eastAsia" w:ascii="仿宋" w:hAnsi="仿宋" w:eastAsia="仿宋" w:cs="仿宋"/>
          <w:sz w:val="24"/>
          <w:szCs w:val="24"/>
          <w:lang w:eastAsia="zh-CN"/>
        </w:rPr>
        <w:t>勘察</w:t>
      </w:r>
      <w:r>
        <w:rPr>
          <w:rFonts w:hint="eastAsia" w:ascii="仿宋" w:hAnsi="仿宋" w:eastAsia="仿宋" w:cs="仿宋"/>
          <w:sz w:val="24"/>
          <w:szCs w:val="24"/>
        </w:rPr>
        <w:t>项目3、采购编号：YZCG-G201</w:t>
      </w:r>
      <w:r>
        <w:rPr>
          <w:rFonts w:hint="eastAsia" w:ascii="仿宋" w:hAnsi="仿宋" w:eastAsia="仿宋" w:cs="仿宋"/>
          <w:sz w:val="24"/>
          <w:szCs w:val="24"/>
          <w:lang w:val="en-US" w:eastAsia="zh-CN"/>
        </w:rPr>
        <w:t>8070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4、项目需求：18座景观平台桩基</w:t>
      </w:r>
      <w:r>
        <w:rPr>
          <w:rFonts w:hint="eastAsia" w:ascii="仿宋" w:hAnsi="仿宋" w:eastAsia="仿宋" w:cs="仿宋"/>
          <w:sz w:val="24"/>
          <w:szCs w:val="24"/>
          <w:lang w:eastAsia="zh-CN"/>
        </w:rPr>
        <w:t>勘察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5、采购预算：52.04万元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52.04</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2.投标商须具有工程勘察专业乙级及以上资质；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禹州市住房和城乡规划建设局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行政南路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郑先生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13782331116</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spacing w:line="360" w:lineRule="auto"/>
        <w:rPr>
          <w:rFonts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w:t>
            </w:r>
            <w:r>
              <w:rPr>
                <w:rFonts w:hint="eastAsia" w:ascii="仿宋" w:hAnsi="仿宋" w:eastAsia="仿宋" w:cs="仿宋"/>
                <w:sz w:val="24"/>
                <w:szCs w:val="24"/>
                <w:lang w:eastAsia="zh-CN"/>
              </w:rPr>
              <w:t>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lang w:eastAsia="zh-CN"/>
              </w:rPr>
              <w:t>禹州市颍河景观带</w:t>
            </w:r>
            <w:r>
              <w:rPr>
                <w:rFonts w:hint="eastAsia" w:ascii="仿宋" w:hAnsi="仿宋" w:eastAsia="仿宋" w:cs="仿宋"/>
                <w:sz w:val="24"/>
                <w:szCs w:val="24"/>
                <w:lang w:val="en-US" w:eastAsia="zh-CN"/>
              </w:rPr>
              <w:t>18座景观平台勘察</w:t>
            </w:r>
            <w:r>
              <w:rPr>
                <w:rFonts w:hint="eastAsia" w:ascii="仿宋" w:hAnsi="仿宋" w:eastAsia="仿宋" w:cs="仿宋"/>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签订合同</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rPr>
              <w:t>2018年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52.04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before="471" w:after="312" w:line="360" w:lineRule="auto"/>
        <w:textAlignment w:val="auto"/>
        <w:outlineLvl w:val="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勘察工作内容：共计27个码头项目，其中生产码头11个，游船停靠码头16个；2、勘察工作量：共布置钻孔110个，孔深15.0～20.0m（钻孔兼做波速测试孔），总进尺1920.0m。</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勘察技术要求：</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通过本次工程地质勘察，对工程建设的适宜性和稳定性有关的工程地质条件做出结论性评价；</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查明不良地质现象，特殊性岩土的类型、性质、空间分布范围、发生和诱发条件、发展趋势及危害程度，评价对工程的危害，并对其防治措施提出建设。</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查时拟建码头处岩土层分布、形成时代、成因类型。提供各岩土层物理力学性质指标。查明地下水类型（地下水腐蚀性）；提供主要持力层的选择和各岩土怪的承载力参数；</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查明可供选择的桩基持力层及下卧层的埋藏深度、厚度及变化规律，提出桩尖持力层最佳方案的建议；提供为计算单桩轴向受压承载力所需的桩壁各土层的极限摩阻力、桩尖处极限承载力等参数；评价成桩可能性，论证桩的施工条件及其对环境的影响；</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对本工程选址区的震烈度和地震动参数进行确定；</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综合分析选址区岩土工程条件及有关勘探、测试成果，为拟建码头基础持力层选择提供合理的建议，为设计提供详细的地质资料。</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成果要求：符合业主需求。</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、银行开户许可证、无行贿记录告知函、资质证书、</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bookmarkStart w:id="1" w:name="_GoBack"/>
      <w:bookmarkEnd w:id="1"/>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76"/>
        <w:gridCol w:w="1940"/>
        <w:gridCol w:w="2456"/>
        <w:gridCol w:w="3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2"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007F00"/>
                <w:sz w:val="24"/>
                <w:szCs w:val="24"/>
                <w:lang w:val="zh-CN" w:eastAsia="zh-CN"/>
              </w:rPr>
            </w:pPr>
            <w:r>
              <w:rPr>
                <w:rFonts w:hint="eastAsia" w:ascii="仿宋" w:hAnsi="仿宋" w:eastAsia="仿宋" w:cs="仿宋"/>
                <w:color w:val="007F00"/>
                <w:sz w:val="24"/>
                <w:szCs w:val="24"/>
                <w:lang w:val="en-US" w:eastAsia="zh-CN"/>
              </w:rPr>
              <w:t>1</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投标报价评分标准</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131"/>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评标基准价指满足招标文件要求且投标价格最低的投标报价为评标基准价。</w:t>
            </w:r>
          </w:p>
          <w:p>
            <w:pPr>
              <w:autoSpaceDE w:val="0"/>
              <w:autoSpaceDN w:val="0"/>
              <w:adjustRightInd w:val="0"/>
              <w:spacing w:beforeLines="0" w:afterLines="0" w:line="360" w:lineRule="exact"/>
              <w:rPr>
                <w:rFonts w:hint="eastAsia" w:ascii="仿宋" w:hAnsi="仿宋" w:eastAsia="仿宋" w:cs="仿宋"/>
                <w:sz w:val="24"/>
                <w:szCs w:val="24"/>
                <w:lang w:val="zh-CN"/>
              </w:rPr>
            </w:pPr>
            <w:r>
              <w:rPr>
                <w:rFonts w:hint="eastAsia" w:ascii="仿宋" w:hAnsi="仿宋" w:eastAsia="仿宋" w:cs="仿宋"/>
                <w:b w:val="0"/>
                <w:bCs w:val="0"/>
                <w:kern w:val="2"/>
                <w:sz w:val="24"/>
                <w:szCs w:val="24"/>
                <w:lang w:val="en-US" w:eastAsia="zh-CN" w:bidi="ar-SA"/>
              </w:rPr>
              <w:t>价格得分=（评标基准价/投标报价）×30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桩基检测方案</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lang w:val="zh-CN"/>
              </w:rPr>
              <w:t>分）</w:t>
            </w:r>
          </w:p>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1.试桩、工程桩检测方案编制（1-6分）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试桩、工程桩检测方案编制内容详细、充实、可行得5-6分；方案内容较详细、充实、可行得3-4分；方案内容一般得1-2分。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2.桩基检测质量保证措施(1-6分)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桩基检测方案中质量保证措施可行、合理得5-6分；质量保证措施较可行、合理得3-4分；质量保证措施一般得1-2分。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ind w:hanging="1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3.桩基检测进度保证措施(1-6分)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桩基检测方案中进度保证措施可行、合理得5-6分；进度保证措施较可行、合理得3-4分；进度保证措施一般得1-2分。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4.桩基检测安全文明保证措施 (1-6分)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桩基检测方案中安全文明保证措施可行、合理得5-6分；安全文明保证措施较可行、合理得3-4分；安全文明保证措施一般得1-2分。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50"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 桩基检测仪器设备配置（1-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桩基检测配置仪器、设备先进，数量充足得</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zh-CN"/>
              </w:rPr>
              <w:t>分；配置仪器、设备一般，数量较少得1-2分。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57" w:hRule="atLeast"/>
          <w:jc w:val="center"/>
        </w:trPr>
        <w:tc>
          <w:tcPr>
            <w:tcW w:w="147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p>
        </w:tc>
        <w:tc>
          <w:tcPr>
            <w:tcW w:w="194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ind w:firstLine="525"/>
              <w:jc w:val="center"/>
              <w:rPr>
                <w:rFonts w:hint="eastAsia" w:ascii="仿宋" w:hAnsi="仿宋" w:eastAsia="仿宋" w:cs="仿宋"/>
                <w:kern w:val="0"/>
                <w:sz w:val="24"/>
                <w:szCs w:val="24"/>
                <w:lang w:val="zh-CN"/>
              </w:rPr>
            </w:pPr>
          </w:p>
        </w:tc>
        <w:tc>
          <w:tcPr>
            <w:tcW w:w="245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 桩基检测报告</w:t>
            </w:r>
          </w:p>
          <w:p>
            <w:pPr>
              <w:autoSpaceDE w:val="0"/>
              <w:autoSpaceDN w:val="0"/>
              <w:adjustRightInd w:val="0"/>
              <w:spacing w:beforeLines="0" w:afterLines="0"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分）</w:t>
            </w:r>
          </w:p>
        </w:tc>
        <w:tc>
          <w:tcPr>
            <w:tcW w:w="362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line="360" w:lineRule="exac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投标人应对其出据检测报告的规范性、完整性、准确性及归档资料的内容完整性作详细阐述，评委酌情打分。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66"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业绩</w:t>
            </w:r>
          </w:p>
          <w:p>
            <w:pPr>
              <w:autoSpaceDE w:val="0"/>
              <w:autoSpaceDN w:val="0"/>
              <w:adjustRightInd w:val="0"/>
              <w:spacing w:beforeLines="0" w:afterLines="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201</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val="zh-CN"/>
              </w:rPr>
              <w:t>年1月1日以来企业从事过类似规模建设项目桩基检测服务的，每提供一份合同得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zh-CN"/>
              </w:rPr>
              <w:t>分，本项最高得</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55"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3</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检测周期（</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检测周期与招标文件相同的得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1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4</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服务承诺</w:t>
            </w:r>
          </w:p>
          <w:p>
            <w:pPr>
              <w:autoSpaceDE w:val="0"/>
              <w:autoSpaceDN w:val="0"/>
              <w:adjustRightInd w:val="0"/>
              <w:spacing w:beforeLines="0" w:afterLines="0"/>
              <w:jc w:val="center"/>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1.确保按检测方案完成检测任务，得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.确保检测服务质量，得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.确保检测过程符合国家、省、行业相关技术规范及验收标，得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确保检测报告规范性、完整性、准确性及归档资料的内容完整性的承诺，得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74" w:hRule="atLeast"/>
          <w:jc w:val="center"/>
        </w:trPr>
        <w:tc>
          <w:tcPr>
            <w:tcW w:w="147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5</w:t>
            </w:r>
          </w:p>
        </w:tc>
        <w:tc>
          <w:tcPr>
            <w:tcW w:w="194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jc w:val="center"/>
              <w:rPr>
                <w:rFonts w:hint="eastAsia" w:ascii="仿宋" w:hAnsi="仿宋" w:eastAsia="仿宋" w:cs="仿宋"/>
                <w:color w:val="FF0000"/>
                <w:sz w:val="24"/>
                <w:szCs w:val="24"/>
                <w:lang w:val="zh-CN"/>
              </w:rPr>
            </w:pPr>
            <w:r>
              <w:rPr>
                <w:rFonts w:hint="eastAsia" w:ascii="仿宋" w:hAnsi="仿宋" w:eastAsia="仿宋" w:cs="仿宋"/>
                <w:sz w:val="24"/>
                <w:szCs w:val="24"/>
                <w:lang w:val="zh-CN"/>
              </w:rPr>
              <w:t>投标文件的制作：</w:t>
            </w:r>
            <w:r>
              <w:rPr>
                <w:rFonts w:hint="eastAsia" w:ascii="仿宋" w:hAnsi="仿宋" w:eastAsia="仿宋" w:cs="仿宋"/>
                <w:sz w:val="24"/>
                <w:szCs w:val="24"/>
                <w:u w:val="single"/>
                <w:lang w:val="zh-CN"/>
              </w:rPr>
              <w:t xml:space="preserve"> 5 </w:t>
            </w:r>
            <w:r>
              <w:rPr>
                <w:rFonts w:hint="eastAsia" w:ascii="仿宋" w:hAnsi="仿宋" w:eastAsia="仿宋" w:cs="仿宋"/>
                <w:sz w:val="24"/>
                <w:szCs w:val="24"/>
                <w:lang w:val="zh-CN"/>
              </w:rPr>
              <w:t>分</w:t>
            </w:r>
          </w:p>
        </w:tc>
        <w:tc>
          <w:tcPr>
            <w:tcW w:w="60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完整性：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条理性</w:t>
            </w: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分</w:t>
            </w:r>
          </w:p>
          <w:p>
            <w:pPr>
              <w:autoSpaceDE w:val="0"/>
              <w:autoSpaceDN w:val="0"/>
              <w:adjustRightInd w:val="0"/>
              <w:spacing w:beforeLines="0" w:afterLines="0"/>
              <w:rPr>
                <w:rFonts w:hint="eastAsia" w:ascii="仿宋" w:hAnsi="仿宋" w:eastAsia="仿宋" w:cs="仿宋"/>
                <w:color w:val="FF0000"/>
                <w:sz w:val="24"/>
                <w:szCs w:val="24"/>
                <w:lang w:val="zh-CN"/>
              </w:rPr>
            </w:pPr>
            <w:r>
              <w:rPr>
                <w:rFonts w:hint="eastAsia" w:ascii="仿宋" w:hAnsi="仿宋" w:eastAsia="仿宋" w:cs="仿宋"/>
                <w:color w:val="000000"/>
                <w:sz w:val="24"/>
                <w:szCs w:val="24"/>
                <w:lang w:val="zh-CN"/>
              </w:rPr>
              <w:t>合理性</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1"/>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pStyle w:val="2"/>
        <w:rPr>
          <w:lang w:val="zh-CN"/>
        </w:rPr>
      </w:pP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643"/>
        <w:gridCol w:w="905"/>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6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en-US" w:eastAsia="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5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（技术要求</w:t>
      </w:r>
      <w:r>
        <w:rPr>
          <w:rFonts w:hint="eastAsia" w:ascii="仿宋" w:hAnsi="仿宋" w:eastAsia="仿宋" w:cs="仿宋_GB2312"/>
          <w:b/>
          <w:bCs/>
          <w:sz w:val="24"/>
          <w:szCs w:val="24"/>
          <w:lang w:eastAsia="zh-CN"/>
        </w:rPr>
        <w:t>及评分标准中</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4E694"/>
    <w:multiLevelType w:val="singleLevel"/>
    <w:tmpl w:val="DE34E694"/>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6CE9831D"/>
    <w:multiLevelType w:val="singleLevel"/>
    <w:tmpl w:val="6CE9831D"/>
    <w:lvl w:ilvl="0" w:tentative="0">
      <w:start w:val="1"/>
      <w:numFmt w:val="chineseCounting"/>
      <w:suff w:val="nothing"/>
      <w:lvlText w:val="%1、"/>
      <w:lvlJc w:val="left"/>
      <w:rPr>
        <w:rFonts w:hint="eastAsia"/>
      </w:rPr>
    </w:lvl>
  </w:abstractNum>
  <w:num w:numId="1">
    <w:abstractNumId w:val="6"/>
  </w:num>
  <w:num w:numId="2">
    <w:abstractNumId w:val="9"/>
  </w:num>
  <w:num w:numId="3">
    <w:abstractNumId w:val="8"/>
  </w:num>
  <w:num w:numId="4">
    <w:abstractNumId w:val="5"/>
  </w:num>
  <w:num w:numId="5">
    <w:abstractNumId w:val="4"/>
  </w:num>
  <w:num w:numId="6">
    <w:abstractNumId w:val="7"/>
  </w:num>
  <w:num w:numId="7">
    <w:abstractNumId w:val="10"/>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B33489"/>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BE45DA3"/>
    <w:rsid w:val="0C00330B"/>
    <w:rsid w:val="0C053D42"/>
    <w:rsid w:val="0C232636"/>
    <w:rsid w:val="0C3957DB"/>
    <w:rsid w:val="0C3C6A01"/>
    <w:rsid w:val="0C662DD8"/>
    <w:rsid w:val="0CB94AA5"/>
    <w:rsid w:val="0CBA4EC9"/>
    <w:rsid w:val="0CBE01FC"/>
    <w:rsid w:val="0CE25187"/>
    <w:rsid w:val="0D2824A3"/>
    <w:rsid w:val="0D62434A"/>
    <w:rsid w:val="0D832C84"/>
    <w:rsid w:val="0DD45553"/>
    <w:rsid w:val="0DFD39BC"/>
    <w:rsid w:val="0E1F7A52"/>
    <w:rsid w:val="0F0D73B6"/>
    <w:rsid w:val="0F263449"/>
    <w:rsid w:val="0F2C7289"/>
    <w:rsid w:val="0F7261DB"/>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DD2E04"/>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8E3F7A"/>
    <w:rsid w:val="288F49C5"/>
    <w:rsid w:val="28BF1B33"/>
    <w:rsid w:val="28BF2210"/>
    <w:rsid w:val="28CE556E"/>
    <w:rsid w:val="299315DB"/>
    <w:rsid w:val="29C152D2"/>
    <w:rsid w:val="29F627FF"/>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6E7310"/>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184051"/>
    <w:rsid w:val="37692631"/>
    <w:rsid w:val="37B10108"/>
    <w:rsid w:val="38202D5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595C3E"/>
    <w:rsid w:val="41A25A87"/>
    <w:rsid w:val="42031639"/>
    <w:rsid w:val="420C4E25"/>
    <w:rsid w:val="420D6E21"/>
    <w:rsid w:val="42551AC7"/>
    <w:rsid w:val="426D69CE"/>
    <w:rsid w:val="43306F54"/>
    <w:rsid w:val="439D162E"/>
    <w:rsid w:val="43AF4EB6"/>
    <w:rsid w:val="43DA0DF8"/>
    <w:rsid w:val="43F21A5E"/>
    <w:rsid w:val="4495081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9274B"/>
    <w:rsid w:val="5C2A1394"/>
    <w:rsid w:val="5C6F34F3"/>
    <w:rsid w:val="5CDE1B94"/>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0A512C"/>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6556C4"/>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character" w:customStyle="1" w:styleId="129">
    <w:name w:val="font21"/>
    <w:basedOn w:val="30"/>
    <w:uiPriority w:val="0"/>
    <w:rPr>
      <w:rFonts w:hint="eastAsia" w:ascii="宋体" w:hAnsi="宋体" w:eastAsia="宋体" w:cs="宋体"/>
      <w:b/>
      <w:color w:val="000000"/>
      <w:sz w:val="22"/>
      <w:szCs w:val="22"/>
      <w:u w:val="none"/>
    </w:rPr>
  </w:style>
  <w:style w:type="character" w:customStyle="1" w:styleId="130">
    <w:name w:val="font11"/>
    <w:basedOn w:val="30"/>
    <w:uiPriority w:val="0"/>
    <w:rPr>
      <w:rFonts w:hint="eastAsia" w:ascii="宋体" w:hAnsi="宋体" w:eastAsia="宋体" w:cs="宋体"/>
      <w:color w:val="000000"/>
      <w:sz w:val="22"/>
      <w:szCs w:val="22"/>
      <w:u w:val="none"/>
    </w:rPr>
  </w:style>
  <w:style w:type="paragraph" w:customStyle="1" w:styleId="131">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18</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2018-05-25T01:18:30Z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