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color w:val="000000"/>
          <w:sz w:val="44"/>
          <w:szCs w:val="44"/>
        </w:rPr>
      </w:pPr>
    </w:p>
    <w:p>
      <w:pPr>
        <w:pStyle w:val="13"/>
        <w:jc w:val="center"/>
        <w:rPr>
          <w:rFonts w:ascii="宋体" w:hAnsi="宋体" w:cs="宋体"/>
          <w:b/>
          <w:bCs/>
          <w:sz w:val="44"/>
          <w:szCs w:val="44"/>
        </w:rPr>
      </w:pPr>
      <w:r>
        <w:rPr>
          <w:rFonts w:hint="eastAsia" w:ascii="宋体" w:hAnsi="宋体" w:cs="宋体"/>
          <w:b/>
          <w:bCs/>
          <w:sz w:val="44"/>
          <w:szCs w:val="44"/>
        </w:rPr>
        <w:t>许昌市东城区综合执法局</w:t>
      </w:r>
      <w:r>
        <w:rPr>
          <w:rFonts w:hint="eastAsia" w:ascii="Times New Roman" w:hAnsi="Times New Roman" w:eastAsia="隶书"/>
          <w:b/>
          <w:bCs/>
          <w:sz w:val="52"/>
          <w:szCs w:val="52"/>
        </w:rPr>
        <w:t>“</w:t>
      </w:r>
      <w:r>
        <w:rPr>
          <w:rFonts w:hint="eastAsia" w:ascii="宋体" w:hAnsi="宋体" w:cs="宋体"/>
          <w:b/>
          <w:bCs/>
          <w:sz w:val="44"/>
          <w:szCs w:val="44"/>
        </w:rPr>
        <w:t>东城区环卫专业车辆购置”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项目编号：JZFCG-G20180  号</w:t>
      </w:r>
    </w:p>
    <w:p>
      <w:pPr>
        <w:ind w:firstLine="1084" w:firstLineChars="300"/>
        <w:rPr>
          <w:rFonts w:hint="eastAsia"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采购单位：许昌市东城区综合执法局</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代理机构：河南宏业建设管理股份有限公司</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auto"/>
          <w:sz w:val="36"/>
          <w:szCs w:val="36"/>
        </w:rPr>
        <w:t>二〇一八年五月</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9"/>
        <w:widowControl/>
        <w:shd w:val="clear" w:color="auto" w:fill="FFFFFF"/>
        <w:spacing w:line="315" w:lineRule="atLeast"/>
        <w:jc w:val="center"/>
        <w:rPr>
          <w:rFonts w:ascii="仿宋_GB2312" w:hAnsi="仿宋_GB2312" w:eastAsia="仿宋_GB2312" w:cs="仿宋_GB2312"/>
          <w:color w:val="000000"/>
          <w:sz w:val="32"/>
          <w:szCs w:val="32"/>
          <w:shd w:val="clear" w:color="auto" w:fill="FFFFFF"/>
        </w:rPr>
      </w:pPr>
      <w:r>
        <w:rPr>
          <w:rFonts w:hint="eastAsia" w:ascii="宋体" w:hAnsi="宋体" w:cs="宋体"/>
          <w:b/>
          <w:color w:val="000000"/>
          <w:sz w:val="36"/>
          <w:szCs w:val="36"/>
          <w:shd w:val="clear" w:color="auto" w:fill="FFFFFF"/>
        </w:rPr>
        <w:t>第一章 投标邀请</w:t>
      </w:r>
    </w:p>
    <w:p>
      <w:pPr>
        <w:pStyle w:val="19"/>
        <w:widowControl/>
        <w:shd w:val="clear" w:color="auto" w:fill="FFFFFF"/>
        <w:spacing w:line="360" w:lineRule="auto"/>
        <w:contextualSpacing/>
        <w:jc w:val="left"/>
        <w:rPr>
          <w:rFonts w:cs="黑体" w:asciiTheme="minorEastAsia" w:hAnsiTheme="minorEastAsia" w:eastAsiaTheme="minorEastAsia"/>
          <w:b/>
          <w:bCs/>
          <w:color w:val="000000"/>
        </w:rPr>
      </w:pPr>
      <w:r>
        <w:rPr>
          <w:rFonts w:hint="eastAsia" w:ascii="黑体" w:hAnsi="黑体" w:eastAsia="黑体" w:cs="黑体"/>
          <w:bCs/>
          <w:color w:val="000000"/>
          <w:sz w:val="32"/>
          <w:szCs w:val="32"/>
          <w:shd w:val="clear" w:color="auto" w:fill="FFFFFF"/>
        </w:rPr>
        <w:t xml:space="preserve">   </w:t>
      </w:r>
      <w:r>
        <w:rPr>
          <w:rFonts w:hint="eastAsia" w:ascii="黑体" w:hAnsi="黑体" w:eastAsia="黑体" w:cs="黑体"/>
          <w:bCs/>
          <w:color w:val="000000"/>
          <w:shd w:val="clear" w:color="auto" w:fill="FFFFFF"/>
        </w:rPr>
        <w:t xml:space="preserve"> </w:t>
      </w:r>
      <w:r>
        <w:rPr>
          <w:rFonts w:hint="eastAsia" w:cs="黑体" w:asciiTheme="minorEastAsia" w:hAnsiTheme="minorEastAsia" w:eastAsiaTheme="minorEastAsia"/>
          <w:b/>
          <w:bCs/>
          <w:color w:val="000000"/>
          <w:shd w:val="clear" w:color="auto" w:fill="FFFFFF"/>
        </w:rPr>
        <w:t>一、项目基本情况</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（一）项目名称：东城区东城区环卫专业车辆购置</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 xml:space="preserve">（二）项目编号：JZFCG-G2018   号    </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 xml:space="preserve">（三）采购方式：  公开招标                                                                                                                        </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（四）项目主要内容、数量及要求：</w:t>
      </w:r>
    </w:p>
    <w:tbl>
      <w:tblPr>
        <w:tblStyle w:val="24"/>
        <w:tblpPr w:leftFromText="180" w:rightFromText="180" w:vertAnchor="text" w:horzAnchor="page" w:tblpX="2317" w:tblpY="111"/>
        <w:tblOverlap w:val="never"/>
        <w:tblW w:w="6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2825"/>
        <w:gridCol w:w="1095"/>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lang w:val="en-US" w:eastAsia="zh-CN"/>
              </w:rPr>
            </w:pPr>
            <w:r>
              <w:rPr>
                <w:rFonts w:hint="eastAsia" w:cs="黑体" w:asciiTheme="minorEastAsia" w:hAnsiTheme="minorEastAsia" w:eastAsiaTheme="minorEastAsia"/>
                <w:b w:val="0"/>
                <w:bCs w:val="0"/>
                <w:color w:val="000000"/>
                <w:lang w:val="en-US" w:eastAsia="zh-CN"/>
              </w:rPr>
              <w:t>标段</w:t>
            </w:r>
          </w:p>
        </w:tc>
        <w:tc>
          <w:tcPr>
            <w:tcW w:w="2825"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lang w:val="en-US" w:eastAsia="zh-CN"/>
              </w:rPr>
            </w:pPr>
            <w:r>
              <w:rPr>
                <w:rFonts w:hint="eastAsia" w:cs="黑体" w:asciiTheme="minorEastAsia" w:hAnsiTheme="minorEastAsia" w:eastAsiaTheme="minorEastAsia"/>
                <w:b w:val="0"/>
                <w:bCs w:val="0"/>
                <w:color w:val="000000"/>
                <w:lang w:val="en-US" w:eastAsia="zh-CN"/>
              </w:rPr>
              <w:t>货物名称</w:t>
            </w:r>
          </w:p>
        </w:tc>
        <w:tc>
          <w:tcPr>
            <w:tcW w:w="1095"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lang w:val="en-US" w:eastAsia="zh-CN"/>
              </w:rPr>
            </w:pPr>
            <w:r>
              <w:rPr>
                <w:rFonts w:hint="eastAsia" w:cs="黑体" w:asciiTheme="minorEastAsia" w:hAnsiTheme="minorEastAsia" w:eastAsiaTheme="minorEastAsia"/>
                <w:b w:val="0"/>
                <w:bCs w:val="0"/>
                <w:color w:val="000000"/>
                <w:lang w:val="en-US" w:eastAsia="zh-CN"/>
              </w:rPr>
              <w:t>单位</w:t>
            </w:r>
          </w:p>
        </w:tc>
        <w:tc>
          <w:tcPr>
            <w:tcW w:w="1066"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lang w:val="en-US" w:eastAsia="zh-CN"/>
              </w:rPr>
            </w:pPr>
            <w:r>
              <w:rPr>
                <w:rFonts w:hint="eastAsia" w:cs="黑体" w:asciiTheme="minorEastAsia" w:hAnsiTheme="minorEastAsia" w:eastAsiaTheme="minorEastAsia"/>
                <w:b w:val="0"/>
                <w:bCs w:val="0"/>
                <w:color w:val="000000"/>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Merge w:val="restart"/>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p>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r>
              <w:rPr>
                <w:rFonts w:hint="eastAsia" w:cs="黑体" w:asciiTheme="minorEastAsia" w:hAnsiTheme="minorEastAsia" w:eastAsiaTheme="minorEastAsia"/>
                <w:b w:val="0"/>
                <w:bCs w:val="0"/>
                <w:color w:val="000000"/>
              </w:rPr>
              <w:t>A包</w:t>
            </w:r>
          </w:p>
        </w:tc>
        <w:tc>
          <w:tcPr>
            <w:tcW w:w="2825"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r>
              <w:rPr>
                <w:rFonts w:hint="eastAsia" w:cs="黑体" w:asciiTheme="minorEastAsia" w:hAnsiTheme="minorEastAsia" w:eastAsiaTheme="minorEastAsia"/>
                <w:b w:val="0"/>
                <w:bCs w:val="0"/>
                <w:color w:val="000000"/>
              </w:rPr>
              <w:t>16T洗扫车（常规）</w:t>
            </w:r>
          </w:p>
        </w:tc>
        <w:tc>
          <w:tcPr>
            <w:tcW w:w="1095"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r>
              <w:rPr>
                <w:rFonts w:hint="eastAsia" w:cs="黑体" w:asciiTheme="minorEastAsia" w:hAnsiTheme="minorEastAsia" w:eastAsiaTheme="minorEastAsia"/>
                <w:b w:val="0"/>
                <w:bCs w:val="0"/>
                <w:color w:val="000000"/>
              </w:rPr>
              <w:t>辆</w:t>
            </w:r>
          </w:p>
        </w:tc>
        <w:tc>
          <w:tcPr>
            <w:tcW w:w="1066"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r>
              <w:rPr>
                <w:rFonts w:hint="eastAsia" w:cs="黑体" w:asciiTheme="minorEastAsia" w:hAnsiTheme="minorEastAsia" w:eastAsiaTheme="minorEastAsia"/>
                <w:b w:val="0"/>
                <w:bCs w:val="0"/>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Merge w:val="continue"/>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p>
        </w:tc>
        <w:tc>
          <w:tcPr>
            <w:tcW w:w="2825"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r>
              <w:rPr>
                <w:rFonts w:hint="eastAsia" w:cs="黑体" w:asciiTheme="minorEastAsia" w:hAnsiTheme="minorEastAsia" w:eastAsiaTheme="minorEastAsia"/>
                <w:b w:val="0"/>
                <w:bCs w:val="0"/>
                <w:color w:val="000000"/>
              </w:rPr>
              <w:t>油电混合动力洗扫车</w:t>
            </w:r>
          </w:p>
        </w:tc>
        <w:tc>
          <w:tcPr>
            <w:tcW w:w="1095"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r>
              <w:rPr>
                <w:rFonts w:hint="eastAsia" w:cs="黑体" w:asciiTheme="minorEastAsia" w:hAnsiTheme="minorEastAsia" w:eastAsiaTheme="minorEastAsia"/>
                <w:b w:val="0"/>
                <w:bCs w:val="0"/>
                <w:color w:val="000000"/>
              </w:rPr>
              <w:t>辆</w:t>
            </w:r>
          </w:p>
        </w:tc>
        <w:tc>
          <w:tcPr>
            <w:tcW w:w="1066"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r>
              <w:rPr>
                <w:rFonts w:hint="eastAsia" w:cs="黑体" w:asciiTheme="minorEastAsia" w:hAnsiTheme="minorEastAsia" w:eastAsiaTheme="minorEastAsia"/>
                <w:b w:val="0"/>
                <w:bCs w:val="0"/>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r>
              <w:rPr>
                <w:rFonts w:hint="eastAsia" w:cs="黑体" w:asciiTheme="minorEastAsia" w:hAnsiTheme="minorEastAsia" w:eastAsiaTheme="minorEastAsia"/>
                <w:b w:val="0"/>
                <w:bCs w:val="0"/>
                <w:color w:val="000000"/>
              </w:rPr>
              <w:t>B包</w:t>
            </w:r>
          </w:p>
        </w:tc>
        <w:tc>
          <w:tcPr>
            <w:tcW w:w="2825"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r>
              <w:rPr>
                <w:rFonts w:hint="eastAsia" w:cs="黑体" w:asciiTheme="minorEastAsia" w:hAnsiTheme="minorEastAsia" w:eastAsiaTheme="minorEastAsia"/>
                <w:b w:val="0"/>
                <w:bCs w:val="0"/>
                <w:color w:val="000000"/>
              </w:rPr>
              <w:t>综合除雪车</w:t>
            </w:r>
          </w:p>
        </w:tc>
        <w:tc>
          <w:tcPr>
            <w:tcW w:w="1095"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r>
              <w:rPr>
                <w:rFonts w:hint="eastAsia" w:cs="黑体" w:asciiTheme="minorEastAsia" w:hAnsiTheme="minorEastAsia" w:eastAsiaTheme="minorEastAsia"/>
                <w:b w:val="0"/>
                <w:bCs w:val="0"/>
                <w:color w:val="000000"/>
              </w:rPr>
              <w:t>辆</w:t>
            </w:r>
          </w:p>
        </w:tc>
        <w:tc>
          <w:tcPr>
            <w:tcW w:w="1066"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r>
              <w:rPr>
                <w:rFonts w:hint="eastAsia" w:cs="黑体" w:asciiTheme="minorEastAsia" w:hAnsiTheme="minorEastAsia" w:eastAsiaTheme="minorEastAsia"/>
                <w:b w:val="0"/>
                <w:bCs w:val="0"/>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1270"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r>
              <w:rPr>
                <w:rFonts w:hint="eastAsia" w:cs="黑体" w:asciiTheme="minorEastAsia" w:hAnsiTheme="minorEastAsia" w:eastAsiaTheme="minorEastAsia"/>
                <w:b w:val="0"/>
                <w:bCs w:val="0"/>
                <w:color w:val="000000"/>
              </w:rPr>
              <w:t>C包</w:t>
            </w:r>
          </w:p>
        </w:tc>
        <w:tc>
          <w:tcPr>
            <w:tcW w:w="2825"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r>
              <w:rPr>
                <w:rFonts w:hint="eastAsia" w:cs="黑体" w:asciiTheme="minorEastAsia" w:hAnsiTheme="minorEastAsia" w:eastAsiaTheme="minorEastAsia"/>
                <w:b w:val="0"/>
                <w:bCs w:val="0"/>
                <w:color w:val="000000"/>
              </w:rPr>
              <w:t>25T洒水车（含2套扫雪滚、1台双排撒布机）</w:t>
            </w:r>
          </w:p>
        </w:tc>
        <w:tc>
          <w:tcPr>
            <w:tcW w:w="1095"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r>
              <w:rPr>
                <w:rFonts w:hint="eastAsia" w:cs="黑体" w:asciiTheme="minorEastAsia" w:hAnsiTheme="minorEastAsia" w:eastAsiaTheme="minorEastAsia"/>
                <w:b w:val="0"/>
                <w:bCs w:val="0"/>
                <w:color w:val="000000"/>
              </w:rPr>
              <w:t>辆</w:t>
            </w:r>
          </w:p>
        </w:tc>
        <w:tc>
          <w:tcPr>
            <w:tcW w:w="1066"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r>
              <w:rPr>
                <w:rFonts w:hint="eastAsia" w:cs="黑体" w:asciiTheme="minorEastAsia" w:hAnsiTheme="minorEastAsia" w:eastAsiaTheme="minorEastAsia"/>
                <w:b w:val="0"/>
                <w:bCs w:val="0"/>
                <w:color w:val="00000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r>
              <w:rPr>
                <w:rFonts w:hint="eastAsia" w:cs="黑体" w:asciiTheme="minorEastAsia" w:hAnsiTheme="minorEastAsia" w:eastAsiaTheme="minorEastAsia"/>
                <w:b w:val="0"/>
                <w:bCs w:val="0"/>
                <w:color w:val="000000"/>
              </w:rPr>
              <w:t>D包</w:t>
            </w:r>
          </w:p>
        </w:tc>
        <w:tc>
          <w:tcPr>
            <w:tcW w:w="2825"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r>
              <w:rPr>
                <w:rFonts w:hint="eastAsia" w:cs="黑体" w:asciiTheme="minorEastAsia" w:hAnsiTheme="minorEastAsia" w:eastAsiaTheme="minorEastAsia"/>
                <w:b w:val="0"/>
                <w:bCs w:val="0"/>
                <w:color w:val="000000"/>
              </w:rPr>
              <w:t>人行道冲洗机</w:t>
            </w:r>
          </w:p>
        </w:tc>
        <w:tc>
          <w:tcPr>
            <w:tcW w:w="1095"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r>
              <w:rPr>
                <w:rFonts w:hint="eastAsia" w:cs="黑体" w:asciiTheme="minorEastAsia" w:hAnsiTheme="minorEastAsia" w:eastAsiaTheme="minorEastAsia"/>
                <w:b w:val="0"/>
                <w:bCs w:val="0"/>
                <w:color w:val="000000"/>
              </w:rPr>
              <w:t>辆</w:t>
            </w:r>
          </w:p>
        </w:tc>
        <w:tc>
          <w:tcPr>
            <w:tcW w:w="1066"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r>
              <w:rPr>
                <w:rFonts w:hint="eastAsia" w:cs="黑体" w:asciiTheme="minorEastAsia" w:hAnsiTheme="minorEastAsia" w:eastAsiaTheme="minorEastAsia"/>
                <w:b w:val="0"/>
                <w:bCs w:val="0"/>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r>
              <w:rPr>
                <w:rFonts w:hint="eastAsia" w:cs="黑体" w:asciiTheme="minorEastAsia" w:hAnsiTheme="minorEastAsia" w:eastAsiaTheme="minorEastAsia"/>
                <w:b w:val="0"/>
                <w:bCs w:val="0"/>
                <w:color w:val="000000"/>
              </w:rPr>
              <w:t>E包</w:t>
            </w:r>
          </w:p>
        </w:tc>
        <w:tc>
          <w:tcPr>
            <w:tcW w:w="2825"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r>
              <w:rPr>
                <w:rFonts w:hint="eastAsia" w:cs="黑体" w:asciiTheme="minorEastAsia" w:hAnsiTheme="minorEastAsia" w:eastAsiaTheme="minorEastAsia"/>
                <w:b w:val="0"/>
                <w:bCs w:val="0"/>
                <w:color w:val="000000"/>
              </w:rPr>
              <w:t>垃圾清运车</w:t>
            </w:r>
          </w:p>
        </w:tc>
        <w:tc>
          <w:tcPr>
            <w:tcW w:w="1095"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r>
              <w:rPr>
                <w:rFonts w:hint="eastAsia" w:cs="黑体" w:asciiTheme="minorEastAsia" w:hAnsiTheme="minorEastAsia" w:eastAsiaTheme="minorEastAsia"/>
                <w:b w:val="0"/>
                <w:bCs w:val="0"/>
                <w:color w:val="000000"/>
              </w:rPr>
              <w:t>辆</w:t>
            </w:r>
          </w:p>
        </w:tc>
        <w:tc>
          <w:tcPr>
            <w:tcW w:w="1066"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r>
              <w:rPr>
                <w:rFonts w:hint="eastAsia" w:cs="黑体" w:asciiTheme="minorEastAsia" w:hAnsiTheme="minorEastAsia" w:eastAsiaTheme="minorEastAsia"/>
                <w:b w:val="0"/>
                <w:bCs w:val="0"/>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r>
              <w:rPr>
                <w:rFonts w:hint="eastAsia" w:cs="黑体" w:asciiTheme="minorEastAsia" w:hAnsiTheme="minorEastAsia" w:eastAsiaTheme="minorEastAsia"/>
                <w:b w:val="0"/>
                <w:bCs w:val="0"/>
                <w:color w:val="000000"/>
              </w:rPr>
              <w:t>F包</w:t>
            </w:r>
          </w:p>
        </w:tc>
        <w:tc>
          <w:tcPr>
            <w:tcW w:w="2825"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r>
              <w:rPr>
                <w:rFonts w:hint="eastAsia" w:cs="黑体" w:asciiTheme="minorEastAsia" w:hAnsiTheme="minorEastAsia" w:eastAsiaTheme="minorEastAsia"/>
                <w:b w:val="0"/>
                <w:bCs w:val="0"/>
                <w:color w:val="000000"/>
              </w:rPr>
              <w:t>雾炮车</w:t>
            </w:r>
          </w:p>
        </w:tc>
        <w:tc>
          <w:tcPr>
            <w:tcW w:w="1095"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r>
              <w:rPr>
                <w:rFonts w:hint="eastAsia" w:cs="黑体" w:asciiTheme="minorEastAsia" w:hAnsiTheme="minorEastAsia" w:eastAsiaTheme="minorEastAsia"/>
                <w:b w:val="0"/>
                <w:bCs w:val="0"/>
                <w:color w:val="000000"/>
              </w:rPr>
              <w:t>辆</w:t>
            </w:r>
          </w:p>
        </w:tc>
        <w:tc>
          <w:tcPr>
            <w:tcW w:w="1066"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r>
              <w:rPr>
                <w:rFonts w:hint="eastAsia" w:cs="黑体" w:asciiTheme="minorEastAsia" w:hAnsiTheme="minorEastAsia" w:eastAsiaTheme="minorEastAsia"/>
                <w:b w:val="0"/>
                <w:bCs w:val="0"/>
                <w:color w:val="000000"/>
              </w:rPr>
              <w:t>2</w:t>
            </w:r>
          </w:p>
        </w:tc>
      </w:tr>
    </w:tbl>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p>
    <w:p>
      <w:pPr>
        <w:pStyle w:val="19"/>
        <w:widowControl/>
        <w:shd w:val="clear" w:color="auto" w:fill="FFFFFF"/>
        <w:spacing w:line="360" w:lineRule="auto"/>
        <w:contextualSpacing/>
        <w:jc w:val="left"/>
        <w:rPr>
          <w:rFonts w:hint="eastAsia" w:cs="仿宋_GB2312" w:asciiTheme="minorEastAsia" w:hAnsiTheme="minorEastAsia" w:eastAsiaTheme="minorEastAsia"/>
          <w:color w:val="000000"/>
          <w:shd w:val="clear" w:color="auto" w:fill="FFFFFF"/>
        </w:rPr>
      </w:pPr>
    </w:p>
    <w:p>
      <w:pPr>
        <w:pStyle w:val="19"/>
        <w:widowControl/>
        <w:numPr>
          <w:ilvl w:val="0"/>
          <w:numId w:val="4"/>
        </w:numPr>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预算金额：</w:t>
      </w:r>
    </w:p>
    <w:p>
      <w:pPr>
        <w:widowControl/>
        <w:shd w:val="clear" w:color="auto" w:fill="FFFFFF"/>
        <w:spacing w:line="360" w:lineRule="atLeast"/>
        <w:ind w:firstLine="480" w:firstLineChars="200"/>
        <w:jc w:val="left"/>
        <w:rPr>
          <w:rFonts w:hint="eastAsia" w:cs="仿宋_GB2312" w:asciiTheme="minorEastAsia" w:hAnsiTheme="minorEastAsia" w:eastAsiaTheme="minorEastAsia"/>
          <w:color w:val="000000"/>
          <w:kern w:val="2"/>
          <w:sz w:val="24"/>
          <w:szCs w:val="24"/>
          <w:shd w:val="clear" w:color="auto" w:fill="FFFFFF"/>
          <w:lang w:val="en-US" w:eastAsia="zh-CN" w:bidi="ar-SA"/>
        </w:rPr>
      </w:pPr>
      <w:r>
        <w:rPr>
          <w:rFonts w:hint="eastAsia" w:cs="仿宋_GB2312" w:asciiTheme="minorEastAsia" w:hAnsiTheme="minorEastAsia" w:eastAsiaTheme="minorEastAsia"/>
          <w:color w:val="000000"/>
          <w:kern w:val="2"/>
          <w:sz w:val="24"/>
          <w:szCs w:val="24"/>
          <w:shd w:val="clear" w:color="auto" w:fill="FFFFFF"/>
          <w:lang w:val="en-US" w:eastAsia="zh-CN" w:bidi="ar-SA"/>
        </w:rPr>
        <w:t>A包：4280000.00元，最高限价：4280000.00元；</w:t>
      </w:r>
    </w:p>
    <w:p>
      <w:pPr>
        <w:widowControl/>
        <w:shd w:val="clear" w:color="auto" w:fill="FFFFFF"/>
        <w:spacing w:line="360" w:lineRule="atLeast"/>
        <w:ind w:firstLine="480" w:firstLineChars="200"/>
        <w:jc w:val="left"/>
        <w:rPr>
          <w:rFonts w:hint="eastAsia" w:cs="仿宋_GB2312" w:asciiTheme="minorEastAsia" w:hAnsiTheme="minorEastAsia" w:eastAsiaTheme="minorEastAsia"/>
          <w:color w:val="000000"/>
          <w:kern w:val="2"/>
          <w:sz w:val="24"/>
          <w:szCs w:val="24"/>
          <w:shd w:val="clear" w:color="auto" w:fill="FFFFFF"/>
          <w:lang w:val="en-US" w:eastAsia="zh-CN" w:bidi="ar-SA"/>
        </w:rPr>
      </w:pPr>
      <w:r>
        <w:rPr>
          <w:rFonts w:hint="eastAsia" w:cs="仿宋_GB2312" w:asciiTheme="minorEastAsia" w:hAnsiTheme="minorEastAsia" w:eastAsiaTheme="minorEastAsia"/>
          <w:color w:val="000000"/>
          <w:kern w:val="2"/>
          <w:sz w:val="24"/>
          <w:szCs w:val="24"/>
          <w:shd w:val="clear" w:color="auto" w:fill="FFFFFF"/>
          <w:lang w:val="en-US" w:eastAsia="zh-CN" w:bidi="ar-SA"/>
        </w:rPr>
        <w:t>B包：740000.00元，最高限价：740000.00元；</w:t>
      </w:r>
    </w:p>
    <w:p>
      <w:pPr>
        <w:widowControl/>
        <w:shd w:val="clear" w:color="auto" w:fill="FFFFFF"/>
        <w:spacing w:line="360" w:lineRule="atLeast"/>
        <w:ind w:firstLine="480" w:firstLineChars="200"/>
        <w:jc w:val="left"/>
        <w:rPr>
          <w:rFonts w:hint="eastAsia" w:cs="仿宋_GB2312" w:asciiTheme="minorEastAsia" w:hAnsiTheme="minorEastAsia" w:eastAsiaTheme="minorEastAsia"/>
          <w:color w:val="000000"/>
          <w:kern w:val="2"/>
          <w:sz w:val="24"/>
          <w:szCs w:val="24"/>
          <w:shd w:val="clear" w:color="auto" w:fill="FFFFFF"/>
          <w:lang w:val="en-US" w:eastAsia="zh-CN" w:bidi="ar-SA"/>
        </w:rPr>
      </w:pPr>
      <w:r>
        <w:rPr>
          <w:rFonts w:hint="eastAsia" w:cs="仿宋_GB2312" w:asciiTheme="minorEastAsia" w:hAnsiTheme="minorEastAsia" w:eastAsiaTheme="minorEastAsia"/>
          <w:color w:val="000000"/>
          <w:kern w:val="2"/>
          <w:sz w:val="24"/>
          <w:szCs w:val="24"/>
          <w:shd w:val="clear" w:color="auto" w:fill="FFFFFF"/>
          <w:lang w:val="en-US" w:eastAsia="zh-CN" w:bidi="ar-SA"/>
        </w:rPr>
        <w:t>C包：3600000.00元，最高限价：3600000.00元；</w:t>
      </w:r>
    </w:p>
    <w:p>
      <w:pPr>
        <w:widowControl/>
        <w:shd w:val="clear" w:color="auto" w:fill="FFFFFF"/>
        <w:spacing w:line="360" w:lineRule="atLeast"/>
        <w:ind w:firstLine="480" w:firstLineChars="200"/>
        <w:jc w:val="left"/>
        <w:rPr>
          <w:rFonts w:hint="eastAsia" w:cs="仿宋_GB2312" w:asciiTheme="minorEastAsia" w:hAnsiTheme="minorEastAsia" w:eastAsiaTheme="minorEastAsia"/>
          <w:color w:val="000000"/>
          <w:kern w:val="2"/>
          <w:sz w:val="24"/>
          <w:szCs w:val="24"/>
          <w:shd w:val="clear" w:color="auto" w:fill="FFFFFF"/>
          <w:lang w:val="en-US" w:eastAsia="zh-CN" w:bidi="ar-SA"/>
        </w:rPr>
      </w:pPr>
      <w:r>
        <w:rPr>
          <w:rFonts w:hint="eastAsia" w:cs="仿宋_GB2312" w:asciiTheme="minorEastAsia" w:hAnsiTheme="minorEastAsia" w:eastAsiaTheme="minorEastAsia"/>
          <w:color w:val="000000"/>
          <w:kern w:val="2"/>
          <w:sz w:val="24"/>
          <w:szCs w:val="24"/>
          <w:shd w:val="clear" w:color="auto" w:fill="FFFFFF"/>
          <w:lang w:val="en-US" w:eastAsia="zh-CN" w:bidi="ar-SA"/>
        </w:rPr>
        <w:t>D包：1290000.00元，最高限价：1290000.00元；</w:t>
      </w:r>
    </w:p>
    <w:p>
      <w:pPr>
        <w:widowControl/>
        <w:shd w:val="clear" w:color="auto" w:fill="FFFFFF"/>
        <w:spacing w:line="360" w:lineRule="atLeast"/>
        <w:ind w:firstLine="480" w:firstLineChars="200"/>
        <w:jc w:val="left"/>
        <w:rPr>
          <w:rFonts w:hint="eastAsia" w:cs="仿宋_GB2312" w:asciiTheme="minorEastAsia" w:hAnsiTheme="minorEastAsia" w:eastAsiaTheme="minorEastAsia"/>
          <w:color w:val="000000"/>
          <w:kern w:val="2"/>
          <w:sz w:val="24"/>
          <w:szCs w:val="24"/>
          <w:shd w:val="clear" w:color="auto" w:fill="FFFFFF"/>
          <w:lang w:val="en-US" w:eastAsia="zh-CN" w:bidi="ar-SA"/>
        </w:rPr>
      </w:pPr>
      <w:r>
        <w:rPr>
          <w:rFonts w:hint="eastAsia" w:cs="仿宋_GB2312" w:asciiTheme="minorEastAsia" w:hAnsiTheme="minorEastAsia" w:eastAsiaTheme="minorEastAsia"/>
          <w:color w:val="000000"/>
          <w:kern w:val="2"/>
          <w:sz w:val="24"/>
          <w:szCs w:val="24"/>
          <w:shd w:val="clear" w:color="auto" w:fill="FFFFFF"/>
          <w:lang w:val="en-US" w:eastAsia="zh-CN" w:bidi="ar-SA"/>
        </w:rPr>
        <w:t>E包：640000.00元，最高限价：640000.00元；</w:t>
      </w:r>
    </w:p>
    <w:p>
      <w:pPr>
        <w:widowControl/>
        <w:shd w:val="clear" w:color="auto" w:fill="FFFFFF"/>
        <w:spacing w:line="360" w:lineRule="atLeast"/>
        <w:ind w:firstLine="480" w:firstLineChars="200"/>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kern w:val="2"/>
          <w:sz w:val="24"/>
          <w:szCs w:val="24"/>
          <w:shd w:val="clear" w:color="auto" w:fill="FFFFFF"/>
          <w:lang w:val="en-US" w:eastAsia="zh-CN" w:bidi="ar-SA"/>
        </w:rPr>
        <w:t>F包：1410000.00元； 最高限价：1410000.00元；</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kern w:val="2"/>
          <w:sz w:val="24"/>
          <w:szCs w:val="24"/>
          <w:shd w:val="clear" w:color="auto" w:fill="FFFFFF"/>
          <w:lang w:val="en-US" w:eastAsia="zh-CN" w:bidi="ar-SA"/>
        </w:rPr>
      </w:pPr>
      <w:r>
        <w:rPr>
          <w:rFonts w:hint="eastAsia" w:cs="仿宋_GB2312" w:asciiTheme="minorEastAsia" w:hAnsiTheme="minorEastAsia" w:eastAsiaTheme="minorEastAsia"/>
          <w:color w:val="000000"/>
          <w:kern w:val="2"/>
          <w:sz w:val="24"/>
          <w:szCs w:val="24"/>
          <w:shd w:val="clear" w:color="auto" w:fill="FFFFFF"/>
          <w:lang w:val="en-US" w:eastAsia="zh-CN" w:bidi="ar-SA"/>
        </w:rPr>
        <w:t>（六）交付（服务、完工）时间 ：合同签订后7日历天内。</w:t>
      </w:r>
    </w:p>
    <w:p>
      <w:pPr>
        <w:widowControl/>
        <w:shd w:val="clear" w:color="auto" w:fill="FFFFFF"/>
        <w:spacing w:line="360" w:lineRule="atLeast"/>
        <w:ind w:firstLine="480" w:firstLineChars="200"/>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kern w:val="2"/>
          <w:sz w:val="24"/>
          <w:szCs w:val="24"/>
          <w:shd w:val="clear" w:color="auto" w:fill="FFFFFF"/>
          <w:lang w:val="en-US" w:eastAsia="zh-CN" w:bidi="ar-SA"/>
        </w:rPr>
        <w:t>（七）交付（服务、完工）地点：许昌市东城区新兴路东段。</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二、需要落实的政府采购政策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本项目落实</w:t>
      </w:r>
      <w:r>
        <w:rPr>
          <w:rFonts w:hint="eastAsia" w:cs="仿宋_GB2312" w:asciiTheme="minorEastAsia" w:hAnsiTheme="minorEastAsia" w:eastAsiaTheme="minorEastAsia"/>
          <w:color w:val="000000"/>
          <w:u w:val="single"/>
          <w:shd w:val="clear" w:color="auto" w:fill="FFFFFF"/>
        </w:rPr>
        <w:t>节能环保</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中小微型企业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监狱企业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残疾人福利性单位</w:t>
      </w:r>
      <w:r>
        <w:rPr>
          <w:rFonts w:hint="eastAsia" w:cs="仿宋_GB2312" w:asciiTheme="minorEastAsia" w:hAnsiTheme="minorEastAsia" w:eastAsiaTheme="minorEastAsia"/>
          <w:color w:val="000000"/>
          <w:shd w:val="clear" w:color="auto" w:fill="FFFFFF"/>
        </w:rPr>
        <w:t>扶持等相关政府采购政策。</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三、投标人资格要求</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（一）符合《中华人民共和国政府采购法》第二十二条之规定；</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w:t>
      </w:r>
      <w:r>
        <w:rPr>
          <w:rFonts w:cs="仿宋_GB2312" w:asciiTheme="minorEastAsia" w:hAnsiTheme="minorEastAsia" w:eastAsiaTheme="minorEastAsia"/>
          <w:color w:val="000000"/>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中国政府采购网</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hd w:val="clear" w:color="auto" w:fill="FFFFFF"/>
        </w:rPr>
        <w:t>；</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w:t>
      </w:r>
      <w:r>
        <w:rPr>
          <w:rFonts w:cs="仿宋_GB2312" w:asciiTheme="minorEastAsia" w:hAnsiTheme="minorEastAsia"/>
          <w:color w:val="000000"/>
          <w:shd w:val="clear" w:color="auto" w:fill="FFFFFF"/>
        </w:rPr>
        <w:t xml:space="preserve"> </w:t>
      </w:r>
      <w:r>
        <w:rPr>
          <w:rFonts w:hint="eastAsia" w:cs="仿宋_GB2312" w:asciiTheme="minorEastAsia" w:hAnsiTheme="minorEastAsia" w:eastAsiaTheme="minorEastAsia"/>
          <w:color w:val="000000"/>
          <w:shd w:val="clear" w:color="auto" w:fill="FFFFFF"/>
        </w:rPr>
        <w:t>本次招标不接受联合体投标。</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四、招标文件的获取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（一）网上下载招标文件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（二）招标文件售价</w:t>
      </w:r>
      <w:r>
        <w:rPr>
          <w:rFonts w:hint="eastAsia" w:cs="仿宋_GB2312" w:asciiTheme="minorEastAsia" w:hAnsiTheme="minorEastAsia" w:eastAsiaTheme="minorEastAsia"/>
          <w:color w:val="000000"/>
          <w:u w:val="single"/>
          <w:shd w:val="clear" w:color="auto" w:fill="FFFFFF"/>
        </w:rPr>
        <w:t xml:space="preserve">  </w:t>
      </w:r>
      <w:r>
        <w:rPr>
          <w:rFonts w:hint="eastAsia" w:cs="仿宋_GB2312" w:asciiTheme="minorEastAsia" w:hAnsiTheme="minorEastAsia" w:eastAsiaTheme="minorEastAsia"/>
          <w:color w:val="000000"/>
          <w:u w:val="single"/>
          <w:shd w:val="clear" w:color="auto" w:fill="FFFFFF"/>
          <w:lang w:val="en-US" w:eastAsia="zh-CN"/>
        </w:rPr>
        <w:t>300</w:t>
      </w:r>
      <w:r>
        <w:rPr>
          <w:rFonts w:hint="eastAsia" w:cs="仿宋_GB2312" w:asciiTheme="minorEastAsia" w:hAnsiTheme="minorEastAsia" w:eastAsiaTheme="minorEastAsia"/>
          <w:color w:val="000000"/>
          <w:u w:val="single"/>
          <w:shd w:val="clear" w:color="auto" w:fill="FFFFFF"/>
        </w:rPr>
        <w:t xml:space="preserve">   </w:t>
      </w:r>
      <w:r>
        <w:rPr>
          <w:rFonts w:hint="eastAsia" w:cs="仿宋_GB2312" w:asciiTheme="minorEastAsia" w:hAnsiTheme="minorEastAsia" w:eastAsiaTheme="minorEastAsia"/>
          <w:color w:val="000000"/>
          <w:shd w:val="clear" w:color="auto" w:fill="FFFFFF"/>
        </w:rPr>
        <w:t xml:space="preserve"> 元/套，投标人在递交投标文件时向采购代理机构交纳采购文件费用，售后不退。</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五、投标截止时间、开标时间及地点</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（一）投标截止及开标时间：2018年</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rPr>
        <w:t>月</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rPr>
        <w:t>日</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rPr>
        <w:t>时</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rPr>
        <w:t>分（北京时间），逾期提交或不符合规定的投标文件不予接受。</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（二）开标地点：许昌市公共资源交易中心（</w:t>
      </w:r>
      <w:r>
        <w:rPr>
          <w:rFonts w:cs="Arial" w:asciiTheme="minorEastAsia" w:hAnsiTheme="minorEastAsia" w:eastAsiaTheme="minorEastAsia"/>
          <w:color w:val="000000"/>
        </w:rPr>
        <w:t>龙兴路与竹林路交汇处</w:t>
      </w:r>
      <w:r>
        <w:rPr>
          <w:rFonts w:hint="eastAsia" w:cs="仿宋_GB2312" w:asciiTheme="minorEastAsia" w:hAnsiTheme="minorEastAsia" w:eastAsiaTheme="minorEastAsia"/>
          <w:color w:val="000000"/>
        </w:rPr>
        <w:t>公共资源大厦）三楼开标</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rPr>
        <w:t>室。</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（三） 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1、加密电子投标文件</w:t>
      </w:r>
      <w:r>
        <w:rPr>
          <w:rFonts w:hint="eastAsia" w:cs="宋体" w:asciiTheme="minorEastAsia" w:hAnsiTheme="minorEastAsia"/>
          <w:color w:val="000000"/>
        </w:rPr>
        <w:t>（</w:t>
      </w:r>
      <w:r>
        <w:rPr>
          <w:rFonts w:asciiTheme="minorEastAsia" w:hAnsiTheme="minorEastAsia" w:eastAsiaTheme="minorEastAsia"/>
          <w:color w:val="000000"/>
        </w:rPr>
        <w:t>.file</w:t>
      </w:r>
      <w:r>
        <w:rPr>
          <w:rFonts w:hint="eastAsia" w:cs="宋体" w:asciiTheme="minorEastAsia" w:hAnsiTheme="minorEastAsia"/>
          <w:color w:val="000000"/>
        </w:rPr>
        <w:t>格式）须</w:t>
      </w:r>
      <w:r>
        <w:rPr>
          <w:rFonts w:hint="eastAsia" w:cs="仿宋_GB2312" w:asciiTheme="minorEastAsia" w:hAnsiTheme="minorEastAsia" w:eastAsiaTheme="minorEastAsia"/>
          <w:color w:val="000000"/>
        </w:rPr>
        <w:t>在投标截止时间（开标时间）前通过《全国公共资源交易平台(河南省▪许昌市)》公共资源交易系统成功上传。</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pct10" w:color="auto" w:fill="FFFFFF"/>
        </w:rPr>
      </w:pPr>
      <w:r>
        <w:rPr>
          <w:rFonts w:hint="eastAsia" w:cs="仿宋_GB2312" w:asciiTheme="minorEastAsia" w:hAnsiTheme="minorEastAsia" w:eastAsiaTheme="minorEastAsia"/>
          <w:color w:val="000000"/>
        </w:rPr>
        <w:t>2、纸质投标文件（正本、副本各1份）和备份文件1份</w:t>
      </w:r>
      <w:r>
        <w:rPr>
          <w:rFonts w:hint="eastAsia" w:hAnsi="宋体"/>
          <w:color w:val="000000"/>
        </w:rPr>
        <w:t>（使用电子介质存储）</w:t>
      </w:r>
      <w:r>
        <w:rPr>
          <w:rFonts w:hint="eastAsia" w:cs="仿宋_GB2312" w:asciiTheme="minorEastAsia" w:hAnsiTheme="minorEastAsia" w:eastAsiaTheme="minorEastAsia"/>
          <w:color w:val="000000"/>
        </w:rPr>
        <w:t>在投标截止时间（开标时间）前递交至本项目开标地点。</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六、本次招标公告同时在《中国政府采购网》、《河南省政府采购网》、《许昌市政府采购网》、《全国公共资源交易平台（河南省·许昌市）》发布。</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七、公告期限</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本招标公告自发布之日起公告期限为5个工作日。</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rPr>
        <w:t>八、联系方式</w:t>
      </w:r>
    </w:p>
    <w:p>
      <w:pPr>
        <w:autoSpaceDE w:val="0"/>
        <w:autoSpaceDN w:val="0"/>
        <w:adjustRightInd w:val="0"/>
        <w:spacing w:line="360" w:lineRule="auto"/>
        <w:ind w:firstLine="480" w:firstLineChars="200"/>
        <w:rPr>
          <w:rFonts w:cs="仿宋_GB2312" w:asciiTheme="minorEastAsia" w:hAnsiTheme="minorEastAsia"/>
          <w:color w:val="000000"/>
          <w:sz w:val="24"/>
          <w:szCs w:val="24"/>
          <w:shd w:val="clear" w:color="auto" w:fill="FFFFFF"/>
        </w:rPr>
      </w:pPr>
      <w:r>
        <w:rPr>
          <w:rFonts w:hint="eastAsia" w:cs="仿宋_GB2312" w:asciiTheme="minorEastAsia" w:hAnsiTheme="minorEastAsia"/>
          <w:color w:val="000000"/>
          <w:sz w:val="24"/>
          <w:szCs w:val="24"/>
          <w:shd w:val="clear" w:color="auto" w:fill="FFFFFF"/>
        </w:rPr>
        <w:t xml:space="preserve">采 购 人：许昌市东城区综合执法局 </w:t>
      </w:r>
    </w:p>
    <w:p>
      <w:pPr>
        <w:autoSpaceDE w:val="0"/>
        <w:autoSpaceDN w:val="0"/>
        <w:adjustRightInd w:val="0"/>
        <w:spacing w:line="360" w:lineRule="auto"/>
        <w:ind w:firstLine="480" w:firstLineChars="200"/>
        <w:rPr>
          <w:rFonts w:cs="仿宋_GB2312" w:asciiTheme="minorEastAsia" w:hAnsiTheme="minorEastAsia"/>
          <w:color w:val="000000"/>
          <w:sz w:val="24"/>
          <w:szCs w:val="24"/>
          <w:shd w:val="clear" w:color="auto" w:fill="FFFFFF"/>
        </w:rPr>
      </w:pPr>
      <w:r>
        <w:rPr>
          <w:rFonts w:hint="eastAsia" w:cs="仿宋_GB2312" w:asciiTheme="minorEastAsia" w:hAnsiTheme="minorEastAsia"/>
          <w:color w:val="000000"/>
          <w:sz w:val="24"/>
          <w:szCs w:val="24"/>
          <w:shd w:val="clear" w:color="auto" w:fill="FFFFFF"/>
        </w:rPr>
        <w:t>地    址： 许昌市新兴路东段</w:t>
      </w:r>
    </w:p>
    <w:p>
      <w:pPr>
        <w:autoSpaceDE w:val="0"/>
        <w:autoSpaceDN w:val="0"/>
        <w:adjustRightInd w:val="0"/>
        <w:spacing w:line="360" w:lineRule="auto"/>
        <w:ind w:firstLine="480" w:firstLineChars="200"/>
        <w:rPr>
          <w:rFonts w:cs="仿宋_GB2312" w:asciiTheme="minorEastAsia" w:hAnsiTheme="minorEastAsia"/>
          <w:color w:val="000000"/>
          <w:sz w:val="24"/>
          <w:szCs w:val="24"/>
          <w:shd w:val="clear" w:color="auto" w:fill="FFFFFF"/>
        </w:rPr>
      </w:pPr>
      <w:r>
        <w:rPr>
          <w:rFonts w:hint="eastAsia" w:cs="仿宋_GB2312" w:asciiTheme="minorEastAsia" w:hAnsiTheme="minorEastAsia"/>
          <w:color w:val="000000"/>
          <w:sz w:val="24"/>
          <w:szCs w:val="24"/>
          <w:shd w:val="clear" w:color="auto" w:fill="FFFFFF"/>
        </w:rPr>
        <w:t xml:space="preserve">联 系 人 ：朱小磊  </w:t>
      </w:r>
      <w:r>
        <w:rPr>
          <w:rFonts w:hint="eastAsia" w:cs="仿宋_GB2312" w:asciiTheme="minorEastAsia" w:hAnsiTheme="minorEastAsia"/>
          <w:color w:val="000000"/>
          <w:sz w:val="24"/>
          <w:szCs w:val="24"/>
          <w:shd w:val="clear" w:color="auto" w:fill="FFFFFF"/>
          <w:lang w:val="en-US" w:eastAsia="zh-CN"/>
        </w:rPr>
        <w:t xml:space="preserve">      </w:t>
      </w:r>
      <w:r>
        <w:rPr>
          <w:rFonts w:hint="eastAsia" w:cs="仿宋_GB2312" w:asciiTheme="minorEastAsia" w:hAnsiTheme="minorEastAsia"/>
          <w:color w:val="000000"/>
          <w:sz w:val="24"/>
          <w:szCs w:val="24"/>
          <w:shd w:val="clear" w:color="auto" w:fill="FFFFFF"/>
        </w:rPr>
        <w:t>联系电话： 0374-2959893</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 xml:space="preserve">代理机构：河南宏业建设管理股份有限公司 </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 xml:space="preserve">地    址：许昌市东城区金融中心 </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lang w:val="zh-CN"/>
        </w:rPr>
      </w:pPr>
      <w:r>
        <w:rPr>
          <w:rFonts w:hint="eastAsia" w:cs="仿宋_GB2312" w:asciiTheme="minorEastAsia" w:hAnsiTheme="minorEastAsia" w:eastAsiaTheme="minorEastAsia"/>
          <w:color w:val="000000"/>
          <w:shd w:val="clear" w:color="auto" w:fill="FFFFFF"/>
        </w:rPr>
        <w:t xml:space="preserve">联 系 人：辛聪   </w:t>
      </w:r>
      <w:r>
        <w:rPr>
          <w:rFonts w:hint="eastAsia" w:cs="仿宋_GB2312" w:asciiTheme="minorEastAsia" w:hAnsiTheme="minorEastAsia" w:eastAsiaTheme="minorEastAsia"/>
          <w:color w:val="000000"/>
          <w:shd w:val="clear" w:color="auto" w:fill="FFFFFF"/>
          <w:lang w:val="en-US" w:eastAsia="zh-CN"/>
        </w:rPr>
        <w:t xml:space="preserve">        </w:t>
      </w:r>
      <w:r>
        <w:rPr>
          <w:rFonts w:hint="eastAsia" w:cs="仿宋_GB2312" w:asciiTheme="minorEastAsia" w:hAnsiTheme="minorEastAsia" w:eastAsiaTheme="minorEastAsia"/>
          <w:color w:val="000000"/>
          <w:shd w:val="clear" w:color="auto" w:fill="FFFFFF"/>
        </w:rPr>
        <w:t xml:space="preserve">联系电话：13598978466 </w:t>
      </w:r>
      <w:r>
        <w:rPr>
          <w:rFonts w:hint="eastAsia" w:asciiTheme="minorEastAsia" w:hAnsiTheme="minorEastAsia" w:cstheme="majorEastAsia"/>
          <w:lang w:val="zh-CN"/>
        </w:rPr>
        <w:t xml:space="preserve"> </w:t>
      </w:r>
      <w:r>
        <w:rPr>
          <w:rFonts w:hint="eastAsia" w:asciiTheme="minorEastAsia" w:hAnsiTheme="minorEastAsia" w:cstheme="majorEastAsia"/>
        </w:rPr>
        <w:t xml:space="preserve">  </w:t>
      </w:r>
      <w:r>
        <w:rPr>
          <w:rFonts w:hint="eastAsia" w:cs="仿宋_GB2312" w:asciiTheme="minorEastAsia" w:hAnsiTheme="minorEastAsia" w:eastAsiaTheme="minorEastAsia"/>
          <w:color w:val="000000"/>
          <w:shd w:val="clear" w:color="auto" w:fill="FFFFFF"/>
          <w:lang w:val="zh-CN"/>
        </w:rPr>
        <w:t xml:space="preserve">   </w:t>
      </w:r>
    </w:p>
    <w:p>
      <w:pPr>
        <w:rPr>
          <w:rFonts w:asciiTheme="minorEastAsia" w:hAnsiTheme="minorEastAsia"/>
          <w:sz w:val="24"/>
          <w:szCs w:val="24"/>
        </w:rPr>
      </w:pPr>
    </w:p>
    <w:p>
      <w:pPr>
        <w:rPr>
          <w:rFonts w:cs="仿宋_GB2312" w:asciiTheme="minorEastAsia" w:hAnsiTheme="minorEastAsia"/>
          <w:color w:val="000000"/>
          <w:sz w:val="24"/>
          <w:szCs w:val="24"/>
          <w:shd w:val="clear" w:color="auto" w:fill="FFFFFF"/>
        </w:rPr>
      </w:pPr>
    </w:p>
    <w:p>
      <w:pPr>
        <w:pStyle w:val="19"/>
        <w:widowControl/>
        <w:shd w:val="clear" w:color="auto" w:fill="FFFFFF"/>
        <w:spacing w:line="440" w:lineRule="exact"/>
        <w:ind w:firstLine="420"/>
        <w:contextualSpacing/>
        <w:jc w:val="center"/>
        <w:rPr>
          <w:rFonts w:cs="仿宋_GB2312" w:asciiTheme="minorEastAsia" w:hAnsiTheme="minorEastAsia" w:eastAsiaTheme="minorEastAsia"/>
          <w:color w:val="000000"/>
          <w:shd w:val="clear" w:color="auto" w:fill="FFFFFF"/>
        </w:rPr>
      </w:pPr>
      <w:r>
        <w:rPr>
          <w:rFonts w:hint="eastAsia" w:asciiTheme="minorEastAsia" w:hAnsiTheme="minorEastAsia" w:cstheme="majorEastAsia"/>
          <w:sz w:val="24"/>
          <w:szCs w:val="24"/>
          <w:lang w:val="zh-CN"/>
        </w:rPr>
        <w:t xml:space="preserve">                            </w:t>
      </w:r>
      <w:r>
        <w:rPr>
          <w:rFonts w:hint="eastAsia" w:asciiTheme="minorEastAsia" w:hAnsiTheme="minorEastAsia" w:cstheme="majorEastAsia"/>
          <w:sz w:val="24"/>
          <w:szCs w:val="24"/>
          <w:lang w:val="en-US" w:eastAsia="zh-CN"/>
        </w:rPr>
        <w:t xml:space="preserve">        </w:t>
      </w:r>
      <w:r>
        <w:rPr>
          <w:rFonts w:hint="eastAsia" w:asciiTheme="minorEastAsia" w:hAnsiTheme="minorEastAsia" w:cstheme="majorEastAsia"/>
          <w:sz w:val="24"/>
          <w:szCs w:val="24"/>
          <w:lang w:val="zh-CN"/>
        </w:rPr>
        <w:t xml:space="preserve">   </w:t>
      </w:r>
      <w:r>
        <w:rPr>
          <w:rFonts w:hint="eastAsia" w:cs="仿宋_GB2312" w:asciiTheme="minorEastAsia" w:hAnsiTheme="minorEastAsia" w:eastAsiaTheme="minorEastAsia"/>
          <w:color w:val="000000"/>
          <w:shd w:val="clear" w:color="auto" w:fill="FFFFFF"/>
        </w:rPr>
        <w:t xml:space="preserve">许昌市东城区综合执法局                                       </w:t>
      </w:r>
    </w:p>
    <w:p>
      <w:pPr>
        <w:pStyle w:val="19"/>
        <w:widowControl/>
        <w:shd w:val="clear" w:color="auto" w:fill="FFFFFF"/>
        <w:spacing w:line="440" w:lineRule="exact"/>
        <w:ind w:firstLine="6000" w:firstLineChars="2500"/>
        <w:contextualSpacing/>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2018年</w:t>
      </w:r>
      <w:r>
        <w:rPr>
          <w:rFonts w:hint="eastAsia" w:cs="仿宋_GB2312" w:asciiTheme="minorEastAsia" w:hAnsiTheme="minorEastAsia" w:eastAsiaTheme="minorEastAsia"/>
          <w:color w:val="000000"/>
          <w:shd w:val="clear" w:color="auto" w:fill="FFFFFF"/>
          <w:lang w:val="en-US" w:eastAsia="zh-CN"/>
        </w:rPr>
        <w:t>5</w:t>
      </w:r>
      <w:r>
        <w:rPr>
          <w:rFonts w:hint="eastAsia" w:cs="仿宋_GB2312" w:asciiTheme="minorEastAsia" w:hAnsiTheme="minorEastAsia" w:eastAsiaTheme="minorEastAsia"/>
          <w:color w:val="000000"/>
          <w:shd w:val="clear" w:color="auto" w:fill="FFFFFF"/>
        </w:rPr>
        <w:t xml:space="preserve">月 </w:t>
      </w:r>
      <w:r>
        <w:rPr>
          <w:rFonts w:hint="eastAsia" w:cs="仿宋_GB2312" w:asciiTheme="minorEastAsia" w:hAnsiTheme="minorEastAsia" w:eastAsiaTheme="minorEastAsia"/>
          <w:color w:val="000000"/>
          <w:shd w:val="clear" w:color="auto" w:fill="FFFFFF"/>
          <w:lang w:val="en-US" w:eastAsia="zh-CN"/>
        </w:rPr>
        <w:t>16</w:t>
      </w:r>
      <w:r>
        <w:rPr>
          <w:rFonts w:hint="eastAsia" w:cs="仿宋_GB2312" w:asciiTheme="minorEastAsia" w:hAnsiTheme="minorEastAsia" w:eastAsiaTheme="minorEastAsia"/>
          <w:color w:val="000000"/>
          <w:shd w:val="clear" w:color="auto" w:fill="FFFFFF"/>
        </w:rPr>
        <w:t>日</w:t>
      </w:r>
    </w:p>
    <w:p>
      <w:pPr>
        <w:autoSpaceDE w:val="0"/>
        <w:autoSpaceDN w:val="0"/>
        <w:adjustRightInd w:val="0"/>
        <w:spacing w:line="700" w:lineRule="exact"/>
        <w:ind w:firstLine="560"/>
        <w:rPr>
          <w:rFonts w:cs="仿宋_GB2312" w:asciiTheme="minorEastAsia" w:hAnsiTheme="minorEastAsia"/>
          <w:color w:val="000000"/>
          <w:sz w:val="24"/>
          <w:szCs w:val="24"/>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pStyle w:val="2"/>
        <w:rPr>
          <w:rFonts w:hAnsi="宋体"/>
          <w:b/>
          <w:sz w:val="28"/>
          <w:szCs w:val="28"/>
        </w:rPr>
      </w:pPr>
    </w:p>
    <w:p>
      <w:pPr>
        <w:pStyle w:val="2"/>
        <w:rPr>
          <w:rFonts w:hAnsi="宋体"/>
          <w:b/>
          <w:sz w:val="28"/>
          <w:szCs w:val="28"/>
        </w:rPr>
      </w:pPr>
    </w:p>
    <w:p>
      <w:pPr>
        <w:pStyle w:val="2"/>
        <w:rPr>
          <w:rFonts w:hAnsi="宋体"/>
          <w:b/>
          <w:sz w:val="28"/>
          <w:szCs w:val="28"/>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3"/>
          <w:rFonts w:hAnsi="宋体"/>
          <w:sz w:val="24"/>
          <w:szCs w:val="24"/>
        </w:rPr>
        <w:t>http://221.14.6.70:8088/ggzy/</w:t>
      </w:r>
      <w:r>
        <w:rPr>
          <w:rStyle w:val="23"/>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3"/>
          <w:rFonts w:hAnsi="宋体"/>
          <w:sz w:val="24"/>
          <w:szCs w:val="24"/>
        </w:rPr>
        <w:t>http://221.14.6.70:8088/ggzy/</w:t>
      </w:r>
      <w:r>
        <w:rPr>
          <w:rStyle w:val="23"/>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5"/>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6"/>
          <w:szCs w:val="36"/>
        </w:rPr>
        <w:t>项目需求</w:t>
      </w:r>
    </w:p>
    <w:p>
      <w:pPr>
        <w:widowControl/>
        <w:shd w:val="clear" w:color="auto" w:fill="FFFFFF"/>
        <w:spacing w:line="360" w:lineRule="auto"/>
        <w:contextualSpacing/>
        <w:jc w:val="left"/>
        <w:rPr>
          <w:rFonts w:hint="eastAsia" w:ascii="仿宋" w:hAnsi="仿宋" w:eastAsia="仿宋" w:cs="仿宋"/>
          <w:bCs/>
          <w:sz w:val="24"/>
          <w:szCs w:val="24"/>
        </w:rPr>
      </w:pPr>
      <w:r>
        <w:rPr>
          <w:rFonts w:hint="eastAsia" w:cs="黑体" w:asciiTheme="minorEastAsia" w:hAnsiTheme="minorEastAsia"/>
          <w:b/>
          <w:bCs/>
          <w:color w:val="000000"/>
          <w:sz w:val="24"/>
          <w:szCs w:val="24"/>
          <w:shd w:val="clear" w:color="auto" w:fill="FFFFFF"/>
          <w:lang w:eastAsia="zh-CN"/>
        </w:rPr>
        <w:t>（一）</w:t>
      </w:r>
      <w:r>
        <w:rPr>
          <w:rFonts w:hint="eastAsia" w:cs="黑体" w:asciiTheme="minorEastAsia" w:hAnsiTheme="minorEastAsia"/>
          <w:b/>
          <w:bCs/>
          <w:color w:val="000000"/>
          <w:sz w:val="24"/>
          <w:szCs w:val="24"/>
          <w:shd w:val="clear" w:color="auto" w:fill="FFFFFF"/>
        </w:rPr>
        <w:t>、</w:t>
      </w:r>
      <w:r>
        <w:rPr>
          <w:rFonts w:hint="eastAsia" w:ascii="仿宋" w:hAnsi="仿宋" w:eastAsia="仿宋" w:cs="仿宋"/>
          <w:b/>
          <w:bCs/>
          <w:color w:val="000000"/>
          <w:sz w:val="24"/>
          <w:szCs w:val="24"/>
          <w:shd w:val="clear" w:color="auto" w:fill="FFFFFF"/>
        </w:rPr>
        <w:t>采购清单</w:t>
      </w:r>
    </w:p>
    <w:tbl>
      <w:tblPr>
        <w:tblStyle w:val="24"/>
        <w:tblW w:w="7875" w:type="dxa"/>
        <w:jc w:val="center"/>
        <w:tblInd w:w="4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2580"/>
        <w:gridCol w:w="1027"/>
        <w:gridCol w:w="1066"/>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8"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标段</w:t>
            </w:r>
          </w:p>
        </w:tc>
        <w:tc>
          <w:tcPr>
            <w:tcW w:w="2580"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货物名称</w:t>
            </w:r>
          </w:p>
        </w:tc>
        <w:tc>
          <w:tcPr>
            <w:tcW w:w="1027"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单位</w:t>
            </w:r>
          </w:p>
        </w:tc>
        <w:tc>
          <w:tcPr>
            <w:tcW w:w="1066"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数量</w:t>
            </w:r>
          </w:p>
        </w:tc>
        <w:tc>
          <w:tcPr>
            <w:tcW w:w="2084"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是否核心产品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8" w:type="dxa"/>
            <w:vMerge w:val="restart"/>
            <w:vAlign w:val="top"/>
          </w:tcPr>
          <w:p>
            <w:pPr>
              <w:pStyle w:val="2"/>
              <w:ind w:firstLine="0" w:firstLineChars="0"/>
              <w:rPr>
                <w:rFonts w:hint="eastAsia" w:ascii="仿宋" w:hAnsi="仿宋" w:eastAsia="仿宋" w:cs="仿宋"/>
                <w:bCs/>
                <w:sz w:val="24"/>
                <w:szCs w:val="24"/>
              </w:rPr>
            </w:pPr>
          </w:p>
          <w:p>
            <w:pPr>
              <w:pStyle w:val="2"/>
              <w:rPr>
                <w:rFonts w:hint="eastAsia" w:ascii="仿宋" w:hAnsi="仿宋" w:eastAsia="仿宋" w:cs="仿宋"/>
                <w:bCs/>
                <w:sz w:val="24"/>
                <w:szCs w:val="24"/>
              </w:rPr>
            </w:pPr>
            <w:r>
              <w:rPr>
                <w:rFonts w:hint="eastAsia" w:ascii="仿宋" w:hAnsi="仿宋" w:eastAsia="仿宋" w:cs="仿宋"/>
                <w:bCs/>
                <w:sz w:val="24"/>
                <w:szCs w:val="24"/>
              </w:rPr>
              <w:t>A包</w:t>
            </w:r>
          </w:p>
        </w:tc>
        <w:tc>
          <w:tcPr>
            <w:tcW w:w="2580"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16T洗扫车（常规）</w:t>
            </w:r>
          </w:p>
        </w:tc>
        <w:tc>
          <w:tcPr>
            <w:tcW w:w="1027"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辆</w:t>
            </w:r>
          </w:p>
        </w:tc>
        <w:tc>
          <w:tcPr>
            <w:tcW w:w="1066"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5</w:t>
            </w:r>
          </w:p>
        </w:tc>
        <w:tc>
          <w:tcPr>
            <w:tcW w:w="2084"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8" w:type="dxa"/>
            <w:vMerge w:val="continue"/>
            <w:vAlign w:val="top"/>
          </w:tcPr>
          <w:p>
            <w:pPr>
              <w:pStyle w:val="2"/>
              <w:ind w:firstLine="0" w:firstLineChars="0"/>
              <w:jc w:val="center"/>
              <w:rPr>
                <w:rFonts w:hint="eastAsia" w:ascii="仿宋" w:hAnsi="仿宋" w:eastAsia="仿宋" w:cs="仿宋"/>
                <w:bCs/>
                <w:sz w:val="24"/>
                <w:szCs w:val="24"/>
              </w:rPr>
            </w:pPr>
          </w:p>
        </w:tc>
        <w:tc>
          <w:tcPr>
            <w:tcW w:w="2580"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油电混合动力洗扫车</w:t>
            </w:r>
          </w:p>
        </w:tc>
        <w:tc>
          <w:tcPr>
            <w:tcW w:w="1027"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辆</w:t>
            </w:r>
          </w:p>
        </w:tc>
        <w:tc>
          <w:tcPr>
            <w:tcW w:w="1066"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1</w:t>
            </w:r>
          </w:p>
        </w:tc>
        <w:tc>
          <w:tcPr>
            <w:tcW w:w="2084"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118"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B包</w:t>
            </w:r>
          </w:p>
        </w:tc>
        <w:tc>
          <w:tcPr>
            <w:tcW w:w="2580"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综合除雪车</w:t>
            </w:r>
          </w:p>
        </w:tc>
        <w:tc>
          <w:tcPr>
            <w:tcW w:w="1027"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辆</w:t>
            </w:r>
          </w:p>
        </w:tc>
        <w:tc>
          <w:tcPr>
            <w:tcW w:w="1066"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1</w:t>
            </w:r>
          </w:p>
        </w:tc>
        <w:tc>
          <w:tcPr>
            <w:tcW w:w="2084"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jc w:val="center"/>
        </w:trPr>
        <w:tc>
          <w:tcPr>
            <w:tcW w:w="1118" w:type="dxa"/>
            <w:vAlign w:val="top"/>
          </w:tcPr>
          <w:p>
            <w:pPr>
              <w:pStyle w:val="2"/>
              <w:rPr>
                <w:rFonts w:hint="eastAsia" w:ascii="仿宋" w:hAnsi="仿宋" w:eastAsia="仿宋" w:cs="仿宋"/>
                <w:bCs/>
                <w:sz w:val="24"/>
                <w:szCs w:val="24"/>
              </w:rPr>
            </w:pPr>
            <w:r>
              <w:rPr>
                <w:rFonts w:hint="eastAsia" w:ascii="仿宋" w:hAnsi="仿宋" w:eastAsia="仿宋" w:cs="仿宋"/>
                <w:bCs/>
                <w:sz w:val="24"/>
                <w:szCs w:val="24"/>
              </w:rPr>
              <w:t>C包</w:t>
            </w:r>
          </w:p>
        </w:tc>
        <w:tc>
          <w:tcPr>
            <w:tcW w:w="2580"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25T洒水车（含2套扫雪滚、1台双排撒布机）</w:t>
            </w:r>
          </w:p>
        </w:tc>
        <w:tc>
          <w:tcPr>
            <w:tcW w:w="1027"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辆</w:t>
            </w:r>
          </w:p>
        </w:tc>
        <w:tc>
          <w:tcPr>
            <w:tcW w:w="1066"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6</w:t>
            </w:r>
          </w:p>
        </w:tc>
        <w:tc>
          <w:tcPr>
            <w:tcW w:w="2084"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8"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D包</w:t>
            </w:r>
          </w:p>
        </w:tc>
        <w:tc>
          <w:tcPr>
            <w:tcW w:w="2580"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人行道冲洗机</w:t>
            </w:r>
          </w:p>
        </w:tc>
        <w:tc>
          <w:tcPr>
            <w:tcW w:w="1027"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辆</w:t>
            </w:r>
          </w:p>
        </w:tc>
        <w:tc>
          <w:tcPr>
            <w:tcW w:w="1066"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10</w:t>
            </w:r>
          </w:p>
        </w:tc>
        <w:tc>
          <w:tcPr>
            <w:tcW w:w="2084"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8"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E包</w:t>
            </w:r>
          </w:p>
        </w:tc>
        <w:tc>
          <w:tcPr>
            <w:tcW w:w="2580"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垃圾清运车</w:t>
            </w:r>
          </w:p>
        </w:tc>
        <w:tc>
          <w:tcPr>
            <w:tcW w:w="1027"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辆</w:t>
            </w:r>
          </w:p>
        </w:tc>
        <w:tc>
          <w:tcPr>
            <w:tcW w:w="1066"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2</w:t>
            </w:r>
          </w:p>
        </w:tc>
        <w:tc>
          <w:tcPr>
            <w:tcW w:w="2084"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8"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F包</w:t>
            </w:r>
          </w:p>
        </w:tc>
        <w:tc>
          <w:tcPr>
            <w:tcW w:w="2580"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雾炮车</w:t>
            </w:r>
          </w:p>
        </w:tc>
        <w:tc>
          <w:tcPr>
            <w:tcW w:w="1027"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辆</w:t>
            </w:r>
          </w:p>
        </w:tc>
        <w:tc>
          <w:tcPr>
            <w:tcW w:w="1066"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2</w:t>
            </w:r>
          </w:p>
        </w:tc>
        <w:tc>
          <w:tcPr>
            <w:tcW w:w="2084"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是</w:t>
            </w:r>
          </w:p>
        </w:tc>
      </w:tr>
    </w:tbl>
    <w:p>
      <w:pPr>
        <w:widowControl/>
        <w:shd w:val="clear" w:color="auto" w:fill="FFFFFF"/>
        <w:spacing w:line="360" w:lineRule="auto"/>
        <w:contextualSpacing/>
        <w:jc w:val="left"/>
        <w:rPr>
          <w:rFonts w:hint="eastAsia" w:cs="黑体" w:asciiTheme="minorEastAsia" w:hAnsiTheme="minorEastAsia"/>
          <w:b/>
          <w:bCs/>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lang w:eastAsia="zh-CN"/>
        </w:rPr>
        <w:t>（二）功能要求</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2.1  16T洗扫车（常规型）主要参数介绍：</w:t>
      </w:r>
    </w:p>
    <w:tbl>
      <w:tblPr>
        <w:tblStyle w:val="24"/>
        <w:tblW w:w="8145" w:type="dxa"/>
        <w:tblInd w:w="51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883"/>
        <w:gridCol w:w="426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86" w:hRule="atLeast"/>
        </w:trPr>
        <w:tc>
          <w:tcPr>
            <w:tcW w:w="3883" w:type="dxa"/>
            <w:tcBorders>
              <w:top w:val="single" w:color="auto" w:sz="6" w:space="0"/>
              <w:left w:val="single" w:color="auto" w:sz="6" w:space="0"/>
              <w:right w:val="single" w:color="auto" w:sz="6" w:space="0"/>
            </w:tcBorders>
            <w:vAlign w:val="center"/>
          </w:tcPr>
          <w:p>
            <w:pPr>
              <w:widowControl/>
              <w:ind w:left="248" w:leftChars="118"/>
              <w:jc w:val="center"/>
              <w:rPr>
                <w:rFonts w:hint="eastAsia" w:ascii="仿宋" w:hAnsi="仿宋" w:eastAsia="仿宋" w:cs="仿宋"/>
                <w:sz w:val="24"/>
                <w:szCs w:val="24"/>
              </w:rPr>
            </w:pPr>
            <w:r>
              <w:rPr>
                <w:rFonts w:hint="eastAsia" w:ascii="仿宋" w:hAnsi="仿宋" w:eastAsia="仿宋" w:cs="仿宋"/>
                <w:sz w:val="24"/>
                <w:szCs w:val="24"/>
              </w:rPr>
              <w:t>项 目</w:t>
            </w:r>
          </w:p>
        </w:tc>
        <w:tc>
          <w:tcPr>
            <w:tcW w:w="4262" w:type="dxa"/>
            <w:tcBorders>
              <w:top w:val="single" w:color="auto" w:sz="6" w:space="0"/>
              <w:left w:val="single" w:color="auto" w:sz="6" w:space="0"/>
              <w:right w:val="single" w:color="auto" w:sz="6" w:space="0"/>
            </w:tcBorders>
            <w:vAlign w:val="center"/>
          </w:tcPr>
          <w:p>
            <w:pPr>
              <w:widowControl/>
              <w:ind w:left="-178" w:leftChars="-85" w:firstLine="480" w:firstLineChars="200"/>
              <w:jc w:val="center"/>
              <w:rPr>
                <w:rFonts w:hint="eastAsia" w:ascii="仿宋" w:hAnsi="仿宋" w:eastAsia="仿宋" w:cs="仿宋"/>
                <w:sz w:val="24"/>
                <w:szCs w:val="24"/>
              </w:rPr>
            </w:pPr>
            <w:r>
              <w:rPr>
                <w:rFonts w:hint="eastAsia" w:ascii="仿宋" w:hAnsi="仿宋" w:eastAsia="仿宋" w:cs="仿宋"/>
                <w:sz w:val="24"/>
                <w:szCs w:val="24"/>
              </w:rPr>
              <w:t>参  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883" w:type="dxa"/>
            <w:tcBorders>
              <w:top w:val="single" w:color="auto" w:sz="6" w:space="0"/>
              <w:left w:val="single" w:color="auto" w:sz="6" w:space="0"/>
              <w:bottom w:val="single" w:color="auto" w:sz="6" w:space="0"/>
              <w:right w:val="single" w:color="auto" w:sz="6" w:space="0"/>
            </w:tcBorders>
            <w:vAlign w:val="center"/>
          </w:tcPr>
          <w:p>
            <w:pPr>
              <w:widowControl/>
              <w:rPr>
                <w:rFonts w:hint="eastAsia" w:ascii="仿宋" w:hAnsi="仿宋" w:eastAsia="仿宋" w:cs="仿宋"/>
                <w:sz w:val="24"/>
                <w:szCs w:val="24"/>
              </w:rPr>
            </w:pPr>
            <w:r>
              <w:rPr>
                <w:rFonts w:hint="eastAsia" w:ascii="仿宋" w:hAnsi="仿宋" w:eastAsia="仿宋" w:cs="仿宋"/>
                <w:sz w:val="24"/>
                <w:szCs w:val="24"/>
              </w:rPr>
              <w:t>底盘型号</w:t>
            </w:r>
          </w:p>
        </w:tc>
        <w:tc>
          <w:tcPr>
            <w:tcW w:w="426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DFL1160BX1V（国Ⅴ）或优于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883" w:type="dxa"/>
            <w:tcBorders>
              <w:top w:val="single" w:color="auto" w:sz="6" w:space="0"/>
              <w:left w:val="single" w:color="auto" w:sz="6" w:space="0"/>
              <w:bottom w:val="single" w:color="auto" w:sz="6" w:space="0"/>
              <w:right w:val="single" w:color="auto" w:sz="6" w:space="0"/>
            </w:tcBorders>
            <w:vAlign w:val="center"/>
          </w:tcPr>
          <w:p>
            <w:pPr>
              <w:widowControl/>
              <w:rPr>
                <w:rFonts w:hint="eastAsia" w:ascii="仿宋" w:hAnsi="仿宋" w:eastAsia="仿宋" w:cs="仿宋"/>
                <w:sz w:val="24"/>
                <w:szCs w:val="24"/>
              </w:rPr>
            </w:pPr>
            <w:r>
              <w:rPr>
                <w:rFonts w:hint="eastAsia" w:ascii="仿宋" w:hAnsi="仿宋" w:eastAsia="仿宋" w:cs="仿宋"/>
                <w:sz w:val="24"/>
                <w:szCs w:val="24"/>
              </w:rPr>
              <w:t>底盘发动机型号</w:t>
            </w:r>
          </w:p>
        </w:tc>
        <w:tc>
          <w:tcPr>
            <w:tcW w:w="426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ISD210 50或优于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883" w:type="dxa"/>
            <w:tcBorders>
              <w:top w:val="single" w:color="auto" w:sz="6" w:space="0"/>
              <w:left w:val="single" w:color="auto" w:sz="6" w:space="0"/>
              <w:bottom w:val="single" w:color="auto" w:sz="6" w:space="0"/>
              <w:right w:val="single" w:color="auto" w:sz="6" w:space="0"/>
            </w:tcBorders>
            <w:vAlign w:val="center"/>
          </w:tcPr>
          <w:p>
            <w:pPr>
              <w:widowControl/>
              <w:rPr>
                <w:rFonts w:hint="eastAsia" w:ascii="仿宋" w:hAnsi="仿宋" w:eastAsia="仿宋" w:cs="仿宋"/>
                <w:sz w:val="24"/>
                <w:szCs w:val="24"/>
              </w:rPr>
            </w:pPr>
            <w:r>
              <w:rPr>
                <w:rFonts w:hint="eastAsia" w:ascii="仿宋" w:hAnsi="仿宋" w:eastAsia="仿宋" w:cs="仿宋"/>
                <w:sz w:val="24"/>
                <w:szCs w:val="24"/>
              </w:rPr>
              <w:t>底盘发动机功率 (kw)</w:t>
            </w:r>
          </w:p>
        </w:tc>
        <w:tc>
          <w:tcPr>
            <w:tcW w:w="426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≥155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883" w:type="dxa"/>
            <w:tcBorders>
              <w:top w:val="single" w:color="auto" w:sz="6" w:space="0"/>
              <w:left w:val="single" w:color="auto" w:sz="6" w:space="0"/>
              <w:bottom w:val="single" w:color="auto" w:sz="6" w:space="0"/>
              <w:right w:val="single" w:color="auto" w:sz="6" w:space="0"/>
            </w:tcBorders>
            <w:vAlign w:val="center"/>
          </w:tcPr>
          <w:p>
            <w:pPr>
              <w:widowControl/>
              <w:rPr>
                <w:rFonts w:hint="eastAsia" w:ascii="仿宋" w:hAnsi="仿宋" w:eastAsia="仿宋" w:cs="仿宋"/>
                <w:sz w:val="24"/>
                <w:szCs w:val="24"/>
              </w:rPr>
            </w:pPr>
            <w:r>
              <w:rPr>
                <w:rFonts w:hint="eastAsia" w:ascii="仿宋" w:hAnsi="仿宋" w:eastAsia="仿宋" w:cs="仿宋"/>
                <w:sz w:val="24"/>
                <w:szCs w:val="24"/>
              </w:rPr>
              <w:t>副发动机型号</w:t>
            </w:r>
          </w:p>
        </w:tc>
        <w:tc>
          <w:tcPr>
            <w:tcW w:w="426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QSB5.9-C160-30或优于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883" w:type="dxa"/>
            <w:tcBorders>
              <w:top w:val="single" w:color="auto" w:sz="6" w:space="0"/>
              <w:left w:val="single" w:color="auto" w:sz="6" w:space="0"/>
              <w:bottom w:val="single" w:color="auto" w:sz="6" w:space="0"/>
              <w:right w:val="single" w:color="auto" w:sz="6" w:space="0"/>
            </w:tcBorders>
            <w:vAlign w:val="center"/>
          </w:tcPr>
          <w:p>
            <w:pPr>
              <w:widowControl/>
              <w:rPr>
                <w:rFonts w:hint="eastAsia" w:ascii="仿宋" w:hAnsi="仿宋" w:eastAsia="仿宋" w:cs="仿宋"/>
                <w:sz w:val="24"/>
                <w:szCs w:val="24"/>
              </w:rPr>
            </w:pPr>
            <w:r>
              <w:rPr>
                <w:rFonts w:hint="eastAsia" w:ascii="仿宋" w:hAnsi="仿宋" w:eastAsia="仿宋" w:cs="仿宋"/>
                <w:sz w:val="24"/>
                <w:szCs w:val="24"/>
              </w:rPr>
              <w:t>副发动机功率(kw)</w:t>
            </w:r>
          </w:p>
        </w:tc>
        <w:tc>
          <w:tcPr>
            <w:tcW w:w="426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≥119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883" w:type="dxa"/>
            <w:tcBorders>
              <w:top w:val="single" w:color="auto" w:sz="6" w:space="0"/>
              <w:left w:val="single" w:color="auto" w:sz="6" w:space="0"/>
              <w:bottom w:val="single" w:color="auto" w:sz="6" w:space="0"/>
              <w:right w:val="single" w:color="auto" w:sz="6" w:space="0"/>
            </w:tcBorders>
            <w:vAlign w:val="center"/>
          </w:tcPr>
          <w:p>
            <w:pPr>
              <w:widowControl/>
              <w:rPr>
                <w:rFonts w:hint="eastAsia" w:ascii="仿宋" w:hAnsi="仿宋" w:eastAsia="仿宋" w:cs="仿宋"/>
                <w:sz w:val="24"/>
                <w:szCs w:val="24"/>
              </w:rPr>
            </w:pPr>
            <w:r>
              <w:rPr>
                <w:rFonts w:hint="eastAsia" w:ascii="仿宋" w:hAnsi="仿宋" w:eastAsia="仿宋" w:cs="仿宋"/>
                <w:sz w:val="24"/>
                <w:szCs w:val="24"/>
              </w:rPr>
              <w:t>满载最大总质量 (kg)</w:t>
            </w:r>
          </w:p>
        </w:tc>
        <w:tc>
          <w:tcPr>
            <w:tcW w:w="426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≥15800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883" w:type="dxa"/>
            <w:tcBorders>
              <w:top w:val="single" w:color="auto" w:sz="6" w:space="0"/>
              <w:left w:val="single" w:color="auto" w:sz="6" w:space="0"/>
              <w:bottom w:val="single" w:color="auto" w:sz="6" w:space="0"/>
              <w:right w:val="single" w:color="auto" w:sz="6" w:space="0"/>
            </w:tcBorders>
            <w:vAlign w:val="center"/>
          </w:tcPr>
          <w:p>
            <w:pPr>
              <w:widowControl/>
              <w:rPr>
                <w:rFonts w:hint="eastAsia" w:ascii="仿宋" w:hAnsi="仿宋" w:eastAsia="仿宋" w:cs="仿宋"/>
                <w:sz w:val="24"/>
                <w:szCs w:val="24"/>
              </w:rPr>
            </w:pPr>
            <w:r>
              <w:rPr>
                <w:rFonts w:hint="eastAsia" w:ascii="仿宋" w:hAnsi="仿宋" w:eastAsia="仿宋" w:cs="仿宋"/>
                <w:sz w:val="24"/>
                <w:szCs w:val="24"/>
              </w:rPr>
              <w:t>额定载质量(kg)</w:t>
            </w:r>
          </w:p>
        </w:tc>
        <w:tc>
          <w:tcPr>
            <w:tcW w:w="426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883" w:type="dxa"/>
            <w:tcBorders>
              <w:top w:val="single" w:color="auto" w:sz="6" w:space="0"/>
              <w:left w:val="single" w:color="auto" w:sz="6" w:space="0"/>
              <w:bottom w:val="single" w:color="auto" w:sz="6" w:space="0"/>
              <w:right w:val="single" w:color="auto" w:sz="6" w:space="0"/>
            </w:tcBorders>
            <w:vAlign w:val="center"/>
          </w:tcPr>
          <w:p>
            <w:pPr>
              <w:pStyle w:val="51"/>
              <w:ind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rPr>
              <w:t>轴距（mm）</w:t>
            </w:r>
          </w:p>
        </w:tc>
        <w:tc>
          <w:tcPr>
            <w:tcW w:w="426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883" w:type="dxa"/>
            <w:tcBorders>
              <w:top w:val="single" w:color="auto" w:sz="6" w:space="0"/>
              <w:left w:val="single" w:color="auto" w:sz="6" w:space="0"/>
              <w:bottom w:val="single" w:color="auto" w:sz="6" w:space="0"/>
              <w:right w:val="single" w:color="auto" w:sz="6" w:space="0"/>
            </w:tcBorders>
            <w:vAlign w:val="center"/>
          </w:tcPr>
          <w:p>
            <w:pPr>
              <w:pStyle w:val="51"/>
              <w:ind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rPr>
              <w:t>驾驶室准乘人数（人）</w:t>
            </w:r>
          </w:p>
        </w:tc>
        <w:tc>
          <w:tcPr>
            <w:tcW w:w="426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883" w:type="dxa"/>
            <w:tcBorders>
              <w:top w:val="single" w:color="auto" w:sz="6" w:space="0"/>
              <w:left w:val="single" w:color="auto" w:sz="6" w:space="0"/>
              <w:bottom w:val="single" w:color="auto" w:sz="6" w:space="0"/>
              <w:right w:val="single" w:color="auto" w:sz="6" w:space="0"/>
            </w:tcBorders>
            <w:vAlign w:val="center"/>
          </w:tcPr>
          <w:p>
            <w:pPr>
              <w:widowControl/>
              <w:rPr>
                <w:rFonts w:hint="eastAsia" w:ascii="仿宋" w:hAnsi="仿宋" w:eastAsia="仿宋" w:cs="仿宋"/>
                <w:sz w:val="24"/>
                <w:szCs w:val="24"/>
              </w:rPr>
            </w:pPr>
            <w:r>
              <w:rPr>
                <w:rFonts w:hint="eastAsia" w:ascii="仿宋" w:hAnsi="仿宋" w:eastAsia="仿宋" w:cs="仿宋"/>
                <w:sz w:val="24"/>
                <w:szCs w:val="24"/>
              </w:rPr>
              <w:t>外形尺寸（长×宽×高） (mm)</w:t>
            </w:r>
          </w:p>
        </w:tc>
        <w:tc>
          <w:tcPr>
            <w:tcW w:w="426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≥8700×2450×3000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883" w:type="dxa"/>
            <w:tcBorders>
              <w:top w:val="single" w:color="auto" w:sz="6" w:space="0"/>
              <w:left w:val="single" w:color="auto" w:sz="6" w:space="0"/>
              <w:bottom w:val="single" w:color="auto" w:sz="6" w:space="0"/>
              <w:right w:val="single" w:color="auto" w:sz="6" w:space="0"/>
            </w:tcBorders>
            <w:vAlign w:val="top"/>
          </w:tcPr>
          <w:p>
            <w:pPr>
              <w:widowControl/>
              <w:rPr>
                <w:rFonts w:hint="eastAsia" w:ascii="仿宋" w:hAnsi="仿宋" w:eastAsia="仿宋" w:cs="仿宋"/>
                <w:sz w:val="24"/>
                <w:szCs w:val="24"/>
              </w:rPr>
            </w:pPr>
            <w:r>
              <w:rPr>
                <w:rFonts w:hint="eastAsia" w:ascii="仿宋" w:hAnsi="仿宋" w:eastAsia="仿宋" w:cs="仿宋"/>
                <w:sz w:val="24"/>
                <w:szCs w:val="24"/>
              </w:rPr>
              <w:t>高压水泵型号</w:t>
            </w:r>
          </w:p>
        </w:tc>
        <w:tc>
          <w:tcPr>
            <w:tcW w:w="426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KT40 或优于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883" w:type="dxa"/>
            <w:tcBorders>
              <w:top w:val="single" w:color="auto" w:sz="6" w:space="0"/>
              <w:left w:val="single" w:color="auto" w:sz="6" w:space="0"/>
              <w:bottom w:val="single" w:color="auto" w:sz="6" w:space="0"/>
              <w:right w:val="single" w:color="auto" w:sz="6" w:space="0"/>
            </w:tcBorders>
            <w:vAlign w:val="center"/>
          </w:tcPr>
          <w:p>
            <w:pPr>
              <w:widowControl/>
              <w:rPr>
                <w:rFonts w:hint="eastAsia" w:ascii="仿宋" w:hAnsi="仿宋" w:eastAsia="仿宋" w:cs="仿宋"/>
                <w:sz w:val="24"/>
                <w:szCs w:val="24"/>
              </w:rPr>
            </w:pPr>
            <w:r>
              <w:rPr>
                <w:rFonts w:hint="eastAsia" w:ascii="仿宋" w:hAnsi="仿宋" w:eastAsia="仿宋" w:cs="仿宋"/>
                <w:sz w:val="24"/>
                <w:szCs w:val="24"/>
              </w:rPr>
              <w:t>高压水泵压力 (MPa)</w:t>
            </w:r>
          </w:p>
        </w:tc>
        <w:tc>
          <w:tcPr>
            <w:tcW w:w="426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883" w:type="dxa"/>
            <w:tcBorders>
              <w:top w:val="single" w:color="auto" w:sz="6" w:space="0"/>
              <w:left w:val="single" w:color="auto" w:sz="6" w:space="0"/>
              <w:bottom w:val="single" w:color="auto" w:sz="6" w:space="0"/>
              <w:right w:val="single" w:color="auto" w:sz="6" w:space="0"/>
            </w:tcBorders>
            <w:vAlign w:val="center"/>
          </w:tcPr>
          <w:p>
            <w:pPr>
              <w:widowControl/>
              <w:rPr>
                <w:rFonts w:hint="eastAsia" w:ascii="仿宋" w:hAnsi="仿宋" w:eastAsia="仿宋" w:cs="仿宋"/>
                <w:sz w:val="24"/>
                <w:szCs w:val="24"/>
              </w:rPr>
            </w:pPr>
            <w:r>
              <w:rPr>
                <w:rFonts w:hint="eastAsia" w:ascii="仿宋" w:hAnsi="仿宋" w:eastAsia="仿宋" w:cs="仿宋"/>
                <w:sz w:val="24"/>
                <w:szCs w:val="24"/>
              </w:rPr>
              <w:t>高压水泵流量(L/min)</w:t>
            </w:r>
          </w:p>
        </w:tc>
        <w:tc>
          <w:tcPr>
            <w:tcW w:w="426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≥142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883" w:type="dxa"/>
            <w:tcBorders>
              <w:top w:val="single" w:color="auto" w:sz="6" w:space="0"/>
              <w:left w:val="single" w:color="auto" w:sz="6" w:space="0"/>
              <w:bottom w:val="single" w:color="auto" w:sz="6" w:space="0"/>
              <w:right w:val="single" w:color="auto" w:sz="6" w:space="0"/>
            </w:tcBorders>
            <w:vAlign w:val="center"/>
          </w:tcPr>
          <w:p>
            <w:pPr>
              <w:widowControl/>
              <w:rPr>
                <w:rFonts w:hint="eastAsia" w:ascii="仿宋" w:hAnsi="仿宋" w:eastAsia="仿宋" w:cs="仿宋"/>
                <w:sz w:val="24"/>
                <w:szCs w:val="24"/>
              </w:rPr>
            </w:pPr>
            <w:r>
              <w:rPr>
                <w:rFonts w:hint="eastAsia" w:ascii="仿宋" w:hAnsi="仿宋" w:eastAsia="仿宋" w:cs="仿宋"/>
                <w:sz w:val="24"/>
                <w:szCs w:val="24"/>
              </w:rPr>
              <w:t>作业宽度  (m)</w:t>
            </w:r>
          </w:p>
        </w:tc>
        <w:tc>
          <w:tcPr>
            <w:tcW w:w="426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 xml:space="preserve">≥3.5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883" w:type="dxa"/>
            <w:tcBorders>
              <w:top w:val="single" w:color="auto" w:sz="6" w:space="0"/>
              <w:left w:val="single" w:color="auto" w:sz="6" w:space="0"/>
              <w:bottom w:val="single" w:color="auto" w:sz="6" w:space="0"/>
              <w:right w:val="single" w:color="auto" w:sz="6" w:space="0"/>
            </w:tcBorders>
            <w:vAlign w:val="top"/>
          </w:tcPr>
          <w:p>
            <w:pPr>
              <w:rPr>
                <w:rFonts w:hint="eastAsia" w:ascii="仿宋" w:hAnsi="仿宋" w:eastAsia="仿宋" w:cs="仿宋"/>
                <w:sz w:val="24"/>
                <w:szCs w:val="24"/>
              </w:rPr>
            </w:pPr>
            <w:r>
              <w:rPr>
                <w:rFonts w:hint="eastAsia" w:ascii="仿宋" w:hAnsi="仿宋" w:eastAsia="仿宋" w:cs="仿宋"/>
                <w:sz w:val="24"/>
                <w:szCs w:val="24"/>
              </w:rPr>
              <w:t>洒水泵型号</w:t>
            </w:r>
          </w:p>
        </w:tc>
        <w:tc>
          <w:tcPr>
            <w:tcW w:w="4262" w:type="dxa"/>
            <w:tcBorders>
              <w:top w:val="single" w:color="auto" w:sz="6" w:space="0"/>
              <w:left w:val="single" w:color="auto" w:sz="6" w:space="0"/>
              <w:bottom w:val="single" w:color="auto" w:sz="6" w:space="0"/>
              <w:right w:val="single" w:color="auto" w:sz="6" w:space="0"/>
            </w:tcBorders>
            <w:vAlign w:val="top"/>
          </w:tcPr>
          <w:p>
            <w:pPr>
              <w:widowControl/>
              <w:jc w:val="center"/>
              <w:rPr>
                <w:rFonts w:hint="eastAsia" w:ascii="仿宋" w:hAnsi="仿宋" w:eastAsia="仿宋" w:cs="仿宋"/>
                <w:sz w:val="24"/>
                <w:szCs w:val="24"/>
              </w:rPr>
            </w:pPr>
            <w:r>
              <w:rPr>
                <w:rFonts w:hint="eastAsia" w:ascii="仿宋" w:hAnsi="仿宋" w:eastAsia="仿宋" w:cs="仿宋"/>
                <w:sz w:val="24"/>
                <w:szCs w:val="24"/>
              </w:rPr>
              <w:t>65QZB-50/110N或优于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883" w:type="dxa"/>
            <w:tcBorders>
              <w:top w:val="single" w:color="auto" w:sz="6" w:space="0"/>
              <w:left w:val="single" w:color="auto" w:sz="6" w:space="0"/>
              <w:bottom w:val="single" w:color="auto" w:sz="6" w:space="0"/>
              <w:right w:val="single" w:color="auto" w:sz="6" w:space="0"/>
            </w:tcBorders>
            <w:vAlign w:val="top"/>
          </w:tcPr>
          <w:p>
            <w:pPr>
              <w:widowControl/>
              <w:rPr>
                <w:rFonts w:hint="eastAsia" w:ascii="仿宋" w:hAnsi="仿宋" w:eastAsia="仿宋" w:cs="仿宋"/>
                <w:sz w:val="24"/>
                <w:szCs w:val="24"/>
              </w:rPr>
            </w:pPr>
            <w:r>
              <w:rPr>
                <w:rFonts w:hint="eastAsia" w:ascii="仿宋" w:hAnsi="仿宋" w:eastAsia="仿宋" w:cs="仿宋"/>
                <w:sz w:val="24"/>
                <w:szCs w:val="24"/>
              </w:rPr>
              <w:t>洒水泵扬程 (m)</w:t>
            </w:r>
          </w:p>
        </w:tc>
        <w:tc>
          <w:tcPr>
            <w:tcW w:w="4262" w:type="dxa"/>
            <w:tcBorders>
              <w:top w:val="single" w:color="auto" w:sz="6" w:space="0"/>
              <w:left w:val="single" w:color="auto" w:sz="6" w:space="0"/>
              <w:bottom w:val="single" w:color="auto" w:sz="6" w:space="0"/>
              <w:right w:val="single" w:color="auto" w:sz="6" w:space="0"/>
            </w:tcBorders>
            <w:vAlign w:val="top"/>
          </w:tcPr>
          <w:p>
            <w:pPr>
              <w:widowControl/>
              <w:jc w:val="center"/>
              <w:rPr>
                <w:rFonts w:hint="eastAsia" w:ascii="仿宋" w:hAnsi="仿宋" w:eastAsia="仿宋" w:cs="仿宋"/>
                <w:sz w:val="24"/>
                <w:szCs w:val="24"/>
              </w:rPr>
            </w:pPr>
            <w:r>
              <w:rPr>
                <w:rFonts w:hint="eastAsia" w:ascii="仿宋" w:hAnsi="仿宋" w:eastAsia="仿宋" w:cs="仿宋"/>
                <w:sz w:val="24"/>
                <w:szCs w:val="24"/>
              </w:rPr>
              <w:t>≥110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883" w:type="dxa"/>
            <w:tcBorders>
              <w:top w:val="single" w:color="auto" w:sz="6" w:space="0"/>
              <w:left w:val="single" w:color="auto" w:sz="6" w:space="0"/>
              <w:bottom w:val="single" w:color="auto" w:sz="6" w:space="0"/>
              <w:right w:val="single" w:color="auto" w:sz="6" w:space="0"/>
            </w:tcBorders>
            <w:vAlign w:val="center"/>
          </w:tcPr>
          <w:p>
            <w:pPr>
              <w:rPr>
                <w:rFonts w:hint="eastAsia" w:ascii="仿宋" w:hAnsi="仿宋" w:eastAsia="仿宋" w:cs="仿宋"/>
                <w:sz w:val="24"/>
                <w:szCs w:val="24"/>
              </w:rPr>
            </w:pPr>
            <w:r>
              <w:rPr>
                <w:rFonts w:hint="eastAsia" w:ascii="仿宋" w:hAnsi="仿宋" w:eastAsia="仿宋" w:cs="仿宋"/>
                <w:sz w:val="24"/>
                <w:szCs w:val="24"/>
              </w:rPr>
              <w:t>洒水泵流量 (m3/h)</w:t>
            </w:r>
          </w:p>
        </w:tc>
        <w:tc>
          <w:tcPr>
            <w:tcW w:w="426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883" w:type="dxa"/>
            <w:tcBorders>
              <w:top w:val="single" w:color="auto" w:sz="6" w:space="0"/>
              <w:left w:val="single" w:color="auto" w:sz="6" w:space="0"/>
              <w:bottom w:val="single" w:color="auto" w:sz="6" w:space="0"/>
              <w:right w:val="single" w:color="auto" w:sz="6" w:space="0"/>
            </w:tcBorders>
            <w:vAlign w:val="center"/>
          </w:tcPr>
          <w:p>
            <w:pPr>
              <w:widowControl/>
              <w:rPr>
                <w:rFonts w:hint="eastAsia" w:ascii="仿宋" w:hAnsi="仿宋" w:eastAsia="仿宋" w:cs="仿宋"/>
                <w:sz w:val="24"/>
                <w:szCs w:val="24"/>
              </w:rPr>
            </w:pPr>
            <w:r>
              <w:rPr>
                <w:rFonts w:hint="eastAsia" w:ascii="仿宋" w:hAnsi="仿宋" w:eastAsia="仿宋" w:cs="仿宋"/>
                <w:sz w:val="24"/>
                <w:szCs w:val="24"/>
              </w:rPr>
              <w:t>清水箱容积(m³)</w:t>
            </w:r>
          </w:p>
        </w:tc>
        <w:tc>
          <w:tcPr>
            <w:tcW w:w="426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883" w:type="dxa"/>
            <w:tcBorders>
              <w:top w:val="single" w:color="auto" w:sz="6" w:space="0"/>
              <w:left w:val="single" w:color="auto" w:sz="6" w:space="0"/>
              <w:bottom w:val="single" w:color="auto" w:sz="6" w:space="0"/>
              <w:right w:val="single" w:color="auto" w:sz="6" w:space="0"/>
            </w:tcBorders>
            <w:vAlign w:val="center"/>
          </w:tcPr>
          <w:p>
            <w:pPr>
              <w:widowControl/>
              <w:rPr>
                <w:rFonts w:hint="eastAsia" w:ascii="仿宋" w:hAnsi="仿宋" w:eastAsia="仿宋" w:cs="仿宋"/>
                <w:sz w:val="24"/>
                <w:szCs w:val="24"/>
              </w:rPr>
            </w:pPr>
            <w:r>
              <w:rPr>
                <w:rFonts w:hint="eastAsia" w:ascii="仿宋" w:hAnsi="仿宋" w:eastAsia="仿宋" w:cs="仿宋"/>
                <w:sz w:val="24"/>
                <w:szCs w:val="24"/>
              </w:rPr>
              <w:t>垃圾箱容积 (m³)</w:t>
            </w:r>
          </w:p>
        </w:tc>
        <w:tc>
          <w:tcPr>
            <w:tcW w:w="426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883" w:type="dxa"/>
            <w:tcBorders>
              <w:top w:val="single" w:color="auto" w:sz="6" w:space="0"/>
              <w:left w:val="single" w:color="auto" w:sz="6" w:space="0"/>
              <w:bottom w:val="single" w:color="auto" w:sz="6" w:space="0"/>
              <w:right w:val="single" w:color="auto" w:sz="6" w:space="0"/>
            </w:tcBorders>
            <w:vAlign w:val="top"/>
          </w:tcPr>
          <w:p>
            <w:pPr>
              <w:rPr>
                <w:rFonts w:hint="eastAsia" w:ascii="仿宋" w:hAnsi="仿宋" w:eastAsia="仿宋" w:cs="仿宋"/>
                <w:sz w:val="24"/>
                <w:szCs w:val="24"/>
              </w:rPr>
            </w:pPr>
            <w:r>
              <w:rPr>
                <w:rFonts w:hint="eastAsia" w:ascii="仿宋" w:hAnsi="仿宋" w:eastAsia="仿宋" w:cs="仿宋"/>
                <w:sz w:val="24"/>
                <w:szCs w:val="24"/>
              </w:rPr>
              <w:t>扫盘数量（个）</w:t>
            </w:r>
          </w:p>
        </w:tc>
        <w:tc>
          <w:tcPr>
            <w:tcW w:w="4262" w:type="dxa"/>
            <w:tcBorders>
              <w:top w:val="single" w:color="auto" w:sz="6" w:space="0"/>
              <w:left w:val="single" w:color="auto" w:sz="6" w:space="0"/>
              <w:bottom w:val="single" w:color="auto" w:sz="6" w:space="0"/>
              <w:right w:val="single" w:color="auto" w:sz="6" w:space="0"/>
            </w:tcBorders>
            <w:vAlign w:val="top"/>
          </w:tcPr>
          <w:p>
            <w:pPr>
              <w:widowControl/>
              <w:jc w:val="center"/>
              <w:rPr>
                <w:rFonts w:hint="eastAsia" w:ascii="仿宋" w:hAnsi="仿宋" w:eastAsia="仿宋" w:cs="仿宋"/>
                <w:sz w:val="24"/>
                <w:szCs w:val="24"/>
              </w:rPr>
            </w:pPr>
            <w:r>
              <w:rPr>
                <w:rFonts w:hint="eastAsia" w:ascii="仿宋" w:hAnsi="仿宋" w:eastAsia="仿宋" w:cs="仿宋"/>
                <w:sz w:val="24"/>
                <w:szCs w:val="24"/>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883" w:type="dxa"/>
            <w:tcBorders>
              <w:top w:val="single" w:color="auto" w:sz="6" w:space="0"/>
              <w:left w:val="single" w:color="auto" w:sz="6" w:space="0"/>
              <w:bottom w:val="single" w:color="auto" w:sz="6" w:space="0"/>
              <w:right w:val="single" w:color="auto" w:sz="6" w:space="0"/>
            </w:tcBorders>
            <w:vAlign w:val="top"/>
          </w:tcPr>
          <w:p>
            <w:pPr>
              <w:rPr>
                <w:rFonts w:hint="eastAsia" w:ascii="仿宋" w:hAnsi="仿宋" w:eastAsia="仿宋" w:cs="仿宋"/>
                <w:sz w:val="24"/>
                <w:szCs w:val="24"/>
              </w:rPr>
            </w:pPr>
            <w:r>
              <w:rPr>
                <w:rFonts w:hint="eastAsia" w:ascii="仿宋" w:hAnsi="仿宋" w:eastAsia="仿宋" w:cs="仿宋"/>
                <w:sz w:val="24"/>
                <w:szCs w:val="24"/>
              </w:rPr>
              <w:t>驾驶室调温措施</w:t>
            </w:r>
          </w:p>
        </w:tc>
        <w:tc>
          <w:tcPr>
            <w:tcW w:w="4262" w:type="dxa"/>
            <w:tcBorders>
              <w:top w:val="single" w:color="auto" w:sz="6" w:space="0"/>
              <w:left w:val="single" w:color="auto" w:sz="6" w:space="0"/>
              <w:bottom w:val="single" w:color="auto" w:sz="6" w:space="0"/>
              <w:right w:val="single" w:color="auto" w:sz="6" w:space="0"/>
            </w:tcBorders>
            <w:vAlign w:val="top"/>
          </w:tcPr>
          <w:p>
            <w:pPr>
              <w:widowControl/>
              <w:jc w:val="center"/>
              <w:rPr>
                <w:rFonts w:hint="eastAsia" w:ascii="仿宋" w:hAnsi="仿宋" w:eastAsia="仿宋" w:cs="仿宋"/>
                <w:sz w:val="24"/>
                <w:szCs w:val="24"/>
              </w:rPr>
            </w:pPr>
            <w:r>
              <w:rPr>
                <w:rFonts w:hint="eastAsia" w:ascii="仿宋" w:hAnsi="仿宋" w:eastAsia="仿宋" w:cs="仿宋"/>
                <w:sz w:val="24"/>
                <w:szCs w:val="24"/>
              </w:rPr>
              <w:t>配原厂冷暖空调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883" w:type="dxa"/>
            <w:tcBorders>
              <w:top w:val="single" w:color="auto" w:sz="6" w:space="0"/>
              <w:left w:val="single" w:color="auto" w:sz="6" w:space="0"/>
              <w:bottom w:val="single" w:color="auto" w:sz="6" w:space="0"/>
              <w:right w:val="single" w:color="auto" w:sz="6" w:space="0"/>
            </w:tcBorders>
            <w:vAlign w:val="top"/>
          </w:tcPr>
          <w:p>
            <w:pPr>
              <w:rPr>
                <w:rFonts w:hint="eastAsia" w:ascii="仿宋" w:hAnsi="仿宋" w:eastAsia="仿宋" w:cs="仿宋"/>
                <w:sz w:val="24"/>
                <w:szCs w:val="24"/>
              </w:rPr>
            </w:pPr>
            <w:r>
              <w:rPr>
                <w:rFonts w:hint="eastAsia" w:ascii="仿宋" w:hAnsi="仿宋" w:eastAsia="仿宋" w:cs="仿宋"/>
                <w:sz w:val="24"/>
                <w:szCs w:val="24"/>
              </w:rPr>
              <w:t>车身喷涂</w:t>
            </w:r>
          </w:p>
        </w:tc>
        <w:tc>
          <w:tcPr>
            <w:tcW w:w="4262" w:type="dxa"/>
            <w:tcBorders>
              <w:top w:val="single" w:color="auto" w:sz="6" w:space="0"/>
              <w:left w:val="single" w:color="auto" w:sz="6" w:space="0"/>
              <w:bottom w:val="single" w:color="auto" w:sz="6" w:space="0"/>
              <w:right w:val="single" w:color="auto" w:sz="6" w:space="0"/>
            </w:tcBorders>
            <w:vAlign w:val="top"/>
          </w:tcPr>
          <w:p>
            <w:pPr>
              <w:widowControl/>
              <w:jc w:val="center"/>
              <w:rPr>
                <w:rFonts w:hint="eastAsia" w:ascii="仿宋" w:hAnsi="仿宋" w:eastAsia="仿宋" w:cs="仿宋"/>
                <w:sz w:val="24"/>
                <w:szCs w:val="24"/>
              </w:rPr>
            </w:pPr>
            <w:r>
              <w:rPr>
                <w:rFonts w:hint="eastAsia" w:ascii="仿宋" w:hAnsi="仿宋" w:eastAsia="仿宋" w:cs="仿宋"/>
                <w:sz w:val="24"/>
                <w:szCs w:val="24"/>
              </w:rPr>
              <w:t>招标方指定的宣传标语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883" w:type="dxa"/>
            <w:tcBorders>
              <w:top w:val="single" w:color="auto" w:sz="6" w:space="0"/>
              <w:left w:val="single" w:color="auto" w:sz="6" w:space="0"/>
              <w:bottom w:val="single" w:color="auto" w:sz="6" w:space="0"/>
              <w:right w:val="single" w:color="auto" w:sz="6" w:space="0"/>
            </w:tcBorders>
            <w:vAlign w:val="top"/>
          </w:tcPr>
          <w:p>
            <w:pPr>
              <w:rPr>
                <w:rFonts w:hint="eastAsia" w:ascii="仿宋" w:hAnsi="仿宋" w:eastAsia="仿宋" w:cs="仿宋"/>
                <w:sz w:val="24"/>
                <w:szCs w:val="24"/>
              </w:rPr>
            </w:pPr>
            <w:r>
              <w:rPr>
                <w:rFonts w:hint="eastAsia" w:ascii="仿宋" w:hAnsi="仿宋" w:eastAsia="仿宋" w:cs="仿宋"/>
                <w:sz w:val="24"/>
                <w:szCs w:val="24"/>
              </w:rPr>
              <w:t>警示标志</w:t>
            </w:r>
          </w:p>
        </w:tc>
        <w:tc>
          <w:tcPr>
            <w:tcW w:w="4262" w:type="dxa"/>
            <w:tcBorders>
              <w:top w:val="single" w:color="auto" w:sz="6" w:space="0"/>
              <w:left w:val="single" w:color="auto" w:sz="6" w:space="0"/>
              <w:bottom w:val="single" w:color="auto" w:sz="6" w:space="0"/>
              <w:right w:val="single" w:color="auto" w:sz="6" w:space="0"/>
            </w:tcBorders>
            <w:vAlign w:val="top"/>
          </w:tcPr>
          <w:p>
            <w:pPr>
              <w:widowControl/>
              <w:jc w:val="center"/>
              <w:rPr>
                <w:rFonts w:hint="eastAsia" w:ascii="仿宋" w:hAnsi="仿宋" w:eastAsia="仿宋" w:cs="仿宋"/>
                <w:sz w:val="24"/>
                <w:szCs w:val="24"/>
              </w:rPr>
            </w:pPr>
            <w:r>
              <w:rPr>
                <w:rFonts w:hint="eastAsia" w:ascii="仿宋" w:hAnsi="仿宋" w:eastAsia="仿宋" w:cs="仿宋"/>
                <w:sz w:val="24"/>
                <w:szCs w:val="24"/>
              </w:rPr>
              <w:t>黄色箭头指示灯</w:t>
            </w:r>
          </w:p>
        </w:tc>
      </w:tr>
    </w:tbl>
    <w:p>
      <w:pPr>
        <w:spacing w:line="560" w:lineRule="exact"/>
        <w:ind w:firstLine="241" w:firstLineChars="100"/>
        <w:rPr>
          <w:rFonts w:hint="eastAsia" w:ascii="仿宋" w:hAnsi="仿宋" w:eastAsia="仿宋" w:cs="仿宋"/>
          <w:b/>
          <w:bCs/>
          <w:sz w:val="24"/>
          <w:szCs w:val="24"/>
        </w:rPr>
      </w:pPr>
      <w:r>
        <w:rPr>
          <w:rFonts w:hint="eastAsia" w:ascii="仿宋" w:hAnsi="仿宋" w:eastAsia="仿宋" w:cs="仿宋"/>
          <w:b/>
          <w:bCs/>
          <w:sz w:val="24"/>
          <w:szCs w:val="24"/>
        </w:rPr>
        <w:t>16T洗扫车（常规型）主要性能描述：</w:t>
      </w:r>
    </w:p>
    <w:p>
      <w:pPr>
        <w:spacing w:line="560" w:lineRule="exact"/>
        <w:ind w:firstLine="480" w:firstLineChars="200"/>
        <w:rPr>
          <w:rFonts w:hint="eastAsia" w:ascii="仿宋" w:hAnsi="仿宋" w:eastAsia="仿宋" w:cs="仿宋"/>
          <w:sz w:val="24"/>
          <w:szCs w:val="24"/>
          <w:lang w:val="zh-CN"/>
        </w:rPr>
      </w:pPr>
      <w:r>
        <w:rPr>
          <w:rFonts w:hint="eastAsia" w:ascii="仿宋" w:hAnsi="仿宋" w:eastAsia="仿宋" w:cs="仿宋"/>
          <w:sz w:val="24"/>
          <w:szCs w:val="24"/>
        </w:rPr>
        <w:t>1.工作装置采用“中置盘扫+中置V型喷水架+中置双吸口结构”，具有多种</w:t>
      </w:r>
      <w:r>
        <w:rPr>
          <w:rFonts w:hint="eastAsia" w:ascii="仿宋" w:hAnsi="仿宋" w:eastAsia="仿宋" w:cs="仿宋"/>
          <w:sz w:val="24"/>
          <w:szCs w:val="24"/>
          <w:lang w:val="zh-CN"/>
        </w:rPr>
        <w:t>作业模式，实现路面的清扫、清洗、洗扫及吸尘。</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2.独创的V型喷管和半环绕吸嘴无间隙高压喷嘴布置，有效的将清洗后的污水和垃圾全部归拢赶至吸嘴处，并吸收于污水垃圾箱内，使路面不留尘土、积水，路面清洗、刷扫和污水回收效果佳。</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3.采用污水阀排放装置，可对污水、淤泥进行有效分离并随时根据垃圾箱内污水情况将污水单独排放，有效延长清洗扫路车连续作业时间，提高作业效率。</w:t>
      </w: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▲4.采用液压浮动扫刷地距自动调节技术，使扫刷与地面的接触力保持在一个固定值，扫刷与地面接触面保持不变，扫刷磨损后可以自动补偿，不需进行人工调整，确保洗扫效率不受影响。</w:t>
      </w:r>
    </w:p>
    <w:p>
      <w:pPr>
        <w:tabs>
          <w:tab w:val="right" w:pos="8618"/>
        </w:tabs>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5.独立清水箱及清水垃圾箱采用不锈钢制作，永不锈蚀。</w:t>
      </w:r>
      <w:r>
        <w:rPr>
          <w:rFonts w:hint="eastAsia" w:ascii="仿宋" w:hAnsi="仿宋" w:eastAsia="仿宋" w:cs="仿宋"/>
          <w:sz w:val="24"/>
          <w:szCs w:val="24"/>
        </w:rPr>
        <w:tab/>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6.具有多种安全报警装置：清水箱低水位，污水垃圾箱高水位，作业提示，副发动机水温、机油压力，倒车提示，装液压油泄漏，垃圾箱倾翻、复位，后门开闭安全报警装置等。</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rPr>
        <w:t>7.</w:t>
      </w:r>
      <w:r>
        <w:rPr>
          <w:rFonts w:hint="eastAsia" w:ascii="仿宋" w:hAnsi="仿宋" w:eastAsia="仿宋" w:cs="仿宋"/>
          <w:sz w:val="24"/>
          <w:szCs w:val="24"/>
          <w:lang w:val="zh-CN"/>
        </w:rPr>
        <w:t>配备低压水系统，前喷嘴可一次冲洗六条车道；喷水嘴可左右360°，上下360°调整。</w:t>
      </w:r>
    </w:p>
    <w:p>
      <w:pPr>
        <w:spacing w:line="360" w:lineRule="auto"/>
        <w:ind w:firstLine="480" w:firstLineChars="200"/>
        <w:rPr>
          <w:rFonts w:hint="eastAsia" w:ascii="仿宋" w:hAnsi="仿宋" w:eastAsia="仿宋" w:cs="仿宋"/>
          <w:sz w:val="24"/>
          <w:szCs w:val="24"/>
          <w:highlight w:val="yellow"/>
          <w:lang w:eastAsia="zh-CN"/>
        </w:rPr>
      </w:pPr>
      <w:r>
        <w:rPr>
          <w:rFonts w:hint="eastAsia" w:ascii="仿宋" w:hAnsi="仿宋" w:eastAsia="仿宋" w:cs="仿宋"/>
          <w:sz w:val="24"/>
          <w:szCs w:val="24"/>
        </w:rPr>
        <w:t>▲8. 采用智能化控制系统，实现电、液、气智能化集中控制。驾驶员可通过显示屏在驾驶室内完成各种动作的操作并了解车辆作业工况、作业参数与故障信息。</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9.左右前扫盘及左右喷水架具有自动避障保护及复位功能。</w:t>
      </w:r>
    </w:p>
    <w:p>
      <w:pPr>
        <w:spacing w:line="360" w:lineRule="auto"/>
        <w:ind w:firstLine="480" w:firstLineChars="200"/>
        <w:rPr>
          <w:rFonts w:hint="eastAsia" w:ascii="仿宋" w:hAnsi="仿宋" w:eastAsia="仿宋" w:cs="仿宋"/>
          <w:sz w:val="24"/>
          <w:szCs w:val="24"/>
          <w:highlight w:val="yellow"/>
          <w:lang w:eastAsia="zh-CN"/>
        </w:rPr>
      </w:pPr>
      <w:r>
        <w:rPr>
          <w:rFonts w:hint="eastAsia" w:ascii="仿宋" w:hAnsi="仿宋" w:eastAsia="仿宋" w:cs="仿宋"/>
          <w:sz w:val="24"/>
          <w:szCs w:val="24"/>
        </w:rPr>
        <w:t>▲10.配备气力净管防冻装置，有效清除水路系统中残留积水，防止低温下管路系统冻裂，提高车辆的使用率。</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11.高压集流冲扫吸嘴既能有效冲洗路面又能将清洗后的污水吸纳至污水垃圾箱内，提高路面清洁度。</w:t>
      </w:r>
    </w:p>
    <w:p>
      <w:pPr>
        <w:spacing w:line="360" w:lineRule="auto"/>
        <w:ind w:firstLine="480" w:firstLineChars="200"/>
        <w:rPr>
          <w:rFonts w:hint="eastAsia" w:ascii="仿宋" w:hAnsi="仿宋" w:eastAsia="仿宋" w:cs="仿宋"/>
          <w:sz w:val="24"/>
          <w:szCs w:val="24"/>
          <w:highlight w:val="yellow"/>
          <w:lang w:val="zh-CN" w:eastAsia="zh-CN"/>
        </w:rPr>
      </w:pPr>
      <w:r>
        <w:rPr>
          <w:rFonts w:hint="eastAsia" w:ascii="仿宋" w:hAnsi="仿宋" w:eastAsia="仿宋" w:cs="仿宋"/>
          <w:sz w:val="24"/>
          <w:szCs w:val="24"/>
        </w:rPr>
        <w:t>▲12.</w:t>
      </w:r>
      <w:r>
        <w:rPr>
          <w:rFonts w:hint="eastAsia" w:ascii="仿宋" w:hAnsi="仿宋" w:eastAsia="仿宋" w:cs="仿宋"/>
          <w:sz w:val="24"/>
          <w:szCs w:val="24"/>
          <w:lang w:val="zh-CN"/>
        </w:rPr>
        <w:t>配备多角度单点清淤装置，适用于路面碾压淤泥及死角垃圾的清除。</w:t>
      </w:r>
    </w:p>
    <w:p>
      <w:pPr>
        <w:spacing w:line="360" w:lineRule="auto"/>
        <w:ind w:firstLine="480" w:firstLineChars="200"/>
        <w:rPr>
          <w:rFonts w:hint="eastAsia" w:ascii="仿宋" w:hAnsi="仿宋" w:eastAsia="仿宋" w:cs="仿宋"/>
          <w:sz w:val="24"/>
          <w:szCs w:val="24"/>
          <w:highlight w:val="yellow"/>
          <w:lang w:val="zh-CN" w:eastAsia="zh-CN"/>
        </w:rPr>
      </w:pPr>
      <w:r>
        <w:rPr>
          <w:rFonts w:hint="eastAsia" w:ascii="仿宋" w:hAnsi="仿宋" w:eastAsia="仿宋" w:cs="仿宋"/>
          <w:sz w:val="24"/>
          <w:szCs w:val="24"/>
        </w:rPr>
        <w:t>▲13.</w:t>
      </w:r>
      <w:r>
        <w:rPr>
          <w:rFonts w:hint="eastAsia" w:ascii="仿宋" w:hAnsi="仿宋" w:eastAsia="仿宋" w:cs="仿宋"/>
          <w:sz w:val="24"/>
          <w:szCs w:val="24"/>
          <w:lang w:val="zh-CN"/>
        </w:rPr>
        <w:t>清水箱及垃圾箱采用不锈钢制作。垃圾箱内设有大流量低压喷嘴，可快速冲洗垃圾箱。</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rPr>
        <w:t>14.</w:t>
      </w:r>
      <w:r>
        <w:rPr>
          <w:rFonts w:hint="eastAsia" w:ascii="仿宋" w:hAnsi="仿宋" w:eastAsia="仿宋" w:cs="仿宋"/>
          <w:sz w:val="24"/>
          <w:szCs w:val="24"/>
          <w:lang w:val="zh-CN"/>
        </w:rPr>
        <w:t>驾驶室内配原厂冷暖空调，加装后喷雾降尘、倒车监控、作业警示装置和GPS系统。</w:t>
      </w:r>
    </w:p>
    <w:p>
      <w:pPr>
        <w:spacing w:line="360" w:lineRule="auto"/>
        <w:ind w:firstLine="480" w:firstLineChars="200"/>
        <w:rPr>
          <w:rFonts w:hint="eastAsia" w:ascii="仿宋" w:hAnsi="仿宋" w:eastAsia="仿宋" w:cs="仿宋"/>
          <w:sz w:val="24"/>
          <w:szCs w:val="24"/>
          <w:highlight w:val="yellow"/>
        </w:rPr>
      </w:pPr>
      <w:r>
        <w:rPr>
          <w:rFonts w:hint="eastAsia" w:ascii="仿宋" w:hAnsi="仿宋" w:eastAsia="仿宋" w:cs="仿宋"/>
          <w:sz w:val="24"/>
          <w:szCs w:val="24"/>
          <w:lang w:val="zh-CN"/>
        </w:rPr>
        <w:t>1</w:t>
      </w:r>
      <w:r>
        <w:rPr>
          <w:rFonts w:hint="eastAsia" w:ascii="仿宋" w:hAnsi="仿宋" w:eastAsia="仿宋" w:cs="仿宋"/>
          <w:sz w:val="24"/>
          <w:szCs w:val="24"/>
        </w:rPr>
        <w:t>5.</w:t>
      </w:r>
      <w:r>
        <w:rPr>
          <w:rFonts w:hint="eastAsia" w:ascii="仿宋" w:hAnsi="仿宋" w:eastAsia="仿宋" w:cs="仿宋"/>
          <w:sz w:val="24"/>
          <w:szCs w:val="24"/>
          <w:lang w:val="zh-CN"/>
        </w:rPr>
        <w:t>整车采用国V标</w:t>
      </w:r>
      <w:r>
        <w:rPr>
          <w:rFonts w:hint="eastAsia" w:ascii="仿宋" w:hAnsi="仿宋" w:eastAsia="仿宋" w:cs="仿宋"/>
          <w:sz w:val="24"/>
          <w:szCs w:val="24"/>
          <w:highlight w:val="none"/>
          <w:lang w:val="zh-CN"/>
        </w:rPr>
        <w:t>准，具有免征。</w:t>
      </w:r>
    </w:p>
    <w:p>
      <w:pPr>
        <w:spacing w:line="600" w:lineRule="exact"/>
        <w:rPr>
          <w:rFonts w:hint="eastAsia" w:ascii="仿宋" w:hAnsi="仿宋" w:eastAsia="仿宋" w:cs="仿宋"/>
          <w:b/>
          <w:bCs/>
          <w:sz w:val="24"/>
          <w:szCs w:val="24"/>
        </w:rPr>
      </w:pPr>
      <w:r>
        <w:rPr>
          <w:rFonts w:hint="eastAsia" w:ascii="仿宋" w:hAnsi="仿宋" w:eastAsia="仿宋" w:cs="仿宋"/>
          <w:b/>
          <w:bCs/>
          <w:sz w:val="24"/>
          <w:szCs w:val="24"/>
        </w:rPr>
        <w:t>2.2 油电混合动力洗扫车主要参数介绍：</w:t>
      </w:r>
    </w:p>
    <w:tbl>
      <w:tblPr>
        <w:tblStyle w:val="24"/>
        <w:tblW w:w="8130" w:type="dxa"/>
        <w:tblInd w:w="36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795"/>
        <w:gridCol w:w="43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3795" w:type="dxa"/>
            <w:tcBorders>
              <w:top w:val="single" w:color="auto" w:sz="6" w:space="0"/>
              <w:left w:val="single" w:color="auto" w:sz="6" w:space="0"/>
              <w:bottom w:val="single" w:color="auto" w:sz="6" w:space="0"/>
              <w:right w:val="single" w:color="auto" w:sz="6" w:space="0"/>
            </w:tcBorders>
            <w:vAlign w:val="center"/>
          </w:tcPr>
          <w:p>
            <w:pPr>
              <w:widowControl/>
              <w:ind w:left="248" w:leftChars="118"/>
              <w:jc w:val="center"/>
              <w:rPr>
                <w:rFonts w:hint="eastAsia" w:ascii="仿宋" w:hAnsi="仿宋" w:eastAsia="仿宋" w:cs="仿宋"/>
                <w:sz w:val="24"/>
                <w:szCs w:val="24"/>
              </w:rPr>
            </w:pPr>
            <w:r>
              <w:rPr>
                <w:rFonts w:hint="eastAsia" w:ascii="仿宋" w:hAnsi="仿宋" w:eastAsia="仿宋" w:cs="仿宋"/>
                <w:sz w:val="24"/>
                <w:szCs w:val="24"/>
              </w:rPr>
              <w:t>项目</w:t>
            </w:r>
          </w:p>
        </w:tc>
        <w:tc>
          <w:tcPr>
            <w:tcW w:w="4335" w:type="dxa"/>
            <w:tcBorders>
              <w:top w:val="single" w:color="auto" w:sz="6" w:space="0"/>
              <w:left w:val="single" w:color="auto" w:sz="6" w:space="0"/>
              <w:bottom w:val="single" w:color="auto" w:sz="6" w:space="0"/>
              <w:right w:val="single" w:color="auto" w:sz="6" w:space="0"/>
            </w:tcBorders>
            <w:vAlign w:val="center"/>
          </w:tcPr>
          <w:p>
            <w:pPr>
              <w:widowControl/>
              <w:ind w:left="-178" w:leftChars="-85" w:firstLine="480" w:firstLineChars="200"/>
              <w:jc w:val="center"/>
              <w:rPr>
                <w:rFonts w:hint="eastAsia" w:ascii="仿宋" w:hAnsi="仿宋" w:eastAsia="仿宋" w:cs="仿宋"/>
                <w:sz w:val="24"/>
                <w:szCs w:val="24"/>
              </w:rPr>
            </w:pPr>
            <w:r>
              <w:rPr>
                <w:rFonts w:hint="eastAsia" w:ascii="仿宋" w:hAnsi="仿宋" w:eastAsia="仿宋" w:cs="仿宋"/>
                <w:sz w:val="24"/>
                <w:szCs w:val="24"/>
              </w:rPr>
              <w:t>参数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3795" w:type="dxa"/>
            <w:tcBorders>
              <w:top w:val="single" w:color="auto" w:sz="6" w:space="0"/>
              <w:left w:val="single" w:color="auto" w:sz="6" w:space="0"/>
              <w:bottom w:val="single" w:color="auto" w:sz="6" w:space="0"/>
              <w:right w:val="single" w:color="auto" w:sz="6" w:space="0"/>
            </w:tcBorders>
            <w:vAlign w:val="center"/>
          </w:tcPr>
          <w:p>
            <w:pPr>
              <w:widowControl/>
              <w:rPr>
                <w:rFonts w:hint="eastAsia" w:ascii="仿宋" w:hAnsi="仿宋" w:eastAsia="仿宋" w:cs="仿宋"/>
                <w:sz w:val="24"/>
                <w:szCs w:val="24"/>
              </w:rPr>
            </w:pPr>
            <w:r>
              <w:rPr>
                <w:rFonts w:hint="eastAsia" w:ascii="仿宋" w:hAnsi="仿宋" w:eastAsia="仿宋" w:cs="仿宋"/>
                <w:sz w:val="24"/>
                <w:szCs w:val="24"/>
              </w:rPr>
              <w:t>底盘</w:t>
            </w:r>
          </w:p>
        </w:tc>
        <w:tc>
          <w:tcPr>
            <w:tcW w:w="433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DFH1180BX1V（国Ⅴ）或优于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3795" w:type="dxa"/>
            <w:tcBorders>
              <w:top w:val="single" w:color="auto" w:sz="6" w:space="0"/>
              <w:left w:val="single" w:color="auto" w:sz="6" w:space="0"/>
              <w:bottom w:val="single" w:color="auto" w:sz="6" w:space="0"/>
              <w:right w:val="single" w:color="auto" w:sz="6" w:space="0"/>
            </w:tcBorders>
            <w:vAlign w:val="center"/>
          </w:tcPr>
          <w:p>
            <w:pPr>
              <w:widowControl/>
              <w:rPr>
                <w:rFonts w:hint="eastAsia" w:ascii="仿宋" w:hAnsi="仿宋" w:eastAsia="仿宋" w:cs="仿宋"/>
                <w:sz w:val="24"/>
                <w:szCs w:val="24"/>
              </w:rPr>
            </w:pPr>
            <w:r>
              <w:rPr>
                <w:rFonts w:hint="eastAsia" w:ascii="仿宋" w:hAnsi="仿宋" w:eastAsia="仿宋" w:cs="仿宋"/>
                <w:sz w:val="24"/>
                <w:szCs w:val="24"/>
              </w:rPr>
              <w:t>底盘发动机</w:t>
            </w:r>
          </w:p>
        </w:tc>
        <w:tc>
          <w:tcPr>
            <w:tcW w:w="4335"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ISD270 50或优于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3795" w:type="dxa"/>
            <w:tcBorders>
              <w:top w:val="single" w:color="auto" w:sz="6" w:space="0"/>
              <w:left w:val="single" w:color="auto" w:sz="6" w:space="0"/>
              <w:bottom w:val="single" w:color="auto" w:sz="6" w:space="0"/>
              <w:right w:val="single" w:color="auto" w:sz="6" w:space="0"/>
            </w:tcBorders>
            <w:vAlign w:val="center"/>
          </w:tcPr>
          <w:p>
            <w:pPr>
              <w:widowControl/>
              <w:rPr>
                <w:rFonts w:hint="eastAsia" w:ascii="仿宋" w:hAnsi="仿宋" w:eastAsia="仿宋" w:cs="仿宋"/>
                <w:sz w:val="24"/>
                <w:szCs w:val="24"/>
              </w:rPr>
            </w:pPr>
            <w:r>
              <w:rPr>
                <w:rFonts w:hint="eastAsia" w:ascii="仿宋" w:hAnsi="仿宋" w:eastAsia="仿宋" w:cs="仿宋"/>
                <w:sz w:val="24"/>
                <w:szCs w:val="24"/>
              </w:rPr>
              <w:t>底盘发动机功率（kw）</w:t>
            </w:r>
          </w:p>
        </w:tc>
        <w:tc>
          <w:tcPr>
            <w:tcW w:w="4335"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≥198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3795" w:type="dxa"/>
            <w:tcBorders>
              <w:top w:val="single" w:color="auto" w:sz="6" w:space="0"/>
              <w:left w:val="single" w:color="auto" w:sz="6" w:space="0"/>
              <w:bottom w:val="single" w:color="auto" w:sz="6" w:space="0"/>
              <w:right w:val="single" w:color="auto" w:sz="6" w:space="0"/>
            </w:tcBorders>
            <w:vAlign w:val="center"/>
          </w:tcPr>
          <w:p>
            <w:pPr>
              <w:widowControl/>
              <w:rPr>
                <w:rFonts w:hint="eastAsia" w:ascii="仿宋" w:hAnsi="仿宋" w:eastAsia="仿宋" w:cs="仿宋"/>
                <w:sz w:val="24"/>
                <w:szCs w:val="24"/>
              </w:rPr>
            </w:pPr>
            <w:r>
              <w:rPr>
                <w:rFonts w:hint="eastAsia" w:ascii="仿宋" w:hAnsi="仿宋" w:eastAsia="仿宋" w:cs="仿宋"/>
                <w:sz w:val="24"/>
                <w:szCs w:val="24"/>
              </w:rPr>
              <w:t>底盘发电机</w:t>
            </w:r>
          </w:p>
        </w:tc>
        <w:tc>
          <w:tcPr>
            <w:tcW w:w="4335"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TM5025S4或优于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3795" w:type="dxa"/>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底盘发电机额定扭矩(Nm)</w:t>
            </w:r>
          </w:p>
        </w:tc>
        <w:tc>
          <w:tcPr>
            <w:tcW w:w="4335"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3795" w:type="dxa"/>
            <w:tcBorders>
              <w:top w:val="single" w:color="auto" w:sz="6" w:space="0"/>
              <w:left w:val="single" w:color="auto" w:sz="6" w:space="0"/>
              <w:bottom w:val="single" w:color="auto" w:sz="6" w:space="0"/>
              <w:right w:val="single" w:color="auto" w:sz="6" w:space="0"/>
            </w:tcBorders>
            <w:vAlign w:val="center"/>
          </w:tcPr>
          <w:p>
            <w:pPr>
              <w:widowControl/>
              <w:rPr>
                <w:rFonts w:hint="eastAsia" w:ascii="仿宋" w:hAnsi="仿宋" w:eastAsia="仿宋" w:cs="仿宋"/>
                <w:sz w:val="24"/>
                <w:szCs w:val="24"/>
              </w:rPr>
            </w:pPr>
            <w:r>
              <w:rPr>
                <w:rFonts w:hint="eastAsia" w:ascii="仿宋" w:hAnsi="仿宋" w:eastAsia="仿宋" w:cs="仿宋"/>
                <w:sz w:val="24"/>
                <w:szCs w:val="24"/>
              </w:rPr>
              <w:t>驱动电机</w:t>
            </w:r>
          </w:p>
        </w:tc>
        <w:tc>
          <w:tcPr>
            <w:tcW w:w="4335"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TM5019C1或优于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3795" w:type="dxa"/>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驱动电机额定扭矩(Nm)</w:t>
            </w:r>
          </w:p>
        </w:tc>
        <w:tc>
          <w:tcPr>
            <w:tcW w:w="4335"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3795" w:type="dxa"/>
            <w:tcBorders>
              <w:top w:val="single" w:color="auto" w:sz="6" w:space="0"/>
              <w:left w:val="single" w:color="auto" w:sz="6" w:space="0"/>
              <w:bottom w:val="single" w:color="auto" w:sz="6" w:space="0"/>
              <w:right w:val="single" w:color="auto" w:sz="6" w:space="0"/>
            </w:tcBorders>
            <w:vAlign w:val="center"/>
          </w:tcPr>
          <w:p>
            <w:pPr>
              <w:widowControl/>
              <w:rPr>
                <w:rFonts w:hint="eastAsia" w:ascii="仿宋" w:hAnsi="仿宋" w:eastAsia="仿宋" w:cs="仿宋"/>
                <w:sz w:val="24"/>
                <w:szCs w:val="24"/>
              </w:rPr>
            </w:pPr>
            <w:r>
              <w:rPr>
                <w:rFonts w:hint="eastAsia" w:ascii="仿宋" w:hAnsi="仿宋" w:eastAsia="仿宋" w:cs="仿宋"/>
                <w:sz w:val="24"/>
                <w:szCs w:val="24"/>
              </w:rPr>
              <w:t>满载最大总质量(kg)</w:t>
            </w:r>
          </w:p>
        </w:tc>
        <w:tc>
          <w:tcPr>
            <w:tcW w:w="4335"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≥15800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3795" w:type="dxa"/>
            <w:tcBorders>
              <w:top w:val="single" w:color="auto" w:sz="6" w:space="0"/>
              <w:left w:val="single" w:color="auto" w:sz="6" w:space="0"/>
              <w:bottom w:val="single" w:color="auto" w:sz="6" w:space="0"/>
              <w:right w:val="single" w:color="auto" w:sz="6" w:space="0"/>
            </w:tcBorders>
            <w:vAlign w:val="center"/>
          </w:tcPr>
          <w:p>
            <w:pPr>
              <w:widowControl/>
              <w:rPr>
                <w:rFonts w:hint="eastAsia" w:ascii="仿宋" w:hAnsi="仿宋" w:eastAsia="仿宋" w:cs="仿宋"/>
                <w:sz w:val="24"/>
                <w:szCs w:val="24"/>
              </w:rPr>
            </w:pPr>
            <w:r>
              <w:rPr>
                <w:rFonts w:hint="eastAsia" w:ascii="仿宋" w:hAnsi="仿宋" w:eastAsia="仿宋" w:cs="仿宋"/>
                <w:sz w:val="24"/>
                <w:szCs w:val="24"/>
              </w:rPr>
              <w:t>额定载质量(kg)</w:t>
            </w:r>
          </w:p>
        </w:tc>
        <w:tc>
          <w:tcPr>
            <w:tcW w:w="4335"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3795" w:type="dxa"/>
            <w:tcBorders>
              <w:top w:val="single" w:color="auto" w:sz="6" w:space="0"/>
              <w:left w:val="single" w:color="auto" w:sz="6" w:space="0"/>
              <w:bottom w:val="single" w:color="auto" w:sz="6" w:space="0"/>
              <w:right w:val="single" w:color="auto" w:sz="6" w:space="0"/>
            </w:tcBorders>
            <w:vAlign w:val="center"/>
          </w:tcPr>
          <w:p>
            <w:pPr>
              <w:pStyle w:val="51"/>
              <w:ind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rPr>
              <w:t>驾驶室准乘人数（人）</w:t>
            </w:r>
          </w:p>
        </w:tc>
        <w:tc>
          <w:tcPr>
            <w:tcW w:w="4335"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3795" w:type="dxa"/>
            <w:tcBorders>
              <w:top w:val="single" w:color="auto" w:sz="6" w:space="0"/>
              <w:left w:val="single" w:color="auto" w:sz="6" w:space="0"/>
              <w:bottom w:val="single" w:color="auto" w:sz="6" w:space="0"/>
              <w:right w:val="single" w:color="auto" w:sz="6" w:space="0"/>
            </w:tcBorders>
            <w:vAlign w:val="center"/>
          </w:tcPr>
          <w:p>
            <w:pPr>
              <w:widowControl/>
              <w:rPr>
                <w:rFonts w:hint="eastAsia" w:ascii="仿宋" w:hAnsi="仿宋" w:eastAsia="仿宋" w:cs="仿宋"/>
                <w:sz w:val="24"/>
                <w:szCs w:val="24"/>
              </w:rPr>
            </w:pPr>
            <w:r>
              <w:rPr>
                <w:rFonts w:hint="eastAsia" w:ascii="仿宋" w:hAnsi="仿宋" w:eastAsia="仿宋" w:cs="仿宋"/>
                <w:sz w:val="24"/>
                <w:szCs w:val="24"/>
              </w:rPr>
              <w:t>外形尺寸（长×宽×高）(mm)</w:t>
            </w:r>
          </w:p>
        </w:tc>
        <w:tc>
          <w:tcPr>
            <w:tcW w:w="4335"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≥8700×2500×3000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3795" w:type="dxa"/>
            <w:tcBorders>
              <w:top w:val="single" w:color="auto" w:sz="6" w:space="0"/>
              <w:left w:val="single" w:color="auto" w:sz="6" w:space="0"/>
              <w:bottom w:val="single" w:color="auto" w:sz="6" w:space="0"/>
              <w:right w:val="single" w:color="auto" w:sz="6" w:space="0"/>
            </w:tcBorders>
            <w:vAlign w:val="top"/>
          </w:tcPr>
          <w:p>
            <w:pPr>
              <w:widowControl/>
              <w:rPr>
                <w:rFonts w:hint="eastAsia" w:ascii="仿宋" w:hAnsi="仿宋" w:eastAsia="仿宋" w:cs="仿宋"/>
                <w:sz w:val="24"/>
                <w:szCs w:val="24"/>
              </w:rPr>
            </w:pPr>
            <w:r>
              <w:rPr>
                <w:rFonts w:hint="eastAsia" w:ascii="仿宋" w:hAnsi="仿宋" w:eastAsia="仿宋" w:cs="仿宋"/>
                <w:sz w:val="24"/>
                <w:szCs w:val="24"/>
              </w:rPr>
              <w:t>高压水泵</w:t>
            </w:r>
          </w:p>
        </w:tc>
        <w:tc>
          <w:tcPr>
            <w:tcW w:w="4335"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KT40或优于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3795" w:type="dxa"/>
            <w:tcBorders>
              <w:top w:val="single" w:color="auto" w:sz="6" w:space="0"/>
              <w:left w:val="single" w:color="auto" w:sz="6" w:space="0"/>
              <w:bottom w:val="single" w:color="auto" w:sz="6" w:space="0"/>
              <w:right w:val="single" w:color="auto" w:sz="6" w:space="0"/>
            </w:tcBorders>
            <w:vAlign w:val="center"/>
          </w:tcPr>
          <w:p>
            <w:pPr>
              <w:widowControl/>
              <w:rPr>
                <w:rFonts w:hint="eastAsia" w:ascii="仿宋" w:hAnsi="仿宋" w:eastAsia="仿宋" w:cs="仿宋"/>
                <w:sz w:val="24"/>
                <w:szCs w:val="24"/>
              </w:rPr>
            </w:pPr>
            <w:r>
              <w:rPr>
                <w:rFonts w:hint="eastAsia" w:ascii="仿宋" w:hAnsi="仿宋" w:eastAsia="仿宋" w:cs="仿宋"/>
                <w:sz w:val="24"/>
                <w:szCs w:val="24"/>
              </w:rPr>
              <w:t>高压水泵压力(MPa)</w:t>
            </w:r>
          </w:p>
        </w:tc>
        <w:tc>
          <w:tcPr>
            <w:tcW w:w="4335"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3795" w:type="dxa"/>
            <w:tcBorders>
              <w:top w:val="single" w:color="auto" w:sz="6" w:space="0"/>
              <w:left w:val="single" w:color="auto" w:sz="6" w:space="0"/>
              <w:bottom w:val="single" w:color="auto" w:sz="6" w:space="0"/>
              <w:right w:val="single" w:color="auto" w:sz="6" w:space="0"/>
            </w:tcBorders>
            <w:vAlign w:val="center"/>
          </w:tcPr>
          <w:p>
            <w:pPr>
              <w:widowControl/>
              <w:rPr>
                <w:rFonts w:hint="eastAsia" w:ascii="仿宋" w:hAnsi="仿宋" w:eastAsia="仿宋" w:cs="仿宋"/>
                <w:sz w:val="24"/>
                <w:szCs w:val="24"/>
              </w:rPr>
            </w:pPr>
            <w:r>
              <w:rPr>
                <w:rFonts w:hint="eastAsia" w:ascii="仿宋" w:hAnsi="仿宋" w:eastAsia="仿宋" w:cs="仿宋"/>
                <w:sz w:val="24"/>
                <w:szCs w:val="24"/>
              </w:rPr>
              <w:t>高压水泵流量(L/min)</w:t>
            </w:r>
          </w:p>
        </w:tc>
        <w:tc>
          <w:tcPr>
            <w:tcW w:w="4335"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≥140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3795" w:type="dxa"/>
            <w:tcBorders>
              <w:top w:val="single" w:color="auto" w:sz="6" w:space="0"/>
              <w:left w:val="single" w:color="auto" w:sz="6" w:space="0"/>
              <w:bottom w:val="single" w:color="auto" w:sz="6" w:space="0"/>
              <w:right w:val="single" w:color="auto" w:sz="6" w:space="0"/>
            </w:tcBorders>
            <w:vAlign w:val="center"/>
          </w:tcPr>
          <w:p>
            <w:pPr>
              <w:widowControl/>
              <w:rPr>
                <w:rFonts w:hint="eastAsia" w:ascii="仿宋" w:hAnsi="仿宋" w:eastAsia="仿宋" w:cs="仿宋"/>
                <w:sz w:val="24"/>
                <w:szCs w:val="24"/>
              </w:rPr>
            </w:pPr>
            <w:r>
              <w:rPr>
                <w:rFonts w:hint="eastAsia" w:ascii="仿宋" w:hAnsi="仿宋" w:eastAsia="仿宋" w:cs="仿宋"/>
                <w:sz w:val="24"/>
                <w:szCs w:val="24"/>
              </w:rPr>
              <w:t>洗扫宽度(m)</w:t>
            </w:r>
          </w:p>
        </w:tc>
        <w:tc>
          <w:tcPr>
            <w:tcW w:w="4335"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3795" w:type="dxa"/>
            <w:tcBorders>
              <w:top w:val="single" w:color="auto" w:sz="6" w:space="0"/>
              <w:left w:val="single" w:color="auto" w:sz="6" w:space="0"/>
              <w:bottom w:val="single" w:color="auto" w:sz="6" w:space="0"/>
              <w:right w:val="single" w:color="auto" w:sz="6" w:space="0"/>
            </w:tcBorders>
            <w:vAlign w:val="center"/>
          </w:tcPr>
          <w:p>
            <w:pPr>
              <w:widowControl/>
              <w:rPr>
                <w:rFonts w:hint="eastAsia" w:ascii="仿宋" w:hAnsi="仿宋" w:eastAsia="仿宋" w:cs="仿宋"/>
                <w:sz w:val="24"/>
                <w:szCs w:val="24"/>
              </w:rPr>
            </w:pPr>
            <w:r>
              <w:rPr>
                <w:rFonts w:hint="eastAsia" w:ascii="仿宋" w:hAnsi="仿宋" w:eastAsia="仿宋" w:cs="仿宋"/>
                <w:sz w:val="24"/>
                <w:szCs w:val="24"/>
              </w:rPr>
              <w:t>清水箱容积(m³)</w:t>
            </w:r>
          </w:p>
        </w:tc>
        <w:tc>
          <w:tcPr>
            <w:tcW w:w="433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3795" w:type="dxa"/>
            <w:tcBorders>
              <w:top w:val="single" w:color="auto" w:sz="6" w:space="0"/>
              <w:left w:val="single" w:color="auto" w:sz="6" w:space="0"/>
              <w:bottom w:val="single" w:color="auto" w:sz="6" w:space="0"/>
              <w:right w:val="single" w:color="auto" w:sz="6" w:space="0"/>
            </w:tcBorders>
            <w:vAlign w:val="center"/>
          </w:tcPr>
          <w:p>
            <w:pPr>
              <w:widowControl/>
              <w:rPr>
                <w:rFonts w:hint="eastAsia" w:ascii="仿宋" w:hAnsi="仿宋" w:eastAsia="仿宋" w:cs="仿宋"/>
                <w:sz w:val="24"/>
                <w:szCs w:val="24"/>
              </w:rPr>
            </w:pPr>
            <w:r>
              <w:rPr>
                <w:rFonts w:hint="eastAsia" w:ascii="仿宋" w:hAnsi="仿宋" w:eastAsia="仿宋" w:cs="仿宋"/>
                <w:sz w:val="24"/>
                <w:szCs w:val="24"/>
              </w:rPr>
              <w:t>垃圾箱容积(m³)</w:t>
            </w:r>
          </w:p>
        </w:tc>
        <w:tc>
          <w:tcPr>
            <w:tcW w:w="433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3795" w:type="dxa"/>
            <w:tcBorders>
              <w:top w:val="single" w:color="auto" w:sz="6" w:space="0"/>
              <w:left w:val="single" w:color="auto" w:sz="6" w:space="0"/>
              <w:bottom w:val="single" w:color="auto" w:sz="6" w:space="0"/>
              <w:right w:val="single" w:color="auto" w:sz="6" w:space="0"/>
            </w:tcBorders>
            <w:vAlign w:val="top"/>
          </w:tcPr>
          <w:p>
            <w:pPr>
              <w:rPr>
                <w:rFonts w:hint="eastAsia" w:ascii="仿宋" w:hAnsi="仿宋" w:eastAsia="仿宋" w:cs="仿宋"/>
                <w:sz w:val="24"/>
                <w:szCs w:val="24"/>
              </w:rPr>
            </w:pPr>
            <w:r>
              <w:rPr>
                <w:rFonts w:hint="eastAsia" w:ascii="仿宋" w:hAnsi="仿宋" w:eastAsia="仿宋" w:cs="仿宋"/>
                <w:sz w:val="24"/>
                <w:szCs w:val="24"/>
              </w:rPr>
              <w:t>驾驶室调温措施</w:t>
            </w:r>
          </w:p>
        </w:tc>
        <w:tc>
          <w:tcPr>
            <w:tcW w:w="4335"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 w:hAnsi="仿宋" w:eastAsia="仿宋" w:cs="仿宋"/>
                <w:sz w:val="24"/>
                <w:szCs w:val="24"/>
              </w:rPr>
            </w:pPr>
            <w:r>
              <w:rPr>
                <w:rFonts w:hint="eastAsia" w:ascii="仿宋" w:hAnsi="仿宋" w:eastAsia="仿宋" w:cs="仿宋"/>
                <w:sz w:val="24"/>
                <w:szCs w:val="24"/>
              </w:rPr>
              <w:t>配原厂冷暖空调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3795" w:type="dxa"/>
            <w:tcBorders>
              <w:top w:val="single" w:color="auto" w:sz="6" w:space="0"/>
              <w:left w:val="single" w:color="auto" w:sz="6" w:space="0"/>
              <w:bottom w:val="single" w:color="auto" w:sz="6" w:space="0"/>
              <w:right w:val="single" w:color="auto" w:sz="6" w:space="0"/>
            </w:tcBorders>
            <w:vAlign w:val="top"/>
          </w:tcPr>
          <w:p>
            <w:pPr>
              <w:rPr>
                <w:rFonts w:hint="eastAsia" w:ascii="仿宋" w:hAnsi="仿宋" w:eastAsia="仿宋" w:cs="仿宋"/>
                <w:sz w:val="24"/>
                <w:szCs w:val="24"/>
              </w:rPr>
            </w:pPr>
            <w:r>
              <w:rPr>
                <w:rFonts w:hint="eastAsia" w:ascii="仿宋" w:hAnsi="仿宋" w:eastAsia="仿宋" w:cs="仿宋"/>
                <w:sz w:val="24"/>
                <w:szCs w:val="24"/>
              </w:rPr>
              <w:t>车身喷涂</w:t>
            </w:r>
          </w:p>
        </w:tc>
        <w:tc>
          <w:tcPr>
            <w:tcW w:w="4335" w:type="dxa"/>
            <w:tcBorders>
              <w:top w:val="single" w:color="auto" w:sz="6" w:space="0"/>
              <w:left w:val="single" w:color="auto" w:sz="6" w:space="0"/>
              <w:bottom w:val="single" w:color="auto" w:sz="6" w:space="0"/>
              <w:right w:val="single" w:color="auto" w:sz="6" w:space="0"/>
            </w:tcBorders>
            <w:vAlign w:val="top"/>
          </w:tcPr>
          <w:p>
            <w:pPr>
              <w:widowControl/>
              <w:jc w:val="center"/>
              <w:rPr>
                <w:rFonts w:hint="eastAsia" w:ascii="仿宋" w:hAnsi="仿宋" w:eastAsia="仿宋" w:cs="仿宋"/>
                <w:sz w:val="24"/>
                <w:szCs w:val="24"/>
              </w:rPr>
            </w:pPr>
            <w:r>
              <w:rPr>
                <w:rFonts w:hint="eastAsia" w:ascii="仿宋" w:hAnsi="仿宋" w:eastAsia="仿宋" w:cs="仿宋"/>
                <w:sz w:val="24"/>
                <w:szCs w:val="24"/>
              </w:rPr>
              <w:t>甲方指定的宣传标语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3795" w:type="dxa"/>
            <w:tcBorders>
              <w:top w:val="single" w:color="auto" w:sz="6" w:space="0"/>
              <w:left w:val="single" w:color="auto" w:sz="6" w:space="0"/>
              <w:bottom w:val="single" w:color="auto" w:sz="6" w:space="0"/>
              <w:right w:val="single" w:color="auto" w:sz="6" w:space="0"/>
            </w:tcBorders>
            <w:vAlign w:val="top"/>
          </w:tcPr>
          <w:p>
            <w:pPr>
              <w:rPr>
                <w:rFonts w:hint="eastAsia" w:ascii="仿宋" w:hAnsi="仿宋" w:eastAsia="仿宋" w:cs="仿宋"/>
                <w:sz w:val="24"/>
                <w:szCs w:val="24"/>
              </w:rPr>
            </w:pPr>
            <w:r>
              <w:rPr>
                <w:rFonts w:hint="eastAsia" w:ascii="仿宋" w:hAnsi="仿宋" w:eastAsia="仿宋" w:cs="仿宋"/>
                <w:sz w:val="24"/>
                <w:szCs w:val="24"/>
              </w:rPr>
              <w:t>警示标志</w:t>
            </w:r>
          </w:p>
        </w:tc>
        <w:tc>
          <w:tcPr>
            <w:tcW w:w="4335" w:type="dxa"/>
            <w:tcBorders>
              <w:top w:val="single" w:color="auto" w:sz="6" w:space="0"/>
              <w:left w:val="single" w:color="auto" w:sz="6" w:space="0"/>
              <w:bottom w:val="single" w:color="auto" w:sz="6" w:space="0"/>
              <w:right w:val="single" w:color="auto" w:sz="6" w:space="0"/>
            </w:tcBorders>
            <w:vAlign w:val="top"/>
          </w:tcPr>
          <w:p>
            <w:pPr>
              <w:widowControl/>
              <w:jc w:val="center"/>
              <w:rPr>
                <w:rFonts w:hint="eastAsia" w:ascii="仿宋" w:hAnsi="仿宋" w:eastAsia="仿宋" w:cs="仿宋"/>
                <w:sz w:val="24"/>
                <w:szCs w:val="24"/>
              </w:rPr>
            </w:pPr>
            <w:r>
              <w:rPr>
                <w:rFonts w:hint="eastAsia" w:ascii="仿宋" w:hAnsi="仿宋" w:eastAsia="仿宋" w:cs="仿宋"/>
                <w:sz w:val="24"/>
                <w:szCs w:val="24"/>
              </w:rPr>
              <w:t>黄色箭头指示灯</w:t>
            </w:r>
          </w:p>
        </w:tc>
      </w:tr>
    </w:tbl>
    <w:p>
      <w:pPr>
        <w:spacing w:line="540" w:lineRule="exact"/>
        <w:ind w:firstLine="241" w:firstLineChars="100"/>
        <w:rPr>
          <w:rFonts w:hint="eastAsia" w:ascii="仿宋" w:hAnsi="仿宋" w:eastAsia="仿宋" w:cs="仿宋"/>
          <w:sz w:val="24"/>
          <w:szCs w:val="24"/>
        </w:rPr>
      </w:pPr>
      <w:r>
        <w:rPr>
          <w:rFonts w:hint="eastAsia" w:ascii="仿宋" w:hAnsi="仿宋" w:eastAsia="仿宋" w:cs="仿宋"/>
          <w:b/>
          <w:bCs/>
          <w:sz w:val="24"/>
          <w:szCs w:val="24"/>
        </w:rPr>
        <w:t>油电混合动力洗扫车主要性能描述：</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▲1.通过油电混合动力系统上装驱动动力与底盘行驶动力相对独立（即上装作业与底盘行驶互不牵制），实现了单发洗扫车的动力解耦，保证洗扫车风机、水泵作业转速不随底盘发动机转速的变化而变化。</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▲2.支持一键式定速巡航定作业模式，操作便捷，作业状态更为平稳；</w:t>
      </w:r>
    </w:p>
    <w:p>
      <w:pPr>
        <w:spacing w:line="360" w:lineRule="auto"/>
        <w:ind w:firstLine="480" w:firstLineChars="200"/>
        <w:rPr>
          <w:rFonts w:hint="eastAsia" w:ascii="仿宋" w:hAnsi="仿宋" w:eastAsia="仿宋" w:cs="仿宋"/>
          <w:sz w:val="24"/>
          <w:szCs w:val="24"/>
          <w:highlight w:val="yellow"/>
        </w:rPr>
      </w:pPr>
      <w:r>
        <w:rPr>
          <w:rFonts w:hint="eastAsia" w:ascii="仿宋" w:hAnsi="仿宋" w:eastAsia="仿宋" w:cs="仿宋"/>
          <w:sz w:val="24"/>
          <w:szCs w:val="24"/>
        </w:rPr>
        <w:t>▲3.动力输出控制系统采用BOSCH控制系统或优于，系统稳定可靠；</w:t>
      </w:r>
    </w:p>
    <w:p>
      <w:pPr>
        <w:pStyle w:val="52"/>
        <w:spacing w:line="540" w:lineRule="exact"/>
        <w:ind w:firstLine="480"/>
        <w:rPr>
          <w:rFonts w:hint="eastAsia" w:ascii="仿宋" w:hAnsi="仿宋" w:eastAsia="仿宋" w:cs="仿宋"/>
          <w:sz w:val="24"/>
          <w:szCs w:val="24"/>
        </w:rPr>
      </w:pPr>
      <w:r>
        <w:rPr>
          <w:rFonts w:hint="eastAsia" w:ascii="仿宋" w:hAnsi="仿宋" w:eastAsia="仿宋" w:cs="仿宋"/>
          <w:sz w:val="24"/>
          <w:szCs w:val="24"/>
        </w:rPr>
        <w:t>4.油电混合动力系统无高压常电，所有动力部件防水、防尘等级达到IP67及以上。</w:t>
      </w:r>
    </w:p>
    <w:p>
      <w:pPr>
        <w:pStyle w:val="52"/>
        <w:spacing w:line="540" w:lineRule="exact"/>
        <w:ind w:firstLine="480"/>
        <w:rPr>
          <w:rFonts w:hint="eastAsia" w:ascii="仿宋" w:hAnsi="仿宋" w:eastAsia="仿宋" w:cs="仿宋"/>
          <w:sz w:val="24"/>
          <w:szCs w:val="24"/>
        </w:rPr>
      </w:pPr>
      <w:r>
        <w:rPr>
          <w:rFonts w:hint="eastAsia" w:ascii="仿宋" w:hAnsi="仿宋" w:eastAsia="仿宋" w:cs="仿宋"/>
          <w:sz w:val="24"/>
          <w:szCs w:val="24"/>
        </w:rPr>
        <w:t xml:space="preserve">5.上装控制系统采用智能化控制系统，驾驶室内7寸液晶显示屏实现各作业工况一键操控，同时实时显示各项作业参数，电、液、气智能集中控制。 </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rPr>
        <w:t>▲6.工作装置采用“中置盘扫+中置V型喷水架+中置双吸口窄吸嘴结构”布置形式，具有多种</w:t>
      </w:r>
      <w:r>
        <w:rPr>
          <w:rFonts w:hint="eastAsia" w:ascii="仿宋" w:hAnsi="仿宋" w:eastAsia="仿宋" w:cs="仿宋"/>
          <w:sz w:val="24"/>
          <w:szCs w:val="24"/>
          <w:lang w:val="zh-CN"/>
        </w:rPr>
        <w:t>作业模式，实现路面的清扫、清洗、洗扫及吸尘。</w:t>
      </w:r>
    </w:p>
    <w:p>
      <w:pPr>
        <w:spacing w:line="360" w:lineRule="auto"/>
        <w:ind w:firstLine="480" w:firstLineChars="200"/>
        <w:rPr>
          <w:rFonts w:hint="eastAsia" w:ascii="仿宋" w:hAnsi="仿宋" w:eastAsia="仿宋" w:cs="仿宋"/>
          <w:sz w:val="24"/>
          <w:szCs w:val="24"/>
          <w:highlight w:val="yellow"/>
          <w:lang w:eastAsia="zh-CN"/>
        </w:rPr>
      </w:pPr>
      <w:r>
        <w:rPr>
          <w:rFonts w:hint="eastAsia" w:ascii="仿宋" w:hAnsi="仿宋" w:eastAsia="仿宋" w:cs="仿宋"/>
          <w:sz w:val="24"/>
          <w:szCs w:val="24"/>
        </w:rPr>
        <w:t>▲7.具有液压缓冲式扫刷地距自动调节技术，使扫刷与地面的接触力保持在一个固定值，扫刷与地面接触面保持不变，扫刷磨损后可以自动补偿，不需进行人工调整，确保清扫效率不受影响。</w:t>
      </w:r>
    </w:p>
    <w:p>
      <w:pPr>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8.整车箱体外形采用SUS304不锈钢制作，折筋结构，箱体受力均匀，结构性能强，外形美观。</w:t>
      </w:r>
    </w:p>
    <w:p>
      <w:pPr>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9.具有多种安全报警装置：清水箱低水位，污水垃圾箱高水位，液压油泄漏，作业提示，副发动机水温、机油压力，倒车提示等。</w:t>
      </w:r>
    </w:p>
    <w:p>
      <w:pPr>
        <w:spacing w:line="360" w:lineRule="auto"/>
        <w:ind w:firstLine="480" w:firstLineChars="200"/>
        <w:rPr>
          <w:rFonts w:hint="eastAsia" w:ascii="仿宋" w:hAnsi="仿宋" w:eastAsia="仿宋" w:cs="仿宋"/>
          <w:sz w:val="24"/>
          <w:szCs w:val="24"/>
          <w:highlight w:val="yellow"/>
        </w:rPr>
      </w:pPr>
      <w:r>
        <w:rPr>
          <w:rFonts w:hint="eastAsia" w:ascii="仿宋" w:hAnsi="仿宋" w:eastAsia="仿宋" w:cs="仿宋"/>
          <w:sz w:val="24"/>
          <w:szCs w:val="24"/>
        </w:rPr>
        <w:t>▲10.左右喷水架具有避障保护及复位功能。</w:t>
      </w:r>
    </w:p>
    <w:p>
      <w:pPr>
        <w:pStyle w:val="2"/>
        <w:ind w:firstLine="241"/>
        <w:rPr>
          <w:rFonts w:hint="eastAsia" w:ascii="仿宋" w:hAnsi="仿宋" w:eastAsia="仿宋" w:cs="仿宋"/>
          <w:b/>
          <w:bCs/>
          <w:sz w:val="24"/>
          <w:szCs w:val="24"/>
        </w:rPr>
      </w:pPr>
      <w:r>
        <w:rPr>
          <w:rFonts w:hint="eastAsia" w:ascii="仿宋" w:hAnsi="仿宋" w:eastAsia="仿宋" w:cs="仿宋"/>
          <w:b/>
          <w:bCs/>
          <w:sz w:val="24"/>
          <w:szCs w:val="24"/>
        </w:rPr>
        <w:t xml:space="preserve">2.3  </w:t>
      </w:r>
      <w:r>
        <w:rPr>
          <w:rFonts w:hint="eastAsia" w:ascii="仿宋" w:hAnsi="仿宋" w:eastAsia="仿宋" w:cs="仿宋"/>
          <w:b/>
          <w:bCs/>
          <w:sz w:val="24"/>
          <w:szCs w:val="24"/>
          <w:lang w:val="zh-CN"/>
        </w:rPr>
        <w:t>综合除雪机</w:t>
      </w:r>
      <w:r>
        <w:rPr>
          <w:rFonts w:hint="eastAsia" w:ascii="仿宋" w:hAnsi="仿宋" w:eastAsia="仿宋" w:cs="仿宋"/>
          <w:b/>
          <w:bCs/>
          <w:sz w:val="24"/>
          <w:szCs w:val="24"/>
        </w:rPr>
        <w:t>基本要求：</w:t>
      </w:r>
    </w:p>
    <w:p>
      <w:pPr>
        <w:spacing w:line="360" w:lineRule="auto"/>
        <w:ind w:firstLine="480" w:firstLineChars="200"/>
        <w:rPr>
          <w:rFonts w:hint="eastAsia" w:ascii="仿宋" w:hAnsi="仿宋" w:eastAsia="仿宋" w:cs="仿宋"/>
          <w:sz w:val="24"/>
          <w:szCs w:val="24"/>
          <w:highlight w:val="yellow"/>
        </w:rPr>
      </w:pPr>
      <w:r>
        <w:rPr>
          <w:rFonts w:hint="eastAsia" w:ascii="仿宋" w:hAnsi="仿宋" w:eastAsia="仿宋" w:cs="仿宋"/>
          <w:sz w:val="24"/>
          <w:szCs w:val="24"/>
        </w:rPr>
        <w:t>▲1、综合除雪机由装载机、前置除雪滚、后置除雪滚三部分构成，其中前置除雪滚、后置除雪滚等上装除雪设备须为同一品牌。</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2、用于高等级公路、公路、机场、广场道路的除雪作业。</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3、适配性强：除雪设备以50系列装载机为主体安装，在不改变原车液压动力的情况下除雪除冰作业动力依旧强劲。</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4、一机多用：多种功能除雪设备装在同一装载机上，前置除雪滚对压实雪、浮雪进行清除，后除雪滚刷对除雪后的路面进行清理、清扫。</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5、安装方便：各种设备独立性强，安装和拆卸方便快捷。</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6、扫滚自调节：在除雪作业中，除雪滚刷随路面横坡坡度自动调节，保持与路面相同的接触宽度。</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7、警示装置：除雪滚刷两侧带有防撞警示装置。</w:t>
      </w:r>
    </w:p>
    <w:p>
      <w:pPr>
        <w:pStyle w:val="5"/>
        <w:numPr>
          <w:ilvl w:val="1"/>
          <w:numId w:val="0"/>
        </w:numPr>
        <w:rPr>
          <w:rFonts w:hint="eastAsia" w:ascii="仿宋" w:hAnsi="仿宋" w:eastAsia="仿宋" w:cs="仿宋"/>
          <w:kern w:val="2"/>
          <w:sz w:val="24"/>
          <w:szCs w:val="24"/>
        </w:rPr>
      </w:pPr>
      <w:r>
        <w:rPr>
          <w:rFonts w:hint="eastAsia" w:ascii="仿宋" w:hAnsi="仿宋" w:eastAsia="仿宋" w:cs="仿宋"/>
          <w:kern w:val="2"/>
          <w:sz w:val="24"/>
          <w:szCs w:val="24"/>
        </w:rPr>
        <w:t>装载机的主要参数：</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▲1、型号： 50轮式装载机，具有多路液压输出功能</w:t>
      </w:r>
      <w:r>
        <w:rPr>
          <w:rFonts w:hint="eastAsia" w:ascii="仿宋" w:hAnsi="仿宋" w:eastAsia="仿宋" w:cs="仿宋"/>
          <w:sz w:val="24"/>
          <w:szCs w:val="24"/>
          <w:lang w:val="zh-CN"/>
        </w:rPr>
        <w:t>。</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2、额定载荷：≥5000 kg，铲斗容量：≥3 m3，铲斗宽度：≥3000 mm；轮外侧车宽：≥2800 mm。</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3、外形尺寸（长×宽×高）：≥7900 mm×3016 mm×3350 mm</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4、轴距：≥2900 mm</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5、轮距：≥2250 mm</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6、离地间隙：≥ 490 mm</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7、卸载高度：≥3100 mm</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8、卸载距离：≥1200 mm</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9、完全举升时最大卸料角</w:t>
      </w:r>
      <w:r>
        <w:rPr>
          <w:rFonts w:hint="eastAsia" w:ascii="仿宋" w:hAnsi="仿宋" w:eastAsia="仿宋" w:cs="仿宋"/>
          <w:sz w:val="24"/>
          <w:szCs w:val="24"/>
        </w:rPr>
        <w:tab/>
      </w:r>
      <w:r>
        <w:rPr>
          <w:rFonts w:hint="eastAsia" w:ascii="仿宋" w:hAnsi="仿宋" w:eastAsia="仿宋" w:cs="仿宋"/>
          <w:sz w:val="24"/>
          <w:szCs w:val="24"/>
        </w:rPr>
        <w:t>：≥45°</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10、最大牵引力：≥156 kN</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11、最大掘起力：≥158 kN</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12、工作重量：≥ 16.0t；</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13、单级四元件双涡轮液力变矩器；行星式动力换档变速箱，强制润滑。</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14、装载机前驱动桥刚性固定，后桥摆动，适应各种道路情况；桥荷分配合理，四轮驱动，牵引力大。</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15、气顶油钳盘式四轮行车制动，外置式制动钳制动可靠、平稳，维修方便，仿汽车式的手制动（停车制动）布置合理、制动泵前后分开布置。</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16、单摇臂、短轴距，转弯半径小。</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17、液压系统采用双泵合流技术，全液压负荷传感转向。</w:t>
      </w:r>
    </w:p>
    <w:p>
      <w:pPr>
        <w:adjustRightInd w:val="0"/>
        <w:snapToGrid w:val="0"/>
        <w:spacing w:line="312" w:lineRule="auto"/>
        <w:ind w:firstLine="480" w:firstLineChars="200"/>
        <w:jc w:val="left"/>
        <w:rPr>
          <w:rFonts w:hint="eastAsia" w:ascii="仿宋" w:hAnsi="仿宋" w:eastAsia="仿宋" w:cs="仿宋"/>
          <w:b/>
          <w:bCs/>
          <w:sz w:val="24"/>
          <w:szCs w:val="24"/>
        </w:rPr>
      </w:pPr>
      <w:r>
        <w:rPr>
          <w:rFonts w:hint="eastAsia" w:ascii="仿宋" w:hAnsi="仿宋" w:eastAsia="仿宋" w:cs="仿宋"/>
          <w:sz w:val="24"/>
          <w:szCs w:val="24"/>
        </w:rPr>
        <w:t>18、变速操纵为防尘软轴结构。</w:t>
      </w:r>
    </w:p>
    <w:p>
      <w:pPr>
        <w:adjustRightInd w:val="0"/>
        <w:snapToGrid w:val="0"/>
        <w:spacing w:line="312" w:lineRule="auto"/>
        <w:jc w:val="left"/>
        <w:rPr>
          <w:rFonts w:hint="eastAsia" w:ascii="仿宋" w:hAnsi="仿宋" w:eastAsia="仿宋" w:cs="仿宋"/>
          <w:b/>
          <w:bCs/>
          <w:kern w:val="2"/>
          <w:sz w:val="24"/>
          <w:szCs w:val="24"/>
        </w:rPr>
      </w:pPr>
      <w:r>
        <w:rPr>
          <w:rFonts w:hint="eastAsia" w:ascii="仿宋" w:hAnsi="仿宋" w:eastAsia="仿宋" w:cs="仿宋"/>
          <w:b/>
          <w:bCs/>
          <w:kern w:val="2"/>
          <w:sz w:val="24"/>
          <w:szCs w:val="24"/>
        </w:rPr>
        <w:t>装载机前置除雪滚主要参数：</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1、外形尺寸(长×宽×高）≥3500 mm×2000 mm×1700 mm，除雪滚宽：≥3200 mm。</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2、前置除雪滚自重≥1300Kg。</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3、除雪作业宽度： ≥3200 mm。</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4、作业速度：新浮雪≥10km/h，压实雪≥5 km/h。</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▲5、前置除雪滚采用非装载机底盘液压取力，有单独动力。</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6、前置除雪滚刷直径≥φ750mm。</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7、前置</w:t>
      </w:r>
      <w:r>
        <w:rPr>
          <w:rFonts w:hint="eastAsia" w:ascii="仿宋" w:hAnsi="仿宋" w:eastAsia="仿宋" w:cs="仿宋"/>
          <w:sz w:val="24"/>
          <w:szCs w:val="24"/>
          <w:lang w:val="zh-CN"/>
        </w:rPr>
        <w:t>滚刷转速（r/min）</w:t>
      </w:r>
      <w:r>
        <w:rPr>
          <w:rFonts w:hint="eastAsia" w:ascii="仿宋" w:hAnsi="仿宋" w:eastAsia="仿宋" w:cs="仿宋"/>
          <w:sz w:val="24"/>
          <w:szCs w:val="24"/>
        </w:rPr>
        <w:t>≥200。</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8、前置除雪滚采用液压偏转，左右偏转角≥25°。</w:t>
      </w:r>
    </w:p>
    <w:p>
      <w:pPr>
        <w:adjustRightInd w:val="0"/>
        <w:snapToGrid w:val="0"/>
        <w:spacing w:line="312" w:lineRule="auto"/>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rPr>
        <w:t>9、前置除雪滚清除压实雪厚度</w:t>
      </w:r>
      <w:r>
        <w:rPr>
          <w:rFonts w:hint="eastAsia" w:ascii="仿宋" w:hAnsi="仿宋" w:eastAsia="仿宋" w:cs="仿宋"/>
          <w:sz w:val="24"/>
          <w:szCs w:val="24"/>
          <w:lang w:val="zh-CN"/>
        </w:rPr>
        <w:t>（mm）0～30。</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10、除雪滚</w:t>
      </w:r>
      <w:r>
        <w:rPr>
          <w:rFonts w:hint="eastAsia" w:ascii="仿宋" w:hAnsi="仿宋" w:eastAsia="仿宋" w:cs="仿宋"/>
          <w:sz w:val="24"/>
          <w:szCs w:val="24"/>
          <w:lang w:val="zh-CN"/>
        </w:rPr>
        <w:t>刷片数量</w:t>
      </w:r>
      <w:r>
        <w:rPr>
          <w:rFonts w:hint="eastAsia" w:ascii="仿宋" w:hAnsi="仿宋" w:eastAsia="仿宋" w:cs="仿宋"/>
          <w:sz w:val="24"/>
          <w:szCs w:val="24"/>
        </w:rPr>
        <w:t>≥60。</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11、独立液压操作系统，只需与装载机电瓶连接，就可以工作。</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▲12、前置除雪滚与装载机有快速连接装置，安装、拆卸方便快捷。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▲13、前置除雪滚提升系统设有可调式液压缸限位机构，作业中可精确控制除雪铲铲刀与地面距离，除雪铲作业效果好使用寿命长。</w:t>
      </w:r>
    </w:p>
    <w:p>
      <w:pPr>
        <w:spacing w:line="360" w:lineRule="auto"/>
        <w:ind w:firstLine="480" w:firstLineChars="200"/>
        <w:rPr>
          <w:rFonts w:hint="eastAsia" w:ascii="仿宋" w:hAnsi="仿宋" w:eastAsia="仿宋" w:cs="仿宋"/>
          <w:kern w:val="2"/>
          <w:sz w:val="24"/>
          <w:szCs w:val="24"/>
        </w:rPr>
      </w:pPr>
      <w:r>
        <w:rPr>
          <w:rFonts w:hint="eastAsia" w:ascii="仿宋" w:hAnsi="仿宋" w:eastAsia="仿宋" w:cs="仿宋"/>
          <w:sz w:val="24"/>
          <w:szCs w:val="24"/>
        </w:rPr>
        <w:t>▲14、</w:t>
      </w:r>
      <w:r>
        <w:rPr>
          <w:rFonts w:hint="eastAsia" w:ascii="仿宋" w:hAnsi="仿宋" w:eastAsia="仿宋" w:cs="仿宋"/>
          <w:sz w:val="24"/>
          <w:szCs w:val="24"/>
          <w:lang w:val="zh-CN"/>
        </w:rPr>
        <w:t>整体装置采用动力与工作装置于一体的自带动力单元机械传动，发动机功率≥3</w:t>
      </w:r>
      <w:r>
        <w:rPr>
          <w:rFonts w:hint="eastAsia" w:ascii="仿宋" w:hAnsi="仿宋" w:eastAsia="仿宋" w:cs="仿宋"/>
          <w:sz w:val="24"/>
          <w:szCs w:val="24"/>
        </w:rPr>
        <w:t>5</w:t>
      </w:r>
      <w:r>
        <w:rPr>
          <w:rFonts w:hint="eastAsia" w:ascii="仿宋" w:hAnsi="仿宋" w:eastAsia="仿宋" w:cs="仿宋"/>
          <w:sz w:val="24"/>
          <w:szCs w:val="24"/>
          <w:lang w:val="zh-CN"/>
        </w:rPr>
        <w:t>kw，发动机型号：全柴4B2-52M22或优于，不受车速的限制，达到良好的除雪效果。刷丝采用钢丝+扁钢的簇状结构，扁钢相当于刀片，清除压实雪；</w:t>
      </w:r>
      <w:r>
        <w:rPr>
          <w:rFonts w:hint="eastAsia" w:ascii="仿宋" w:hAnsi="仿宋" w:eastAsia="仿宋" w:cs="仿宋"/>
          <w:b/>
          <w:bCs/>
          <w:kern w:val="2"/>
          <w:sz w:val="24"/>
          <w:szCs w:val="24"/>
        </w:rPr>
        <w:t>装载机后置除雪滚刷：</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1、外形尺寸（长×宽×高）≥</w:t>
      </w:r>
      <w:r>
        <w:rPr>
          <w:rFonts w:hint="eastAsia" w:ascii="仿宋" w:hAnsi="仿宋" w:eastAsia="仿宋" w:cs="仿宋"/>
          <w:sz w:val="24"/>
          <w:szCs w:val="24"/>
        </w:rPr>
        <w:tab/>
      </w:r>
      <w:r>
        <w:rPr>
          <w:rFonts w:hint="eastAsia" w:ascii="仿宋" w:hAnsi="仿宋" w:eastAsia="仿宋" w:cs="仿宋"/>
          <w:sz w:val="24"/>
          <w:szCs w:val="24"/>
        </w:rPr>
        <w:t>3600 mm×1260 mm×1650 mm，扫雪滚可实现左右偏转，刷滚宽度为≥3500mm，左右摆角≥25°，并随意可调。</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2、重量：≥900 kg</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3、除雪宽度≥3200 mm</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4、作业速度：5～30 km/h</w:t>
      </w: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▲5、除雪滚采用装载机液压系统动力，刷滚转速≥240 r/min</w:t>
      </w:r>
      <w:r>
        <w:rPr>
          <w:rFonts w:hint="eastAsia" w:ascii="仿宋" w:hAnsi="仿宋" w:eastAsia="仿宋" w:cs="仿宋"/>
          <w:sz w:val="24"/>
          <w:szCs w:val="24"/>
          <w:lang w:eastAsia="zh-CN"/>
        </w:rPr>
        <w:t>。</w:t>
      </w:r>
    </w:p>
    <w:p>
      <w:pPr>
        <w:spacing w:line="360" w:lineRule="auto"/>
        <w:ind w:firstLine="480" w:firstLineChars="200"/>
        <w:rPr>
          <w:rFonts w:hint="eastAsia" w:ascii="仿宋" w:hAnsi="仿宋" w:eastAsia="仿宋" w:cs="仿宋"/>
          <w:sz w:val="24"/>
          <w:szCs w:val="24"/>
          <w:highlight w:val="yellow"/>
        </w:rPr>
      </w:pPr>
      <w:r>
        <w:rPr>
          <w:rFonts w:hint="eastAsia" w:ascii="仿宋" w:hAnsi="仿宋" w:eastAsia="仿宋" w:cs="仿宋"/>
          <w:sz w:val="24"/>
          <w:szCs w:val="24"/>
        </w:rPr>
        <w:t>▲6、除雪滚采用多档位离合器控制转速，前进，后退档各1个。</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7、刷滚离地高度可以根据雪层的厚度，清扫雪层厚度在50～100mm之间调整。除雪滚刷直径≥φ750mm。</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8、刷丝材质要求每片刷丝均为PP+钢丝（组合刷丝）。</w:t>
      </w:r>
    </w:p>
    <w:p>
      <w:pPr>
        <w:rPr>
          <w:rFonts w:hint="eastAsia" w:ascii="仿宋" w:hAnsi="仿宋" w:eastAsia="仿宋" w:cs="仿宋"/>
          <w:sz w:val="24"/>
          <w:szCs w:val="24"/>
        </w:rPr>
      </w:pPr>
      <w:r>
        <w:rPr>
          <w:rFonts w:hint="eastAsia" w:ascii="仿宋" w:hAnsi="仿宋" w:eastAsia="仿宋" w:cs="仿宋"/>
          <w:sz w:val="24"/>
          <w:szCs w:val="24"/>
        </w:rPr>
        <w:t>驾驶员在驾驶室内即可对扫雪滚进行各种动作的操作，作业时可将雪扫向一侧。</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▲9、除雪滚提升系统设有可调式液压缸限位机构，作业中可精确控制除雪滚与地面距离，除雪滚作业效果好使用寿命长。</w:t>
      </w:r>
    </w:p>
    <w:p>
      <w:pPr>
        <w:spacing w:line="360" w:lineRule="auto"/>
        <w:ind w:firstLine="480" w:firstLineChars="200"/>
        <w:rPr>
          <w:rFonts w:hint="eastAsia" w:ascii="仿宋" w:hAnsi="仿宋" w:eastAsia="仿宋" w:cs="仿宋"/>
          <w:sz w:val="24"/>
          <w:szCs w:val="24"/>
          <w:highlight w:val="yellow"/>
          <w:lang w:val="zh-CN"/>
        </w:rPr>
      </w:pPr>
      <w:r>
        <w:rPr>
          <w:rFonts w:hint="eastAsia" w:ascii="仿宋" w:hAnsi="仿宋" w:eastAsia="仿宋" w:cs="仿宋"/>
          <w:sz w:val="24"/>
          <w:szCs w:val="24"/>
        </w:rPr>
        <w:t>▲10、除雪滚具有复合式水平提升偏转机构，偏转作业时除雪滚与地面水平，滚体调整和工作时均保持水平无倾斜，除雪更彻底。</w:t>
      </w:r>
    </w:p>
    <w:p>
      <w:pPr>
        <w:pStyle w:val="2"/>
        <w:ind w:firstLine="0" w:firstLineChars="0"/>
        <w:rPr>
          <w:rFonts w:hint="eastAsia" w:ascii="仿宋" w:hAnsi="仿宋" w:eastAsia="仿宋" w:cs="仿宋"/>
          <w:b/>
          <w:bCs/>
          <w:sz w:val="24"/>
          <w:szCs w:val="24"/>
        </w:rPr>
      </w:pPr>
      <w:r>
        <w:rPr>
          <w:rFonts w:hint="eastAsia" w:ascii="仿宋" w:hAnsi="仿宋" w:eastAsia="仿宋" w:cs="仿宋"/>
          <w:b/>
          <w:bCs/>
          <w:sz w:val="24"/>
          <w:szCs w:val="24"/>
        </w:rPr>
        <w:t>2.4</w:t>
      </w:r>
      <w:r>
        <w:rPr>
          <w:rFonts w:hint="eastAsia" w:ascii="仿宋" w:hAnsi="仿宋" w:eastAsia="仿宋" w:cs="仿宋"/>
          <w:sz w:val="24"/>
          <w:szCs w:val="24"/>
        </w:rPr>
        <w:t xml:space="preserve">   </w:t>
      </w:r>
      <w:r>
        <w:rPr>
          <w:rFonts w:hint="eastAsia" w:ascii="仿宋" w:hAnsi="仿宋" w:eastAsia="仿宋" w:cs="仿宋"/>
          <w:b/>
          <w:bCs/>
          <w:sz w:val="24"/>
          <w:szCs w:val="24"/>
        </w:rPr>
        <w:t>25T洒水车主要参数介绍：</w:t>
      </w:r>
    </w:p>
    <w:tbl>
      <w:tblPr>
        <w:tblStyle w:val="24"/>
        <w:tblW w:w="7695" w:type="dxa"/>
        <w:tblInd w:w="7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761"/>
        <w:gridCol w:w="39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trPr>
        <w:tc>
          <w:tcPr>
            <w:tcW w:w="3761" w:type="dxa"/>
            <w:vAlign w:val="top"/>
          </w:tcPr>
          <w:p>
            <w:pPr>
              <w:suppressAutoHyphens/>
              <w:spacing w:line="600" w:lineRule="exact"/>
              <w:jc w:val="center"/>
              <w:rPr>
                <w:rFonts w:hint="eastAsia" w:ascii="仿宋" w:hAnsi="仿宋" w:eastAsia="仿宋" w:cs="仿宋"/>
                <w:sz w:val="24"/>
                <w:szCs w:val="24"/>
              </w:rPr>
            </w:pPr>
            <w:r>
              <w:rPr>
                <w:rFonts w:hint="eastAsia" w:ascii="仿宋" w:hAnsi="仿宋" w:eastAsia="仿宋" w:cs="仿宋"/>
                <w:sz w:val="24"/>
                <w:szCs w:val="24"/>
              </w:rPr>
              <w:t>项目</w:t>
            </w:r>
          </w:p>
        </w:tc>
        <w:tc>
          <w:tcPr>
            <w:tcW w:w="3934" w:type="dxa"/>
            <w:vAlign w:val="top"/>
          </w:tcPr>
          <w:p>
            <w:pPr>
              <w:suppressAutoHyphens/>
              <w:spacing w:line="600" w:lineRule="exact"/>
              <w:jc w:val="center"/>
              <w:rPr>
                <w:rFonts w:hint="eastAsia" w:ascii="仿宋" w:hAnsi="仿宋" w:eastAsia="仿宋" w:cs="仿宋"/>
                <w:sz w:val="24"/>
                <w:szCs w:val="24"/>
              </w:rPr>
            </w:pPr>
            <w:r>
              <w:rPr>
                <w:rFonts w:hint="eastAsia" w:ascii="仿宋" w:hAnsi="仿宋" w:eastAsia="仿宋" w:cs="仿宋"/>
                <w:sz w:val="24"/>
                <w:szCs w:val="24"/>
              </w:rPr>
              <w:t>规格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761" w:type="dxa"/>
            <w:vAlign w:val="center"/>
          </w:tcPr>
          <w:p>
            <w:pPr>
              <w:suppressAutoHyphens/>
              <w:spacing w:line="600" w:lineRule="exact"/>
              <w:rPr>
                <w:rFonts w:hint="eastAsia" w:ascii="仿宋" w:hAnsi="仿宋" w:eastAsia="仿宋" w:cs="仿宋"/>
                <w:sz w:val="24"/>
                <w:szCs w:val="24"/>
              </w:rPr>
            </w:pPr>
            <w:r>
              <w:rPr>
                <w:rFonts w:hint="eastAsia" w:ascii="仿宋" w:hAnsi="仿宋" w:eastAsia="仿宋" w:cs="仿宋"/>
                <w:sz w:val="24"/>
                <w:szCs w:val="24"/>
              </w:rPr>
              <w:t>底盘型号</w:t>
            </w:r>
          </w:p>
        </w:tc>
        <w:tc>
          <w:tcPr>
            <w:tcW w:w="3934" w:type="dxa"/>
            <w:vAlign w:val="top"/>
          </w:tcPr>
          <w:p>
            <w:pPr>
              <w:suppressAutoHyphens/>
              <w:spacing w:line="600" w:lineRule="exact"/>
              <w:jc w:val="center"/>
              <w:rPr>
                <w:rFonts w:hint="eastAsia" w:ascii="仿宋" w:hAnsi="仿宋" w:eastAsia="仿宋" w:cs="仿宋"/>
                <w:sz w:val="24"/>
                <w:szCs w:val="24"/>
              </w:rPr>
            </w:pPr>
            <w:r>
              <w:rPr>
                <w:rFonts w:hint="eastAsia" w:ascii="仿宋" w:hAnsi="仿宋" w:eastAsia="仿宋" w:cs="仿宋"/>
                <w:sz w:val="24"/>
                <w:szCs w:val="24"/>
              </w:rPr>
              <w:t>DFL1250A13（国Ⅴ）或优于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761" w:type="dxa"/>
            <w:vAlign w:val="center"/>
          </w:tcPr>
          <w:p>
            <w:pPr>
              <w:suppressAutoHyphens/>
              <w:spacing w:line="600" w:lineRule="exact"/>
              <w:rPr>
                <w:rFonts w:hint="eastAsia" w:ascii="仿宋" w:hAnsi="仿宋" w:eastAsia="仿宋" w:cs="仿宋"/>
                <w:sz w:val="24"/>
                <w:szCs w:val="24"/>
              </w:rPr>
            </w:pPr>
            <w:r>
              <w:rPr>
                <w:rFonts w:hint="eastAsia" w:ascii="仿宋" w:hAnsi="仿宋" w:eastAsia="仿宋" w:cs="仿宋"/>
                <w:sz w:val="24"/>
                <w:szCs w:val="24"/>
              </w:rPr>
              <w:t>底盘发动机</w:t>
            </w:r>
          </w:p>
        </w:tc>
        <w:tc>
          <w:tcPr>
            <w:tcW w:w="3934" w:type="dxa"/>
            <w:vAlign w:val="top"/>
          </w:tcPr>
          <w:p>
            <w:pPr>
              <w:suppressAutoHyphens/>
              <w:spacing w:line="600" w:lineRule="exact"/>
              <w:jc w:val="center"/>
              <w:rPr>
                <w:rFonts w:hint="eastAsia" w:ascii="仿宋" w:hAnsi="仿宋" w:eastAsia="仿宋" w:cs="仿宋"/>
                <w:sz w:val="24"/>
                <w:szCs w:val="24"/>
              </w:rPr>
            </w:pPr>
            <w:r>
              <w:rPr>
                <w:rFonts w:hint="eastAsia" w:ascii="仿宋" w:hAnsi="仿宋" w:eastAsia="仿宋" w:cs="仿宋"/>
                <w:sz w:val="24"/>
                <w:szCs w:val="24"/>
              </w:rPr>
              <w:t>ISD245 50或优于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761" w:type="dxa"/>
            <w:vAlign w:val="center"/>
          </w:tcPr>
          <w:p>
            <w:pPr>
              <w:suppressAutoHyphens/>
              <w:spacing w:line="600" w:lineRule="exact"/>
              <w:rPr>
                <w:rFonts w:hint="eastAsia" w:ascii="仿宋" w:hAnsi="仿宋" w:eastAsia="仿宋" w:cs="仿宋"/>
                <w:sz w:val="24"/>
                <w:szCs w:val="24"/>
              </w:rPr>
            </w:pPr>
            <w:r>
              <w:rPr>
                <w:rFonts w:hint="eastAsia" w:ascii="仿宋" w:hAnsi="仿宋" w:eastAsia="仿宋" w:cs="仿宋"/>
                <w:sz w:val="24"/>
                <w:szCs w:val="24"/>
              </w:rPr>
              <w:t>底盘发动机功率(kw)</w:t>
            </w:r>
          </w:p>
        </w:tc>
        <w:tc>
          <w:tcPr>
            <w:tcW w:w="3934" w:type="dxa"/>
            <w:vAlign w:val="top"/>
          </w:tcPr>
          <w:p>
            <w:pPr>
              <w:suppressAutoHyphens/>
              <w:spacing w:line="600" w:lineRule="exact"/>
              <w:jc w:val="center"/>
              <w:rPr>
                <w:rFonts w:hint="eastAsia" w:ascii="仿宋" w:hAnsi="仿宋" w:eastAsia="仿宋" w:cs="仿宋"/>
                <w:sz w:val="24"/>
                <w:szCs w:val="24"/>
              </w:rPr>
            </w:pPr>
            <w:r>
              <w:rPr>
                <w:rFonts w:hint="eastAsia" w:ascii="仿宋" w:hAnsi="仿宋" w:eastAsia="仿宋" w:cs="仿宋"/>
                <w:sz w:val="24"/>
                <w:szCs w:val="24"/>
              </w:rP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761" w:type="dxa"/>
            <w:vAlign w:val="center"/>
          </w:tcPr>
          <w:p>
            <w:pPr>
              <w:widowControl/>
              <w:suppressAutoHyphens/>
              <w:spacing w:line="600" w:lineRule="exact"/>
              <w:rPr>
                <w:rFonts w:hint="eastAsia" w:ascii="仿宋" w:hAnsi="仿宋" w:eastAsia="仿宋" w:cs="仿宋"/>
                <w:sz w:val="24"/>
                <w:szCs w:val="24"/>
              </w:rPr>
            </w:pPr>
            <w:r>
              <w:rPr>
                <w:rFonts w:hint="eastAsia" w:ascii="仿宋" w:hAnsi="仿宋" w:eastAsia="仿宋" w:cs="仿宋"/>
                <w:sz w:val="24"/>
                <w:szCs w:val="24"/>
              </w:rPr>
              <w:t>外形尺寸（长×宽×高）(mm)</w:t>
            </w:r>
          </w:p>
        </w:tc>
        <w:tc>
          <w:tcPr>
            <w:tcW w:w="3934" w:type="dxa"/>
            <w:vAlign w:val="top"/>
          </w:tcPr>
          <w:p>
            <w:pPr>
              <w:widowControl/>
              <w:suppressAutoHyphens/>
              <w:spacing w:line="600" w:lineRule="exact"/>
              <w:jc w:val="center"/>
              <w:rPr>
                <w:rFonts w:hint="eastAsia" w:ascii="仿宋" w:hAnsi="仿宋" w:eastAsia="仿宋" w:cs="仿宋"/>
                <w:sz w:val="24"/>
                <w:szCs w:val="24"/>
              </w:rPr>
            </w:pPr>
            <w:r>
              <w:rPr>
                <w:rFonts w:hint="eastAsia" w:ascii="仿宋" w:hAnsi="仿宋" w:eastAsia="仿宋" w:cs="仿宋"/>
                <w:sz w:val="24"/>
                <w:szCs w:val="24"/>
              </w:rPr>
              <w:t>≥9650×2500×3100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761" w:type="dxa"/>
            <w:vAlign w:val="center"/>
          </w:tcPr>
          <w:p>
            <w:pPr>
              <w:suppressAutoHyphens/>
              <w:spacing w:line="600" w:lineRule="exact"/>
              <w:rPr>
                <w:rFonts w:hint="eastAsia" w:ascii="仿宋" w:hAnsi="仿宋" w:eastAsia="仿宋" w:cs="仿宋"/>
                <w:sz w:val="24"/>
                <w:szCs w:val="24"/>
              </w:rPr>
            </w:pPr>
            <w:r>
              <w:rPr>
                <w:rFonts w:hint="eastAsia" w:ascii="仿宋" w:hAnsi="仿宋" w:eastAsia="仿宋" w:cs="仿宋"/>
                <w:sz w:val="24"/>
                <w:szCs w:val="24"/>
              </w:rPr>
              <w:t>总质量(kg)</w:t>
            </w:r>
          </w:p>
        </w:tc>
        <w:tc>
          <w:tcPr>
            <w:tcW w:w="3934" w:type="dxa"/>
            <w:vAlign w:val="center"/>
          </w:tcPr>
          <w:p>
            <w:pPr>
              <w:suppressAutoHyphens/>
              <w:spacing w:line="600" w:lineRule="exact"/>
              <w:jc w:val="center"/>
              <w:rPr>
                <w:rFonts w:hint="eastAsia" w:ascii="仿宋" w:hAnsi="仿宋" w:eastAsia="仿宋" w:cs="仿宋"/>
                <w:sz w:val="24"/>
                <w:szCs w:val="24"/>
              </w:rPr>
            </w:pPr>
            <w:r>
              <w:rPr>
                <w:rFonts w:hint="eastAsia" w:ascii="仿宋" w:hAnsi="仿宋" w:eastAsia="仿宋" w:cs="仿宋"/>
                <w:sz w:val="24"/>
                <w:szCs w:val="24"/>
              </w:rPr>
              <w:t>≥25000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761" w:type="dxa"/>
            <w:vAlign w:val="center"/>
          </w:tcPr>
          <w:p>
            <w:pPr>
              <w:suppressAutoHyphens/>
              <w:spacing w:line="600" w:lineRule="exact"/>
              <w:rPr>
                <w:rFonts w:hint="eastAsia" w:ascii="仿宋" w:hAnsi="仿宋" w:eastAsia="仿宋" w:cs="仿宋"/>
                <w:sz w:val="24"/>
                <w:szCs w:val="24"/>
              </w:rPr>
            </w:pPr>
            <w:r>
              <w:rPr>
                <w:rFonts w:hint="eastAsia" w:ascii="仿宋" w:hAnsi="仿宋" w:eastAsia="仿宋" w:cs="仿宋"/>
                <w:sz w:val="24"/>
                <w:szCs w:val="24"/>
              </w:rPr>
              <w:t>额定载质量(kg)</w:t>
            </w:r>
          </w:p>
        </w:tc>
        <w:tc>
          <w:tcPr>
            <w:tcW w:w="3934" w:type="dxa"/>
            <w:vAlign w:val="center"/>
          </w:tcPr>
          <w:p>
            <w:pPr>
              <w:suppressAutoHyphens/>
              <w:spacing w:line="600" w:lineRule="exact"/>
              <w:jc w:val="center"/>
              <w:rPr>
                <w:rFonts w:hint="eastAsia" w:ascii="仿宋" w:hAnsi="仿宋" w:eastAsia="仿宋" w:cs="仿宋"/>
                <w:sz w:val="24"/>
                <w:szCs w:val="24"/>
              </w:rPr>
            </w:pPr>
            <w:r>
              <w:rPr>
                <w:rFonts w:hint="eastAsia" w:ascii="仿宋" w:hAnsi="仿宋" w:eastAsia="仿宋" w:cs="仿宋"/>
                <w:sz w:val="24"/>
                <w:szCs w:val="24"/>
              </w:rPr>
              <w:t>≥13100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761" w:type="dxa"/>
            <w:vAlign w:val="center"/>
          </w:tcPr>
          <w:p>
            <w:pPr>
              <w:widowControl/>
              <w:autoSpaceDE w:val="0"/>
              <w:autoSpaceDN w:val="0"/>
              <w:spacing w:line="600" w:lineRule="exact"/>
              <w:rPr>
                <w:rFonts w:hint="eastAsia" w:ascii="仿宋" w:hAnsi="仿宋" w:eastAsia="仿宋" w:cs="仿宋"/>
                <w:sz w:val="24"/>
                <w:szCs w:val="24"/>
              </w:rPr>
            </w:pPr>
            <w:r>
              <w:rPr>
                <w:rFonts w:hint="eastAsia" w:ascii="仿宋" w:hAnsi="仿宋" w:eastAsia="仿宋" w:cs="仿宋"/>
                <w:sz w:val="24"/>
                <w:szCs w:val="24"/>
              </w:rPr>
              <w:t>驾驶室准乘人数（人）</w:t>
            </w:r>
          </w:p>
        </w:tc>
        <w:tc>
          <w:tcPr>
            <w:tcW w:w="3934" w:type="dxa"/>
            <w:vAlign w:val="top"/>
          </w:tcPr>
          <w:p>
            <w:pPr>
              <w:widowControl/>
              <w:suppressAutoHyphens/>
              <w:spacing w:line="600" w:lineRule="exact"/>
              <w:jc w:val="center"/>
              <w:rPr>
                <w:rFonts w:hint="eastAsia" w:ascii="仿宋" w:hAnsi="仿宋" w:eastAsia="仿宋" w:cs="仿宋"/>
                <w:sz w:val="24"/>
                <w:szCs w:val="24"/>
              </w:rPr>
            </w:pPr>
            <w:r>
              <w:rPr>
                <w:rFonts w:hint="eastAsia" w:ascii="仿宋" w:hAnsi="仿宋" w:eastAsia="仿宋" w:cs="仿宋"/>
                <w:sz w:val="24"/>
                <w:szCs w:val="24"/>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761" w:type="dxa"/>
            <w:vAlign w:val="center"/>
          </w:tcPr>
          <w:p>
            <w:pPr>
              <w:suppressAutoHyphens/>
              <w:spacing w:line="600" w:lineRule="exact"/>
              <w:rPr>
                <w:rFonts w:hint="eastAsia" w:ascii="仿宋" w:hAnsi="仿宋" w:eastAsia="仿宋" w:cs="仿宋"/>
                <w:sz w:val="24"/>
                <w:szCs w:val="24"/>
              </w:rPr>
            </w:pPr>
            <w:r>
              <w:rPr>
                <w:rFonts w:hint="eastAsia" w:ascii="仿宋" w:hAnsi="仿宋" w:eastAsia="仿宋" w:cs="仿宋"/>
                <w:sz w:val="24"/>
                <w:szCs w:val="24"/>
              </w:rPr>
              <w:t>公告水罐有效容积(L)</w:t>
            </w:r>
          </w:p>
        </w:tc>
        <w:tc>
          <w:tcPr>
            <w:tcW w:w="3934" w:type="dxa"/>
            <w:vAlign w:val="center"/>
          </w:tcPr>
          <w:p>
            <w:pPr>
              <w:suppressAutoHyphens/>
              <w:spacing w:line="600" w:lineRule="exact"/>
              <w:jc w:val="center"/>
              <w:rPr>
                <w:rFonts w:hint="eastAsia" w:ascii="仿宋" w:hAnsi="仿宋" w:eastAsia="仿宋" w:cs="仿宋"/>
                <w:sz w:val="24"/>
                <w:szCs w:val="24"/>
              </w:rPr>
            </w:pPr>
            <w:r>
              <w:rPr>
                <w:rFonts w:hint="eastAsia" w:ascii="仿宋" w:hAnsi="仿宋" w:eastAsia="仿宋" w:cs="仿宋"/>
                <w:sz w:val="24"/>
                <w:szCs w:val="24"/>
              </w:rPr>
              <w:t>≥13500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761" w:type="dxa"/>
            <w:vAlign w:val="center"/>
          </w:tcPr>
          <w:p>
            <w:pPr>
              <w:suppressAutoHyphens/>
              <w:spacing w:line="600" w:lineRule="exact"/>
              <w:rPr>
                <w:rFonts w:hint="eastAsia" w:ascii="仿宋" w:hAnsi="仿宋" w:eastAsia="仿宋" w:cs="仿宋"/>
                <w:sz w:val="24"/>
                <w:szCs w:val="24"/>
              </w:rPr>
            </w:pPr>
            <w:r>
              <w:rPr>
                <w:rFonts w:hint="eastAsia" w:ascii="仿宋" w:hAnsi="仿宋" w:eastAsia="仿宋" w:cs="仿宋"/>
                <w:sz w:val="24"/>
                <w:szCs w:val="24"/>
              </w:rPr>
              <w:t>后高喷射程(m)</w:t>
            </w:r>
          </w:p>
        </w:tc>
        <w:tc>
          <w:tcPr>
            <w:tcW w:w="3934" w:type="dxa"/>
            <w:vAlign w:val="center"/>
          </w:tcPr>
          <w:p>
            <w:pPr>
              <w:suppressAutoHyphens/>
              <w:spacing w:line="600" w:lineRule="exact"/>
              <w:jc w:val="center"/>
              <w:rPr>
                <w:rFonts w:hint="eastAsia" w:ascii="仿宋" w:hAnsi="仿宋" w:eastAsia="仿宋" w:cs="仿宋"/>
                <w:sz w:val="24"/>
                <w:szCs w:val="24"/>
              </w:rPr>
            </w:pPr>
            <w:r>
              <w:rPr>
                <w:rFonts w:hint="eastAsia" w:ascii="仿宋" w:hAnsi="仿宋" w:eastAsia="仿宋" w:cs="仿宋"/>
                <w:sz w:val="24"/>
                <w:szCs w:val="24"/>
              </w:rPr>
              <w:t>≥38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761" w:type="dxa"/>
            <w:vAlign w:val="center"/>
          </w:tcPr>
          <w:p>
            <w:pPr>
              <w:suppressAutoHyphens/>
              <w:spacing w:line="600" w:lineRule="exact"/>
              <w:rPr>
                <w:rFonts w:hint="eastAsia" w:ascii="仿宋" w:hAnsi="仿宋" w:eastAsia="仿宋" w:cs="仿宋"/>
                <w:sz w:val="24"/>
                <w:szCs w:val="24"/>
              </w:rPr>
            </w:pPr>
            <w:r>
              <w:rPr>
                <w:rFonts w:hint="eastAsia" w:ascii="仿宋" w:hAnsi="仿宋" w:eastAsia="仿宋" w:cs="仿宋"/>
                <w:sz w:val="24"/>
                <w:szCs w:val="24"/>
              </w:rPr>
              <w:t>洒水泵</w:t>
            </w:r>
          </w:p>
        </w:tc>
        <w:tc>
          <w:tcPr>
            <w:tcW w:w="3934" w:type="dxa"/>
            <w:vAlign w:val="center"/>
          </w:tcPr>
          <w:p>
            <w:pPr>
              <w:suppressAutoHyphens/>
              <w:spacing w:line="600" w:lineRule="exact"/>
              <w:jc w:val="center"/>
              <w:rPr>
                <w:rFonts w:hint="eastAsia" w:ascii="仿宋" w:hAnsi="仿宋" w:eastAsia="仿宋" w:cs="仿宋"/>
                <w:sz w:val="24"/>
                <w:szCs w:val="24"/>
              </w:rPr>
            </w:pPr>
            <w:r>
              <w:rPr>
                <w:rFonts w:hint="eastAsia" w:ascii="仿宋" w:hAnsi="仿宋" w:eastAsia="仿宋" w:cs="仿宋"/>
                <w:sz w:val="24"/>
                <w:szCs w:val="24"/>
              </w:rPr>
              <w:t>65QZB-50/110N或优于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761" w:type="dxa"/>
            <w:vAlign w:val="center"/>
          </w:tcPr>
          <w:p>
            <w:pPr>
              <w:widowControl/>
              <w:suppressAutoHyphens/>
              <w:spacing w:line="600" w:lineRule="exact"/>
              <w:rPr>
                <w:rFonts w:hint="eastAsia" w:ascii="仿宋" w:hAnsi="仿宋" w:eastAsia="仿宋" w:cs="仿宋"/>
                <w:sz w:val="24"/>
                <w:szCs w:val="24"/>
              </w:rPr>
            </w:pPr>
            <w:r>
              <w:rPr>
                <w:rFonts w:hint="eastAsia" w:ascii="仿宋" w:hAnsi="仿宋" w:eastAsia="仿宋" w:cs="仿宋"/>
                <w:sz w:val="24"/>
                <w:szCs w:val="24"/>
              </w:rPr>
              <w:t>洒水泵流量（m3/h）</w:t>
            </w:r>
          </w:p>
        </w:tc>
        <w:tc>
          <w:tcPr>
            <w:tcW w:w="3934" w:type="dxa"/>
            <w:vAlign w:val="center"/>
          </w:tcPr>
          <w:p>
            <w:pPr>
              <w:suppressAutoHyphens/>
              <w:spacing w:line="600" w:lineRule="exact"/>
              <w:jc w:val="center"/>
              <w:rPr>
                <w:rFonts w:hint="eastAsia" w:ascii="仿宋" w:hAnsi="仿宋" w:eastAsia="仿宋" w:cs="仿宋"/>
                <w:sz w:val="24"/>
                <w:szCs w:val="24"/>
              </w:rPr>
            </w:pPr>
            <w:r>
              <w:rPr>
                <w:rFonts w:hint="eastAsia" w:ascii="仿宋" w:hAnsi="仿宋" w:eastAsia="仿宋" w:cs="仿宋"/>
                <w:sz w:val="24"/>
                <w:szCs w:val="24"/>
              </w:rPr>
              <w:t>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761" w:type="dxa"/>
            <w:vAlign w:val="center"/>
          </w:tcPr>
          <w:p>
            <w:pPr>
              <w:widowControl/>
              <w:suppressAutoHyphens/>
              <w:spacing w:line="600" w:lineRule="exact"/>
              <w:rPr>
                <w:rFonts w:hint="eastAsia" w:ascii="仿宋" w:hAnsi="仿宋" w:eastAsia="仿宋" w:cs="仿宋"/>
                <w:sz w:val="24"/>
                <w:szCs w:val="24"/>
              </w:rPr>
            </w:pPr>
            <w:r>
              <w:rPr>
                <w:rFonts w:hint="eastAsia" w:ascii="仿宋" w:hAnsi="仿宋" w:eastAsia="仿宋" w:cs="仿宋"/>
                <w:sz w:val="24"/>
                <w:szCs w:val="24"/>
              </w:rPr>
              <w:t>冲洗宽度(m)</w:t>
            </w:r>
          </w:p>
        </w:tc>
        <w:tc>
          <w:tcPr>
            <w:tcW w:w="3934" w:type="dxa"/>
            <w:vAlign w:val="top"/>
          </w:tcPr>
          <w:p>
            <w:pPr>
              <w:widowControl/>
              <w:suppressAutoHyphens/>
              <w:spacing w:line="600" w:lineRule="exact"/>
              <w:jc w:val="center"/>
              <w:rPr>
                <w:rFonts w:hint="eastAsia" w:ascii="仿宋" w:hAnsi="仿宋" w:eastAsia="仿宋" w:cs="仿宋"/>
                <w:sz w:val="24"/>
                <w:szCs w:val="24"/>
              </w:rPr>
            </w:pPr>
            <w:r>
              <w:rPr>
                <w:rFonts w:hint="eastAsia" w:ascii="仿宋" w:hAnsi="仿宋" w:eastAsia="仿宋" w:cs="仿宋"/>
                <w:sz w:val="24"/>
                <w:szCs w:val="24"/>
              </w:rPr>
              <w:t>≥24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761" w:type="dxa"/>
            <w:vAlign w:val="center"/>
          </w:tcPr>
          <w:p>
            <w:pPr>
              <w:widowControl/>
              <w:suppressAutoHyphens/>
              <w:spacing w:line="600" w:lineRule="exact"/>
              <w:rPr>
                <w:rFonts w:hint="eastAsia" w:ascii="仿宋" w:hAnsi="仿宋" w:eastAsia="仿宋" w:cs="仿宋"/>
                <w:sz w:val="24"/>
                <w:szCs w:val="24"/>
              </w:rPr>
            </w:pPr>
            <w:r>
              <w:rPr>
                <w:rFonts w:hint="eastAsia" w:ascii="仿宋" w:hAnsi="仿宋" w:eastAsia="仿宋" w:cs="仿宋"/>
                <w:sz w:val="24"/>
                <w:szCs w:val="24"/>
              </w:rPr>
              <w:t>洒水宽度(m)</w:t>
            </w:r>
          </w:p>
        </w:tc>
        <w:tc>
          <w:tcPr>
            <w:tcW w:w="3934" w:type="dxa"/>
            <w:vAlign w:val="top"/>
          </w:tcPr>
          <w:p>
            <w:pPr>
              <w:widowControl/>
              <w:suppressAutoHyphens/>
              <w:spacing w:line="600" w:lineRule="exact"/>
              <w:jc w:val="center"/>
              <w:rPr>
                <w:rFonts w:hint="eastAsia" w:ascii="仿宋" w:hAnsi="仿宋" w:eastAsia="仿宋" w:cs="仿宋"/>
                <w:sz w:val="24"/>
                <w:szCs w:val="24"/>
              </w:rPr>
            </w:pPr>
            <w:r>
              <w:rPr>
                <w:rFonts w:hint="eastAsia" w:ascii="仿宋" w:hAnsi="仿宋" w:eastAsia="仿宋" w:cs="仿宋"/>
                <w:sz w:val="24"/>
                <w:szCs w:val="24"/>
              </w:rPr>
              <w:t>≥16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761" w:type="dxa"/>
            <w:vAlign w:val="center"/>
          </w:tcPr>
          <w:p>
            <w:pPr>
              <w:widowControl/>
              <w:suppressAutoHyphens/>
              <w:spacing w:line="600" w:lineRule="exact"/>
              <w:rPr>
                <w:rFonts w:hint="eastAsia" w:ascii="仿宋" w:hAnsi="仿宋" w:eastAsia="仿宋" w:cs="仿宋"/>
                <w:sz w:val="24"/>
                <w:szCs w:val="24"/>
              </w:rPr>
            </w:pPr>
            <w:r>
              <w:rPr>
                <w:rFonts w:hint="eastAsia" w:ascii="仿宋" w:hAnsi="仿宋" w:eastAsia="仿宋" w:cs="仿宋"/>
                <w:sz w:val="24"/>
                <w:szCs w:val="24"/>
              </w:rPr>
              <w:t>扬程（m）</w:t>
            </w:r>
          </w:p>
        </w:tc>
        <w:tc>
          <w:tcPr>
            <w:tcW w:w="3934" w:type="dxa"/>
            <w:vAlign w:val="center"/>
          </w:tcPr>
          <w:p>
            <w:pPr>
              <w:suppressAutoHyphens/>
              <w:spacing w:line="600" w:lineRule="exact"/>
              <w:jc w:val="center"/>
              <w:rPr>
                <w:rFonts w:hint="eastAsia" w:ascii="仿宋" w:hAnsi="仿宋" w:eastAsia="仿宋" w:cs="仿宋"/>
                <w:sz w:val="24"/>
                <w:szCs w:val="24"/>
              </w:rPr>
            </w:pPr>
            <w:r>
              <w:rPr>
                <w:rFonts w:hint="eastAsia" w:ascii="仿宋" w:hAnsi="仿宋" w:eastAsia="仿宋" w:cs="仿宋"/>
                <w:sz w:val="24"/>
                <w:szCs w:val="24"/>
              </w:rPr>
              <w:t>≥110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761" w:type="dxa"/>
            <w:vAlign w:val="center"/>
          </w:tcPr>
          <w:p>
            <w:pPr>
              <w:widowControl/>
              <w:suppressAutoHyphens/>
              <w:spacing w:line="600" w:lineRule="exact"/>
              <w:rPr>
                <w:rFonts w:hint="eastAsia" w:ascii="仿宋" w:hAnsi="仿宋" w:eastAsia="仿宋" w:cs="仿宋"/>
                <w:sz w:val="24"/>
                <w:szCs w:val="24"/>
              </w:rPr>
            </w:pPr>
            <w:r>
              <w:rPr>
                <w:rFonts w:hint="eastAsia" w:ascii="仿宋" w:hAnsi="仿宋" w:eastAsia="仿宋" w:cs="仿宋"/>
                <w:sz w:val="24"/>
                <w:szCs w:val="24"/>
              </w:rPr>
              <w:t>驾驶室调温措施</w:t>
            </w:r>
          </w:p>
        </w:tc>
        <w:tc>
          <w:tcPr>
            <w:tcW w:w="3934" w:type="dxa"/>
            <w:vAlign w:val="top"/>
          </w:tcPr>
          <w:p>
            <w:pPr>
              <w:widowControl/>
              <w:suppressAutoHyphens/>
              <w:spacing w:line="600" w:lineRule="exact"/>
              <w:jc w:val="center"/>
              <w:rPr>
                <w:rFonts w:hint="eastAsia" w:ascii="仿宋" w:hAnsi="仿宋" w:eastAsia="仿宋" w:cs="仿宋"/>
                <w:sz w:val="24"/>
                <w:szCs w:val="24"/>
              </w:rPr>
            </w:pPr>
            <w:r>
              <w:rPr>
                <w:rFonts w:hint="eastAsia" w:ascii="仿宋" w:hAnsi="仿宋" w:eastAsia="仿宋" w:cs="仿宋"/>
                <w:sz w:val="24"/>
                <w:szCs w:val="24"/>
              </w:rPr>
              <w:t>配原厂冷暖空调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761" w:type="dxa"/>
            <w:vAlign w:val="top"/>
          </w:tcPr>
          <w:p>
            <w:pPr>
              <w:rPr>
                <w:rFonts w:hint="eastAsia" w:ascii="仿宋" w:hAnsi="仿宋" w:eastAsia="仿宋" w:cs="仿宋"/>
                <w:sz w:val="24"/>
                <w:szCs w:val="24"/>
              </w:rPr>
            </w:pPr>
            <w:r>
              <w:rPr>
                <w:rFonts w:hint="eastAsia" w:ascii="仿宋" w:hAnsi="仿宋" w:eastAsia="仿宋" w:cs="仿宋"/>
                <w:sz w:val="24"/>
                <w:szCs w:val="24"/>
              </w:rPr>
              <w:t>车身喷涂</w:t>
            </w:r>
          </w:p>
        </w:tc>
        <w:tc>
          <w:tcPr>
            <w:tcW w:w="3934" w:type="dxa"/>
            <w:vAlign w:val="top"/>
          </w:tcPr>
          <w:p>
            <w:pPr>
              <w:widowControl/>
              <w:jc w:val="center"/>
              <w:rPr>
                <w:rFonts w:hint="eastAsia" w:ascii="仿宋" w:hAnsi="仿宋" w:eastAsia="仿宋" w:cs="仿宋"/>
                <w:sz w:val="24"/>
                <w:szCs w:val="24"/>
              </w:rPr>
            </w:pPr>
            <w:r>
              <w:rPr>
                <w:rFonts w:hint="eastAsia" w:ascii="仿宋" w:hAnsi="仿宋" w:eastAsia="仿宋" w:cs="仿宋"/>
                <w:sz w:val="24"/>
                <w:szCs w:val="24"/>
              </w:rPr>
              <w:t>甲方指定的宣传标语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761" w:type="dxa"/>
            <w:vAlign w:val="top"/>
          </w:tcPr>
          <w:p>
            <w:pPr>
              <w:rPr>
                <w:rFonts w:hint="eastAsia" w:ascii="仿宋" w:hAnsi="仿宋" w:eastAsia="仿宋" w:cs="仿宋"/>
                <w:sz w:val="24"/>
                <w:szCs w:val="24"/>
              </w:rPr>
            </w:pPr>
            <w:r>
              <w:rPr>
                <w:rFonts w:hint="eastAsia" w:ascii="仿宋" w:hAnsi="仿宋" w:eastAsia="仿宋" w:cs="仿宋"/>
                <w:sz w:val="24"/>
                <w:szCs w:val="24"/>
              </w:rPr>
              <w:t>警示标志</w:t>
            </w:r>
          </w:p>
        </w:tc>
        <w:tc>
          <w:tcPr>
            <w:tcW w:w="3934" w:type="dxa"/>
            <w:vAlign w:val="top"/>
          </w:tcPr>
          <w:p>
            <w:pPr>
              <w:widowControl/>
              <w:jc w:val="center"/>
              <w:rPr>
                <w:rFonts w:hint="eastAsia" w:ascii="仿宋" w:hAnsi="仿宋" w:eastAsia="仿宋" w:cs="仿宋"/>
                <w:sz w:val="24"/>
                <w:szCs w:val="24"/>
              </w:rPr>
            </w:pPr>
            <w:r>
              <w:rPr>
                <w:rFonts w:hint="eastAsia" w:ascii="仿宋" w:hAnsi="仿宋" w:eastAsia="仿宋" w:cs="仿宋"/>
                <w:sz w:val="24"/>
                <w:szCs w:val="24"/>
              </w:rPr>
              <w:t>黄色箭头指示灯</w:t>
            </w:r>
          </w:p>
        </w:tc>
      </w:tr>
    </w:tbl>
    <w:p>
      <w:pPr>
        <w:suppressAutoHyphens/>
        <w:spacing w:line="600" w:lineRule="exact"/>
        <w:rPr>
          <w:rFonts w:hint="eastAsia" w:ascii="仿宋" w:hAnsi="仿宋" w:eastAsia="仿宋" w:cs="仿宋"/>
          <w:sz w:val="24"/>
          <w:szCs w:val="24"/>
        </w:rPr>
      </w:pPr>
      <w:r>
        <w:rPr>
          <w:rFonts w:hint="eastAsia" w:ascii="仿宋" w:hAnsi="仿宋" w:eastAsia="仿宋" w:cs="仿宋"/>
          <w:b/>
          <w:bCs/>
          <w:sz w:val="24"/>
          <w:szCs w:val="24"/>
        </w:rPr>
        <w:t>25T洒水车主要性能：</w:t>
      </w:r>
    </w:p>
    <w:p>
      <w:pPr>
        <w:suppressAutoHyphens/>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（1）采用自吸式双级离心泵，水泵由底盘发动机取力传动；采取低平冲洗工作模式。</w:t>
      </w:r>
    </w:p>
    <w:p>
      <w:pPr>
        <w:suppressAutoHyphens/>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（2）位于车身后部的高喷水枪操纵灵活，工作角度范围大，可用于喷洗多种高度的物体，高喷水枪可调节成柱状或雾状；</w:t>
      </w:r>
    </w:p>
    <w:p>
      <w:pPr>
        <w:spacing w:line="360" w:lineRule="auto"/>
        <w:ind w:firstLine="720" w:firstLineChars="300"/>
        <w:rPr>
          <w:rFonts w:hint="eastAsia" w:ascii="仿宋" w:hAnsi="仿宋" w:eastAsia="仿宋" w:cs="仿宋"/>
          <w:sz w:val="24"/>
          <w:szCs w:val="24"/>
          <w:highlight w:val="yellow"/>
          <w:lang w:val="en-US" w:eastAsia="zh-CN"/>
        </w:rPr>
      </w:pPr>
      <w:r>
        <w:rPr>
          <w:rFonts w:hint="eastAsia" w:ascii="仿宋" w:hAnsi="仿宋" w:eastAsia="仿宋" w:cs="仿宋"/>
          <w:sz w:val="24"/>
          <w:szCs w:val="24"/>
        </w:rPr>
        <w:t>▲（3）</w:t>
      </w:r>
      <w:r>
        <w:rPr>
          <w:rFonts w:hint="eastAsia" w:ascii="仿宋" w:hAnsi="仿宋" w:eastAsia="仿宋" w:cs="仿宋"/>
          <w:sz w:val="24"/>
          <w:szCs w:val="24"/>
          <w:lang w:val="zh-CN"/>
        </w:rPr>
        <w:t>配有对冲装置，</w:t>
      </w:r>
      <w:r>
        <w:rPr>
          <w:rFonts w:hint="eastAsia" w:ascii="仿宋" w:hAnsi="仿宋" w:eastAsia="仿宋" w:cs="仿宋"/>
          <w:sz w:val="24"/>
          <w:szCs w:val="24"/>
        </w:rPr>
        <w:t>喷水嘴可左右360°，上下360°调整。</w:t>
      </w:r>
    </w:p>
    <w:p>
      <w:pPr>
        <w:suppressAutoHyphens/>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（4）后保险杠处装有两个喷头，用于日常洒水工作。</w:t>
      </w:r>
    </w:p>
    <w:p>
      <w:pPr>
        <w:spacing w:line="360" w:lineRule="auto"/>
        <w:ind w:firstLine="720" w:firstLineChars="300"/>
        <w:rPr>
          <w:rFonts w:hint="eastAsia" w:ascii="仿宋" w:hAnsi="仿宋" w:eastAsia="仿宋" w:cs="仿宋"/>
          <w:sz w:val="24"/>
          <w:szCs w:val="24"/>
          <w:lang w:val="zh-CN"/>
        </w:rPr>
      </w:pPr>
      <w:r>
        <w:rPr>
          <w:rFonts w:hint="eastAsia" w:ascii="仿宋" w:hAnsi="仿宋" w:eastAsia="仿宋" w:cs="仿宋"/>
          <w:sz w:val="24"/>
          <w:szCs w:val="24"/>
        </w:rPr>
        <w:t>▲（5）开关控制阀件、洒水系统管道均采用耐锈蚀材料，罐体采用不锈钢罐体，内部经特殊工艺处理，不锈蚀,</w:t>
      </w:r>
      <w:r>
        <w:rPr>
          <w:rFonts w:hint="eastAsia" w:ascii="仿宋" w:hAnsi="仿宋" w:eastAsia="仿宋" w:cs="仿宋"/>
          <w:sz w:val="24"/>
          <w:szCs w:val="24"/>
          <w:lang w:val="zh-CN"/>
        </w:rPr>
        <w:t>内加装自动搅拌融雪剂装置。</w:t>
      </w:r>
    </w:p>
    <w:p>
      <w:pPr>
        <w:spacing w:line="360" w:lineRule="auto"/>
        <w:ind w:firstLine="720" w:firstLineChars="300"/>
        <w:rPr>
          <w:rFonts w:hint="eastAsia" w:ascii="仿宋" w:hAnsi="仿宋" w:eastAsia="仿宋" w:cs="仿宋"/>
          <w:sz w:val="24"/>
          <w:szCs w:val="24"/>
          <w:highlight w:val="yellow"/>
        </w:rPr>
      </w:pPr>
      <w:r>
        <w:rPr>
          <w:rFonts w:hint="eastAsia" w:ascii="仿宋" w:hAnsi="仿宋" w:eastAsia="仿宋" w:cs="仿宋"/>
          <w:sz w:val="24"/>
          <w:szCs w:val="24"/>
        </w:rPr>
        <w:t>▲（6）全车操控采用高可靠性、无污染的先进气动系统，所有路面作业功能均可在驾驶室内进行操作。</w:t>
      </w:r>
    </w:p>
    <w:p>
      <w:pPr>
        <w:suppressAutoHyphens/>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（7）水罐设有低水位传感报警系统，当水位较低时能自动报警。</w:t>
      </w:r>
    </w:p>
    <w:p>
      <w:pPr>
        <w:spacing w:line="360" w:lineRule="auto"/>
        <w:ind w:firstLine="720" w:firstLineChars="300"/>
        <w:rPr>
          <w:rFonts w:hint="eastAsia" w:ascii="仿宋" w:hAnsi="仿宋" w:eastAsia="仿宋" w:cs="仿宋"/>
          <w:sz w:val="24"/>
          <w:szCs w:val="24"/>
          <w:highlight w:val="yellow"/>
          <w:lang w:val="en-US" w:eastAsia="zh-CN"/>
        </w:rPr>
      </w:pPr>
      <w:r>
        <w:rPr>
          <w:rFonts w:hint="eastAsia" w:ascii="仿宋" w:hAnsi="仿宋" w:eastAsia="仿宋" w:cs="仿宋"/>
          <w:sz w:val="24"/>
          <w:szCs w:val="24"/>
        </w:rPr>
        <w:t>▲</w:t>
      </w:r>
      <w:r>
        <w:rPr>
          <w:rFonts w:hint="eastAsia" w:ascii="仿宋" w:hAnsi="仿宋" w:eastAsia="仿宋" w:cs="仿宋"/>
          <w:sz w:val="24"/>
          <w:szCs w:val="24"/>
          <w:lang w:val="zh-CN"/>
        </w:rPr>
        <w:t>（8）加装后喷雾降尘、具备自吸功能。</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（9）驾驶室内配原厂冷暖空调，加装倒车监控、作业警示装置和GPS系统。全车配轮胎为钢丝胎。</w:t>
      </w:r>
    </w:p>
    <w:p>
      <w:pPr>
        <w:suppressAutoHyphens/>
        <w:spacing w:line="6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zh-CN"/>
        </w:rPr>
        <w:t>（10）整车采用国</w:t>
      </w:r>
      <w:r>
        <w:rPr>
          <w:rFonts w:hint="eastAsia" w:ascii="仿宋" w:hAnsi="仿宋" w:eastAsia="仿宋" w:cs="仿宋"/>
          <w:color w:val="auto"/>
          <w:sz w:val="24"/>
          <w:szCs w:val="24"/>
          <w:lang w:val="en-US" w:eastAsia="zh-CN"/>
        </w:rPr>
        <w:t>V</w:t>
      </w:r>
      <w:r>
        <w:rPr>
          <w:rFonts w:hint="eastAsia" w:ascii="仿宋" w:hAnsi="仿宋" w:eastAsia="仿宋" w:cs="仿宋"/>
          <w:color w:val="auto"/>
          <w:sz w:val="24"/>
          <w:szCs w:val="24"/>
          <w:lang w:val="zh-CN"/>
        </w:rPr>
        <w:t>标准，具有免征。</w:t>
      </w:r>
    </w:p>
    <w:p>
      <w:pPr>
        <w:rPr>
          <w:rFonts w:hint="eastAsia" w:ascii="仿宋" w:hAnsi="仿宋" w:eastAsia="仿宋" w:cs="仿宋"/>
          <w:b/>
          <w:bCs/>
          <w:sz w:val="24"/>
          <w:szCs w:val="24"/>
        </w:rPr>
      </w:pPr>
      <w:r>
        <w:rPr>
          <w:rFonts w:hint="eastAsia" w:ascii="仿宋" w:hAnsi="仿宋" w:eastAsia="仿宋" w:cs="仿宋"/>
          <w:b/>
          <w:bCs/>
          <w:sz w:val="24"/>
          <w:szCs w:val="24"/>
        </w:rPr>
        <w:t>除雪滚主要技术参数及性能要求 ：</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1、可以和各种较大型洗扫车、扫路车、洒水车装载机组装使用；外形尺寸（长×宽×高）（mm）≥</w:t>
      </w:r>
      <w:r>
        <w:rPr>
          <w:rFonts w:hint="eastAsia" w:ascii="仿宋" w:hAnsi="仿宋" w:eastAsia="仿宋" w:cs="仿宋"/>
          <w:sz w:val="24"/>
          <w:szCs w:val="24"/>
        </w:rPr>
        <w:tab/>
      </w:r>
      <w:r>
        <w:rPr>
          <w:rFonts w:hint="eastAsia" w:ascii="仿宋" w:hAnsi="仿宋" w:eastAsia="仿宋" w:cs="仿宋"/>
          <w:sz w:val="24"/>
          <w:szCs w:val="24"/>
        </w:rPr>
        <w:t>3500×2380×1780 。</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2、除雪滚可实现左右偏转，左右摆角≥25°，并随意可调。</w:t>
      </w:r>
    </w:p>
    <w:p>
      <w:pPr>
        <w:spacing w:line="480" w:lineRule="exact"/>
        <w:ind w:left="-141" w:leftChars="-67" w:right="-199" w:rightChars="-95" w:firstLine="480" w:firstLineChars="200"/>
        <w:rPr>
          <w:rFonts w:hint="eastAsia" w:ascii="仿宋" w:hAnsi="仿宋" w:eastAsia="仿宋" w:cs="仿宋"/>
          <w:sz w:val="24"/>
          <w:szCs w:val="24"/>
        </w:rPr>
      </w:pPr>
      <w:r>
        <w:rPr>
          <w:rFonts w:hint="eastAsia" w:ascii="仿宋" w:hAnsi="仿宋" w:eastAsia="仿宋" w:cs="仿宋"/>
          <w:sz w:val="24"/>
          <w:szCs w:val="24"/>
        </w:rPr>
        <w:t>3、重量：≥2000 kg。除雪宽度：≥2800mm。</w:t>
      </w:r>
    </w:p>
    <w:p>
      <w:pPr>
        <w:spacing w:line="480" w:lineRule="exact"/>
        <w:ind w:left="-141" w:leftChars="-67" w:right="-199" w:rightChars="-95" w:firstLine="480" w:firstLineChars="200"/>
        <w:rPr>
          <w:rFonts w:hint="eastAsia" w:ascii="仿宋" w:hAnsi="仿宋" w:eastAsia="仿宋" w:cs="仿宋"/>
          <w:sz w:val="24"/>
          <w:szCs w:val="24"/>
        </w:rPr>
      </w:pPr>
      <w:r>
        <w:rPr>
          <w:rFonts w:hint="eastAsia" w:ascii="仿宋" w:hAnsi="仿宋" w:eastAsia="仿宋" w:cs="仿宋"/>
          <w:sz w:val="24"/>
          <w:szCs w:val="24"/>
        </w:rPr>
        <w:t>4、作业速度：5～30 km/h。</w:t>
      </w:r>
    </w:p>
    <w:p>
      <w:pPr>
        <w:spacing w:line="480" w:lineRule="exact"/>
        <w:ind w:left="-141" w:leftChars="-67" w:right="-199" w:rightChars="-95" w:firstLine="480" w:firstLineChars="200"/>
        <w:rPr>
          <w:rFonts w:hint="eastAsia" w:ascii="仿宋" w:hAnsi="仿宋" w:eastAsia="仿宋" w:cs="仿宋"/>
          <w:sz w:val="24"/>
          <w:szCs w:val="24"/>
        </w:rPr>
      </w:pPr>
      <w:r>
        <w:rPr>
          <w:rFonts w:hint="eastAsia" w:ascii="仿宋" w:hAnsi="仿宋" w:eastAsia="仿宋" w:cs="仿宋"/>
          <w:sz w:val="24"/>
          <w:szCs w:val="24"/>
        </w:rPr>
        <w:t>▲5、除雪滚转速：≥240r/min。除雪滚采用非多档位离合器控制旋转。</w:t>
      </w:r>
    </w:p>
    <w:p>
      <w:pPr>
        <w:spacing w:line="480" w:lineRule="exact"/>
        <w:ind w:left="-141" w:leftChars="-67" w:right="-199" w:rightChars="-95" w:firstLine="480" w:firstLineChars="200"/>
        <w:rPr>
          <w:rFonts w:hint="eastAsia" w:ascii="仿宋" w:hAnsi="仿宋" w:eastAsia="仿宋" w:cs="仿宋"/>
          <w:sz w:val="24"/>
          <w:szCs w:val="24"/>
        </w:rPr>
      </w:pPr>
      <w:r>
        <w:rPr>
          <w:rFonts w:hint="eastAsia" w:ascii="仿宋" w:hAnsi="仿宋" w:eastAsia="仿宋" w:cs="仿宋"/>
          <w:sz w:val="24"/>
          <w:szCs w:val="24"/>
        </w:rPr>
        <w:t>6、驾驶室内可操作除雪滚刷进行各种动作(含发动机启动及停止控制)，独立电控离合装置，作业安全可靠、操控方便。</w:t>
      </w:r>
    </w:p>
    <w:p>
      <w:pPr>
        <w:spacing w:line="480" w:lineRule="exact"/>
        <w:ind w:left="-141" w:leftChars="-67" w:right="-199" w:rightChars="-95" w:firstLine="480" w:firstLineChars="200"/>
        <w:rPr>
          <w:rFonts w:hint="eastAsia" w:ascii="仿宋" w:hAnsi="仿宋" w:eastAsia="仿宋" w:cs="仿宋"/>
          <w:sz w:val="24"/>
          <w:szCs w:val="24"/>
        </w:rPr>
      </w:pPr>
      <w:r>
        <w:rPr>
          <w:rFonts w:hint="eastAsia" w:ascii="仿宋" w:hAnsi="仿宋" w:eastAsia="仿宋" w:cs="仿宋"/>
          <w:sz w:val="24"/>
          <w:szCs w:val="24"/>
        </w:rPr>
        <w:t>▲7、扫雪滚采用自带动力单元机械传动，发动机功率（kw）</w:t>
      </w:r>
      <w:r>
        <w:rPr>
          <w:rFonts w:hint="eastAsia" w:ascii="仿宋" w:hAnsi="仿宋" w:eastAsia="仿宋" w:cs="仿宋"/>
          <w:sz w:val="24"/>
          <w:szCs w:val="24"/>
          <w:lang w:val="zh-CN"/>
        </w:rPr>
        <w:t>≥3</w:t>
      </w:r>
      <w:r>
        <w:rPr>
          <w:rFonts w:hint="eastAsia" w:ascii="仿宋" w:hAnsi="仿宋" w:eastAsia="仿宋" w:cs="仿宋"/>
          <w:sz w:val="24"/>
          <w:szCs w:val="24"/>
        </w:rPr>
        <w:t>5</w:t>
      </w:r>
      <w:r>
        <w:rPr>
          <w:rFonts w:hint="eastAsia" w:ascii="仿宋" w:hAnsi="仿宋" w:eastAsia="仿宋" w:cs="仿宋"/>
          <w:sz w:val="24"/>
          <w:szCs w:val="24"/>
          <w:lang w:val="zh-CN"/>
        </w:rPr>
        <w:t>，</w:t>
      </w:r>
      <w:r>
        <w:rPr>
          <w:rFonts w:hint="eastAsia" w:ascii="仿宋" w:hAnsi="仿宋" w:eastAsia="仿宋" w:cs="仿宋"/>
          <w:sz w:val="24"/>
          <w:szCs w:val="24"/>
        </w:rPr>
        <w:t>发动机型号：全柴4B2-52M22柴油发动机或优于，</w:t>
      </w:r>
      <w:r>
        <w:rPr>
          <w:rFonts w:hint="eastAsia" w:ascii="仿宋" w:hAnsi="仿宋" w:eastAsia="仿宋" w:cs="仿宋"/>
          <w:sz w:val="24"/>
          <w:szCs w:val="24"/>
          <w:lang w:val="zh-CN"/>
        </w:rPr>
        <w:t>采用电启动，</w:t>
      </w:r>
      <w:r>
        <w:rPr>
          <w:rFonts w:hint="eastAsia" w:ascii="仿宋" w:hAnsi="仿宋" w:eastAsia="仿宋" w:cs="仿宋"/>
          <w:sz w:val="24"/>
          <w:szCs w:val="24"/>
        </w:rPr>
        <w:t>传动轴长L</w:t>
      </w:r>
      <w:r>
        <w:rPr>
          <w:rFonts w:hint="eastAsia" w:ascii="仿宋" w:hAnsi="仿宋" w:eastAsia="仿宋" w:cs="仿宋"/>
          <w:sz w:val="24"/>
          <w:szCs w:val="24"/>
          <w:lang w:val="zh-CN"/>
        </w:rPr>
        <w:t>≥</w:t>
      </w:r>
      <w:r>
        <w:rPr>
          <w:rFonts w:hint="eastAsia" w:ascii="仿宋" w:hAnsi="仿宋" w:eastAsia="仿宋" w:cs="仿宋"/>
          <w:sz w:val="24"/>
          <w:szCs w:val="24"/>
        </w:rPr>
        <w:t>1000mm</w:t>
      </w:r>
      <w:r>
        <w:rPr>
          <w:rFonts w:hint="eastAsia" w:ascii="仿宋" w:hAnsi="仿宋" w:eastAsia="仿宋" w:cs="仿宋"/>
          <w:sz w:val="24"/>
          <w:szCs w:val="24"/>
          <w:lang w:val="zh-CN"/>
        </w:rPr>
        <w:t>。</w:t>
      </w:r>
      <w:r>
        <w:rPr>
          <w:rFonts w:hint="eastAsia" w:ascii="仿宋" w:hAnsi="仿宋" w:eastAsia="仿宋" w:cs="仿宋"/>
          <w:sz w:val="24"/>
          <w:szCs w:val="24"/>
        </w:rPr>
        <w:t>不从所配车辆底盘液压取力；</w:t>
      </w:r>
    </w:p>
    <w:p>
      <w:pPr>
        <w:spacing w:line="480" w:lineRule="exact"/>
        <w:ind w:left="-141" w:leftChars="-67" w:right="-199" w:rightChars="-95" w:firstLine="480" w:firstLineChars="200"/>
        <w:rPr>
          <w:rFonts w:hint="eastAsia" w:ascii="仿宋" w:hAnsi="仿宋" w:eastAsia="仿宋" w:cs="仿宋"/>
          <w:sz w:val="24"/>
          <w:szCs w:val="24"/>
        </w:rPr>
      </w:pPr>
      <w:r>
        <w:rPr>
          <w:rFonts w:hint="eastAsia" w:ascii="仿宋" w:hAnsi="仿宋" w:eastAsia="仿宋" w:cs="仿宋"/>
          <w:sz w:val="24"/>
          <w:szCs w:val="24"/>
        </w:rPr>
        <w:t>8、除雪滚离地高度可以根据清扫雪层厚度在50～100mm之间调整。</w:t>
      </w:r>
    </w:p>
    <w:p>
      <w:pPr>
        <w:spacing w:line="480" w:lineRule="exact"/>
        <w:ind w:left="-141" w:leftChars="-67" w:right="-199" w:rightChars="-95" w:firstLine="480" w:firstLineChars="200"/>
        <w:rPr>
          <w:rFonts w:hint="eastAsia" w:ascii="仿宋" w:hAnsi="仿宋" w:eastAsia="仿宋" w:cs="仿宋"/>
          <w:sz w:val="24"/>
          <w:szCs w:val="24"/>
        </w:rPr>
      </w:pPr>
      <w:r>
        <w:rPr>
          <w:rFonts w:hint="eastAsia" w:ascii="仿宋" w:hAnsi="仿宋" w:eastAsia="仿宋" w:cs="仿宋"/>
          <w:sz w:val="24"/>
          <w:szCs w:val="24"/>
        </w:rPr>
        <w:t>▲9、除雪滚刷直径</w:t>
      </w:r>
      <w:r>
        <w:rPr>
          <w:rFonts w:hint="eastAsia" w:ascii="仿宋" w:hAnsi="仿宋" w:eastAsia="仿宋" w:cs="仿宋"/>
          <w:sz w:val="24"/>
          <w:szCs w:val="24"/>
          <w:lang w:val="zh-CN"/>
        </w:rPr>
        <w:t>≥7</w:t>
      </w:r>
      <w:r>
        <w:rPr>
          <w:rFonts w:hint="eastAsia" w:ascii="仿宋" w:hAnsi="仿宋" w:eastAsia="仿宋" w:cs="仿宋"/>
          <w:sz w:val="24"/>
          <w:szCs w:val="24"/>
        </w:rPr>
        <w:t>0</w:t>
      </w:r>
      <w:r>
        <w:rPr>
          <w:rFonts w:hint="eastAsia" w:ascii="仿宋" w:hAnsi="仿宋" w:eastAsia="仿宋" w:cs="仿宋"/>
          <w:sz w:val="24"/>
          <w:szCs w:val="24"/>
          <w:lang w:val="zh-CN"/>
        </w:rPr>
        <w:t>0mm。采用实心支撑轮支撑</w:t>
      </w:r>
      <w:r>
        <w:rPr>
          <w:rFonts w:hint="eastAsia" w:ascii="仿宋" w:hAnsi="仿宋" w:eastAsia="仿宋" w:cs="仿宋"/>
          <w:sz w:val="24"/>
          <w:szCs w:val="24"/>
        </w:rPr>
        <w:t>，支撑轮行走过程中左右摆动设有限位装置。</w:t>
      </w:r>
    </w:p>
    <w:p>
      <w:pPr>
        <w:spacing w:line="480" w:lineRule="exact"/>
        <w:ind w:left="-141" w:leftChars="-67" w:right="-199" w:rightChars="-95" w:firstLine="480" w:firstLineChars="200"/>
        <w:rPr>
          <w:rFonts w:hint="eastAsia" w:ascii="仿宋" w:hAnsi="仿宋" w:eastAsia="仿宋" w:cs="仿宋"/>
          <w:sz w:val="24"/>
          <w:szCs w:val="24"/>
        </w:rPr>
      </w:pPr>
      <w:r>
        <w:rPr>
          <w:rFonts w:hint="eastAsia" w:ascii="仿宋" w:hAnsi="仿宋" w:eastAsia="仿宋" w:cs="仿宋"/>
          <w:sz w:val="24"/>
          <w:szCs w:val="24"/>
          <w:lang w:val="zh-CN"/>
        </w:rPr>
        <w:t>10、刷丝材质要求每片刷丝均为PP+钢丝（组合刷丝）。</w:t>
      </w:r>
    </w:p>
    <w:p>
      <w:pPr>
        <w:spacing w:line="480" w:lineRule="exact"/>
        <w:ind w:left="-141" w:leftChars="-67" w:right="-199" w:rightChars="-95" w:firstLine="480" w:firstLineChars="200"/>
        <w:rPr>
          <w:rFonts w:hint="eastAsia" w:ascii="仿宋" w:hAnsi="仿宋" w:eastAsia="仿宋" w:cs="仿宋"/>
          <w:sz w:val="24"/>
          <w:szCs w:val="24"/>
        </w:rPr>
      </w:pPr>
      <w:r>
        <w:rPr>
          <w:rFonts w:hint="eastAsia" w:ascii="仿宋" w:hAnsi="仿宋" w:eastAsia="仿宋" w:cs="仿宋"/>
          <w:sz w:val="24"/>
          <w:szCs w:val="24"/>
        </w:rPr>
        <w:t>11、在除雪作业中，扫雪滚刷随路面横坡坡度，自动调节；</w:t>
      </w:r>
    </w:p>
    <w:p>
      <w:pPr>
        <w:spacing w:line="480" w:lineRule="exact"/>
        <w:ind w:left="-141" w:leftChars="-67" w:right="-199" w:rightChars="-95" w:firstLine="480" w:firstLineChars="200"/>
        <w:rPr>
          <w:rFonts w:hint="eastAsia" w:ascii="仿宋" w:hAnsi="仿宋" w:eastAsia="仿宋" w:cs="仿宋"/>
          <w:sz w:val="24"/>
          <w:szCs w:val="24"/>
        </w:rPr>
      </w:pPr>
      <w:r>
        <w:rPr>
          <w:rFonts w:hint="eastAsia" w:ascii="仿宋" w:hAnsi="仿宋" w:eastAsia="仿宋" w:cs="仿宋"/>
          <w:sz w:val="24"/>
          <w:szCs w:val="24"/>
        </w:rPr>
        <w:t>▲12、除雪滚提升系统设有可调式液压缸限位机构，作业中可精确控制除雪滚与地面距离，扫雪滚作业效果好、使用寿命长；</w:t>
      </w:r>
    </w:p>
    <w:p>
      <w:pPr>
        <w:spacing w:line="480" w:lineRule="exact"/>
        <w:ind w:left="-141" w:leftChars="-67" w:right="-199" w:rightChars="-95" w:firstLine="480" w:firstLineChars="200"/>
        <w:rPr>
          <w:rFonts w:hint="eastAsia" w:ascii="仿宋" w:hAnsi="仿宋" w:eastAsia="仿宋" w:cs="仿宋"/>
          <w:sz w:val="24"/>
          <w:szCs w:val="24"/>
        </w:rPr>
      </w:pPr>
      <w:r>
        <w:rPr>
          <w:rFonts w:hint="eastAsia" w:ascii="仿宋" w:hAnsi="仿宋" w:eastAsia="仿宋" w:cs="仿宋"/>
          <w:sz w:val="24"/>
          <w:szCs w:val="24"/>
        </w:rPr>
        <w:t>▲13、除雪滚具有复合式水平提升偏转机构，偏转作业时除雪滚与地面水平，铲体调整和工作时均保持水平无倾斜，除雪更彻底；</w:t>
      </w:r>
    </w:p>
    <w:p>
      <w:pPr>
        <w:spacing w:line="480" w:lineRule="exact"/>
        <w:ind w:left="-141" w:leftChars="-67" w:right="-199" w:rightChars="-95" w:firstLine="480" w:firstLineChars="200"/>
        <w:rPr>
          <w:rFonts w:hint="eastAsia" w:ascii="仿宋" w:hAnsi="仿宋" w:eastAsia="仿宋" w:cs="仿宋"/>
          <w:sz w:val="24"/>
          <w:szCs w:val="24"/>
          <w:lang w:val="zh-CN"/>
        </w:rPr>
      </w:pPr>
      <w:r>
        <w:rPr>
          <w:rFonts w:hint="eastAsia" w:ascii="仿宋" w:hAnsi="仿宋" w:eastAsia="仿宋" w:cs="仿宋"/>
          <w:sz w:val="24"/>
          <w:szCs w:val="24"/>
        </w:rPr>
        <w:t>▲14、除雪</w:t>
      </w:r>
      <w:r>
        <w:rPr>
          <w:rFonts w:hint="eastAsia" w:ascii="仿宋" w:hAnsi="仿宋" w:eastAsia="仿宋" w:cs="仿宋"/>
          <w:sz w:val="24"/>
          <w:szCs w:val="24"/>
          <w:lang w:val="zh-CN"/>
        </w:rPr>
        <w:t>滚采用快速连接装置，安装、拆卸方便快捷。</w:t>
      </w:r>
    </w:p>
    <w:p>
      <w:pPr>
        <w:spacing w:line="480" w:lineRule="exact"/>
        <w:ind w:left="-141" w:leftChars="-67" w:right="-199" w:rightChars="-95" w:firstLine="480" w:firstLineChars="200"/>
        <w:rPr>
          <w:rFonts w:hint="eastAsia" w:ascii="仿宋" w:hAnsi="仿宋" w:eastAsia="仿宋" w:cs="仿宋"/>
          <w:sz w:val="24"/>
          <w:szCs w:val="24"/>
        </w:rPr>
      </w:pPr>
      <w:r>
        <w:rPr>
          <w:rFonts w:hint="eastAsia" w:ascii="仿宋" w:hAnsi="仿宋" w:eastAsia="仿宋" w:cs="仿宋"/>
          <w:sz w:val="24"/>
          <w:szCs w:val="24"/>
        </w:rPr>
        <w:t>▲15、该除雪滚链条采用偏心张紧结构。</w:t>
      </w:r>
    </w:p>
    <w:p>
      <w:pPr>
        <w:tabs>
          <w:tab w:val="left" w:pos="2367"/>
          <w:tab w:val="center" w:pos="4153"/>
        </w:tabs>
        <w:spacing w:before="240" w:after="60"/>
        <w:outlineLvl w:val="0"/>
        <w:rPr>
          <w:rFonts w:hint="eastAsia" w:ascii="仿宋" w:hAnsi="仿宋" w:eastAsia="仿宋" w:cs="仿宋"/>
          <w:b/>
          <w:bCs/>
          <w:sz w:val="24"/>
          <w:szCs w:val="24"/>
        </w:rPr>
      </w:pPr>
      <w:r>
        <w:rPr>
          <w:rFonts w:hint="eastAsia" w:ascii="仿宋" w:hAnsi="仿宋" w:eastAsia="仿宋" w:cs="仿宋"/>
          <w:b/>
          <w:bCs/>
          <w:sz w:val="24"/>
          <w:szCs w:val="24"/>
        </w:rPr>
        <w:t>除雪撒布机主要技术参数：</w:t>
      </w:r>
    </w:p>
    <w:tbl>
      <w:tblPr>
        <w:tblStyle w:val="24"/>
        <w:tblW w:w="7650" w:type="dxa"/>
        <w:tblInd w:w="6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2445"/>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vMerge w:val="restart"/>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底盘参数</w:t>
            </w:r>
          </w:p>
        </w:tc>
        <w:tc>
          <w:tcPr>
            <w:tcW w:w="2445"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底盘型号</w:t>
            </w:r>
          </w:p>
        </w:tc>
        <w:tc>
          <w:tcPr>
            <w:tcW w:w="378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JX1041TSG25或优于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vMerge w:val="continue"/>
            <w:vAlign w:val="center"/>
          </w:tcPr>
          <w:p>
            <w:pPr>
              <w:spacing w:line="360" w:lineRule="auto"/>
              <w:rPr>
                <w:rFonts w:hint="eastAsia" w:ascii="仿宋" w:hAnsi="仿宋" w:eastAsia="仿宋" w:cs="仿宋"/>
                <w:sz w:val="24"/>
                <w:szCs w:val="24"/>
              </w:rPr>
            </w:pPr>
          </w:p>
        </w:tc>
        <w:tc>
          <w:tcPr>
            <w:tcW w:w="2445" w:type="dxa"/>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发动机型</w:t>
            </w:r>
          </w:p>
        </w:tc>
        <w:tc>
          <w:tcPr>
            <w:tcW w:w="3780" w:type="dxa"/>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JX493ZLQ5或优于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425" w:type="dxa"/>
            <w:vMerge w:val="continue"/>
            <w:vAlign w:val="center"/>
          </w:tcPr>
          <w:p>
            <w:pPr>
              <w:spacing w:line="360" w:lineRule="auto"/>
              <w:rPr>
                <w:rFonts w:hint="eastAsia" w:ascii="仿宋" w:hAnsi="仿宋" w:eastAsia="仿宋" w:cs="仿宋"/>
                <w:sz w:val="24"/>
                <w:szCs w:val="24"/>
              </w:rPr>
            </w:pPr>
          </w:p>
        </w:tc>
        <w:tc>
          <w:tcPr>
            <w:tcW w:w="2445" w:type="dxa"/>
            <w:vAlign w:val="top"/>
          </w:tcPr>
          <w:p>
            <w:pPr>
              <w:jc w:val="left"/>
              <w:rPr>
                <w:rFonts w:hint="eastAsia" w:ascii="仿宋" w:hAnsi="仿宋" w:eastAsia="仿宋" w:cs="仿宋"/>
                <w:sz w:val="24"/>
                <w:szCs w:val="24"/>
              </w:rPr>
            </w:pPr>
            <w:r>
              <w:rPr>
                <w:rFonts w:hint="eastAsia" w:ascii="仿宋" w:hAnsi="仿宋" w:eastAsia="仿宋" w:cs="仿宋"/>
                <w:sz w:val="24"/>
                <w:szCs w:val="24"/>
              </w:rPr>
              <w:t>发动机功率(kw)</w:t>
            </w:r>
          </w:p>
        </w:tc>
        <w:tc>
          <w:tcPr>
            <w:tcW w:w="3780" w:type="dxa"/>
            <w:vAlign w:val="top"/>
          </w:tcPr>
          <w:p>
            <w:pPr>
              <w:jc w:val="left"/>
              <w:rPr>
                <w:rFonts w:hint="eastAsia" w:ascii="仿宋" w:hAnsi="仿宋" w:eastAsia="仿宋" w:cs="仿宋"/>
                <w:sz w:val="24"/>
                <w:szCs w:val="24"/>
              </w:rPr>
            </w:pPr>
            <w:r>
              <w:rPr>
                <w:rFonts w:hint="eastAsia" w:ascii="仿宋" w:hAnsi="仿宋" w:eastAsia="仿宋" w:cs="仿宋"/>
                <w:sz w:val="24"/>
                <w:szCs w:val="24"/>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425" w:type="dxa"/>
            <w:vMerge w:val="continue"/>
            <w:vAlign w:val="center"/>
          </w:tcPr>
          <w:p>
            <w:pPr>
              <w:spacing w:line="360" w:lineRule="auto"/>
              <w:rPr>
                <w:rFonts w:hint="eastAsia" w:ascii="仿宋" w:hAnsi="仿宋" w:eastAsia="仿宋" w:cs="仿宋"/>
                <w:sz w:val="24"/>
                <w:szCs w:val="24"/>
              </w:rPr>
            </w:pPr>
          </w:p>
        </w:tc>
        <w:tc>
          <w:tcPr>
            <w:tcW w:w="2445" w:type="dxa"/>
            <w:vAlign w:val="top"/>
          </w:tcPr>
          <w:p>
            <w:pPr>
              <w:jc w:val="left"/>
              <w:rPr>
                <w:rFonts w:hint="eastAsia" w:ascii="仿宋" w:hAnsi="仿宋" w:eastAsia="仿宋" w:cs="仿宋"/>
                <w:sz w:val="24"/>
                <w:szCs w:val="24"/>
              </w:rPr>
            </w:pPr>
            <w:r>
              <w:rPr>
                <w:rFonts w:hint="eastAsia" w:ascii="仿宋" w:hAnsi="仿宋" w:eastAsia="仿宋" w:cs="仿宋"/>
                <w:sz w:val="24"/>
                <w:szCs w:val="24"/>
              </w:rPr>
              <w:t>轴距(mm)</w:t>
            </w:r>
          </w:p>
        </w:tc>
        <w:tc>
          <w:tcPr>
            <w:tcW w:w="3780" w:type="dxa"/>
            <w:vAlign w:val="top"/>
          </w:tcPr>
          <w:p>
            <w:pPr>
              <w:jc w:val="left"/>
              <w:rPr>
                <w:rFonts w:hint="eastAsia" w:ascii="仿宋" w:hAnsi="仿宋" w:eastAsia="仿宋" w:cs="仿宋"/>
                <w:sz w:val="24"/>
                <w:szCs w:val="24"/>
              </w:rPr>
            </w:pPr>
            <w:r>
              <w:rPr>
                <w:rFonts w:hint="eastAsia" w:ascii="仿宋" w:hAnsi="仿宋" w:eastAsia="仿宋" w:cs="仿宋"/>
                <w:sz w:val="24"/>
                <w:szCs w:val="24"/>
              </w:rPr>
              <w:t>≥3360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425" w:type="dxa"/>
            <w:vMerge w:val="continue"/>
            <w:vAlign w:val="center"/>
          </w:tcPr>
          <w:p>
            <w:pPr>
              <w:spacing w:line="360" w:lineRule="auto"/>
              <w:rPr>
                <w:rFonts w:hint="eastAsia" w:ascii="仿宋" w:hAnsi="仿宋" w:eastAsia="仿宋" w:cs="仿宋"/>
                <w:sz w:val="24"/>
                <w:szCs w:val="24"/>
              </w:rPr>
            </w:pPr>
          </w:p>
        </w:tc>
        <w:tc>
          <w:tcPr>
            <w:tcW w:w="2445"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外形尺寸(长×宽×高)(mm)</w:t>
            </w:r>
          </w:p>
        </w:tc>
        <w:tc>
          <w:tcPr>
            <w:tcW w:w="3780"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（6900-7000）×1960×2650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vMerge w:val="continue"/>
            <w:vAlign w:val="center"/>
          </w:tcPr>
          <w:p>
            <w:pPr>
              <w:spacing w:line="360" w:lineRule="auto"/>
              <w:rPr>
                <w:rFonts w:hint="eastAsia" w:ascii="仿宋" w:hAnsi="仿宋" w:eastAsia="仿宋" w:cs="仿宋"/>
                <w:sz w:val="24"/>
                <w:szCs w:val="24"/>
              </w:rPr>
            </w:pPr>
          </w:p>
        </w:tc>
        <w:tc>
          <w:tcPr>
            <w:tcW w:w="2445"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总质量(Kg)</w:t>
            </w:r>
          </w:p>
        </w:tc>
        <w:tc>
          <w:tcPr>
            <w:tcW w:w="378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vMerge w:val="continue"/>
            <w:vAlign w:val="center"/>
          </w:tcPr>
          <w:p>
            <w:pPr>
              <w:spacing w:line="360" w:lineRule="auto"/>
              <w:rPr>
                <w:rFonts w:hint="eastAsia" w:ascii="仿宋" w:hAnsi="仿宋" w:eastAsia="仿宋" w:cs="仿宋"/>
                <w:sz w:val="24"/>
                <w:szCs w:val="24"/>
              </w:rPr>
            </w:pPr>
          </w:p>
        </w:tc>
        <w:tc>
          <w:tcPr>
            <w:tcW w:w="2445"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额定载质量(Kg)</w:t>
            </w:r>
          </w:p>
        </w:tc>
        <w:tc>
          <w:tcPr>
            <w:tcW w:w="378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vMerge w:val="continue"/>
            <w:vAlign w:val="center"/>
          </w:tcPr>
          <w:p>
            <w:pPr>
              <w:spacing w:line="360" w:lineRule="auto"/>
              <w:rPr>
                <w:rFonts w:hint="eastAsia" w:ascii="仿宋" w:hAnsi="仿宋" w:eastAsia="仿宋" w:cs="仿宋"/>
                <w:sz w:val="24"/>
                <w:szCs w:val="24"/>
              </w:rPr>
            </w:pPr>
          </w:p>
        </w:tc>
        <w:tc>
          <w:tcPr>
            <w:tcW w:w="2445"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燃料种类</w:t>
            </w:r>
          </w:p>
        </w:tc>
        <w:tc>
          <w:tcPr>
            <w:tcW w:w="378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柴油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vMerge w:val="continue"/>
            <w:vAlign w:val="center"/>
          </w:tcPr>
          <w:p>
            <w:pPr>
              <w:spacing w:line="360" w:lineRule="auto"/>
              <w:rPr>
                <w:rFonts w:hint="eastAsia" w:ascii="仿宋" w:hAnsi="仿宋" w:eastAsia="仿宋" w:cs="仿宋"/>
                <w:sz w:val="24"/>
                <w:szCs w:val="24"/>
              </w:rPr>
            </w:pPr>
          </w:p>
        </w:tc>
        <w:tc>
          <w:tcPr>
            <w:tcW w:w="2445"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底盘依据标准</w:t>
            </w:r>
          </w:p>
        </w:tc>
        <w:tc>
          <w:tcPr>
            <w:tcW w:w="378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GB3847-2005,GB17691-2005国V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vMerge w:val="continue"/>
            <w:vAlign w:val="center"/>
          </w:tcPr>
          <w:p>
            <w:pPr>
              <w:spacing w:line="360" w:lineRule="auto"/>
              <w:rPr>
                <w:rFonts w:hint="eastAsia" w:ascii="仿宋" w:hAnsi="仿宋" w:eastAsia="仿宋" w:cs="仿宋"/>
                <w:sz w:val="24"/>
                <w:szCs w:val="24"/>
              </w:rPr>
            </w:pPr>
          </w:p>
        </w:tc>
        <w:tc>
          <w:tcPr>
            <w:tcW w:w="2445"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外形尺寸(长×宽×高)(mm)</w:t>
            </w:r>
          </w:p>
        </w:tc>
        <w:tc>
          <w:tcPr>
            <w:tcW w:w="378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≥3400×1960×1510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vMerge w:val="continue"/>
            <w:vAlign w:val="center"/>
          </w:tcPr>
          <w:p>
            <w:pPr>
              <w:spacing w:line="360" w:lineRule="auto"/>
              <w:rPr>
                <w:rFonts w:hint="eastAsia" w:ascii="仿宋" w:hAnsi="仿宋" w:eastAsia="仿宋" w:cs="仿宋"/>
                <w:sz w:val="24"/>
                <w:szCs w:val="24"/>
              </w:rPr>
            </w:pPr>
          </w:p>
        </w:tc>
        <w:tc>
          <w:tcPr>
            <w:tcW w:w="2445"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容积(m3)</w:t>
            </w:r>
          </w:p>
        </w:tc>
        <w:tc>
          <w:tcPr>
            <w:tcW w:w="378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vMerge w:val="continue"/>
            <w:vAlign w:val="center"/>
          </w:tcPr>
          <w:p>
            <w:pPr>
              <w:spacing w:line="360" w:lineRule="auto"/>
              <w:rPr>
                <w:rFonts w:hint="eastAsia" w:ascii="仿宋" w:hAnsi="仿宋" w:eastAsia="仿宋" w:cs="仿宋"/>
                <w:sz w:val="24"/>
                <w:szCs w:val="24"/>
              </w:rPr>
            </w:pPr>
          </w:p>
        </w:tc>
        <w:tc>
          <w:tcPr>
            <w:tcW w:w="2445"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重量（t）</w:t>
            </w:r>
          </w:p>
        </w:tc>
        <w:tc>
          <w:tcPr>
            <w:tcW w:w="378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vMerge w:val="continue"/>
            <w:vAlign w:val="center"/>
          </w:tcPr>
          <w:p>
            <w:pPr>
              <w:spacing w:line="360" w:lineRule="auto"/>
              <w:rPr>
                <w:rFonts w:hint="eastAsia" w:ascii="仿宋" w:hAnsi="仿宋" w:eastAsia="仿宋" w:cs="仿宋"/>
                <w:sz w:val="24"/>
                <w:szCs w:val="24"/>
              </w:rPr>
            </w:pPr>
          </w:p>
        </w:tc>
        <w:tc>
          <w:tcPr>
            <w:tcW w:w="2445" w:type="dxa"/>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工作驱动系统和液压要求</w:t>
            </w:r>
          </w:p>
        </w:tc>
        <w:tc>
          <w:tcPr>
            <w:tcW w:w="378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知名品牌PERKINS或优于发动机，液压接头型号标准符合德国DIN 或优于要求。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vMerge w:val="continue"/>
            <w:vAlign w:val="center"/>
          </w:tcPr>
          <w:p>
            <w:pPr>
              <w:spacing w:line="360" w:lineRule="auto"/>
              <w:rPr>
                <w:rFonts w:hint="eastAsia" w:ascii="仿宋" w:hAnsi="仿宋" w:eastAsia="仿宋" w:cs="仿宋"/>
                <w:sz w:val="24"/>
                <w:szCs w:val="24"/>
              </w:rPr>
            </w:pPr>
          </w:p>
        </w:tc>
        <w:tc>
          <w:tcPr>
            <w:tcW w:w="2445" w:type="dxa"/>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撒布盘直径（mm）和升降要求</w:t>
            </w:r>
          </w:p>
        </w:tc>
        <w:tc>
          <w:tcPr>
            <w:tcW w:w="378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≥490，通过气弹簧装置升降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vMerge w:val="continue"/>
            <w:vAlign w:val="center"/>
          </w:tcPr>
          <w:p>
            <w:pPr>
              <w:spacing w:line="360" w:lineRule="auto"/>
              <w:rPr>
                <w:rFonts w:hint="eastAsia" w:ascii="仿宋" w:hAnsi="仿宋" w:eastAsia="仿宋" w:cs="仿宋"/>
                <w:sz w:val="24"/>
                <w:szCs w:val="24"/>
              </w:rPr>
            </w:pPr>
          </w:p>
        </w:tc>
        <w:tc>
          <w:tcPr>
            <w:tcW w:w="2445"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撒布盘材质及控制要求</w:t>
            </w:r>
          </w:p>
        </w:tc>
        <w:tc>
          <w:tcPr>
            <w:tcW w:w="378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撒布盘采用不锈钢材质 ，甩盘自带SCHMIDT或优于闭环撒布监控传感器（光电非接触式），若甩盘不出料，驾驶室内电脑液晶屏自动报警。撒布器可向上折叠，方便料仓剩余融雪剂快速卸下，并配有安全开关，撒布器向上折叠后电脑控制甩盘自动停转。配有后部工作撒布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vMerge w:val="continue"/>
            <w:vAlign w:val="center"/>
          </w:tcPr>
          <w:p>
            <w:pPr>
              <w:spacing w:line="360" w:lineRule="auto"/>
              <w:rPr>
                <w:rFonts w:hint="eastAsia" w:ascii="仿宋" w:hAnsi="仿宋" w:eastAsia="仿宋" w:cs="仿宋"/>
                <w:sz w:val="24"/>
                <w:szCs w:val="24"/>
              </w:rPr>
            </w:pPr>
          </w:p>
        </w:tc>
        <w:tc>
          <w:tcPr>
            <w:tcW w:w="2445" w:type="dxa"/>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融雪剂输送形式</w:t>
            </w:r>
          </w:p>
        </w:tc>
        <w:tc>
          <w:tcPr>
            <w:tcW w:w="378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SCHMIDT或优于“V”输送皮带，且具有免维护皮带轮轴承机构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vMerge w:val="continue"/>
            <w:vAlign w:val="center"/>
          </w:tcPr>
          <w:p>
            <w:pPr>
              <w:spacing w:line="360" w:lineRule="auto"/>
              <w:rPr>
                <w:rFonts w:hint="eastAsia" w:ascii="仿宋" w:hAnsi="仿宋" w:eastAsia="仿宋" w:cs="仿宋"/>
                <w:sz w:val="24"/>
                <w:szCs w:val="24"/>
              </w:rPr>
            </w:pPr>
          </w:p>
        </w:tc>
        <w:tc>
          <w:tcPr>
            <w:tcW w:w="2445" w:type="dxa"/>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撒布宽度 （m）</w:t>
            </w:r>
          </w:p>
        </w:tc>
        <w:tc>
          <w:tcPr>
            <w:tcW w:w="378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2-15m，且撒布宽度可调节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vMerge w:val="continue"/>
            <w:vAlign w:val="center"/>
          </w:tcPr>
          <w:p>
            <w:pPr>
              <w:spacing w:line="360" w:lineRule="auto"/>
              <w:rPr>
                <w:rFonts w:hint="eastAsia" w:ascii="仿宋" w:hAnsi="仿宋" w:eastAsia="仿宋" w:cs="仿宋"/>
                <w:sz w:val="24"/>
                <w:szCs w:val="24"/>
              </w:rPr>
            </w:pPr>
          </w:p>
        </w:tc>
        <w:tc>
          <w:tcPr>
            <w:tcW w:w="2445" w:type="dxa"/>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撒盐量(g/m2)</w:t>
            </w:r>
          </w:p>
        </w:tc>
        <w:tc>
          <w:tcPr>
            <w:tcW w:w="378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0～150可调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vMerge w:val="continue"/>
            <w:vAlign w:val="center"/>
          </w:tcPr>
          <w:p>
            <w:pPr>
              <w:spacing w:line="360" w:lineRule="auto"/>
              <w:rPr>
                <w:rFonts w:hint="eastAsia" w:ascii="仿宋" w:hAnsi="仿宋" w:eastAsia="仿宋" w:cs="仿宋"/>
                <w:sz w:val="24"/>
                <w:szCs w:val="24"/>
              </w:rPr>
            </w:pPr>
          </w:p>
        </w:tc>
        <w:tc>
          <w:tcPr>
            <w:tcW w:w="2445"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撒布机颜色和要求</w:t>
            </w:r>
          </w:p>
        </w:tc>
        <w:tc>
          <w:tcPr>
            <w:tcW w:w="378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标准喷漆桔色（RAL2011），粉末喷涂技术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vMerge w:val="continue"/>
            <w:vAlign w:val="center"/>
          </w:tcPr>
          <w:p>
            <w:pPr>
              <w:spacing w:line="360" w:lineRule="auto"/>
              <w:rPr>
                <w:rFonts w:hint="eastAsia" w:ascii="仿宋" w:hAnsi="仿宋" w:eastAsia="仿宋" w:cs="仿宋"/>
                <w:sz w:val="24"/>
                <w:szCs w:val="24"/>
              </w:rPr>
            </w:pPr>
          </w:p>
        </w:tc>
        <w:tc>
          <w:tcPr>
            <w:tcW w:w="2445"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料仓材质及防腐处理</w:t>
            </w:r>
          </w:p>
        </w:tc>
        <w:tc>
          <w:tcPr>
            <w:tcW w:w="378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采用SCHMIDT或优于撒布机防腐技术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vMerge w:val="continue"/>
            <w:vAlign w:val="center"/>
          </w:tcPr>
          <w:p>
            <w:pPr>
              <w:spacing w:line="360" w:lineRule="auto"/>
              <w:rPr>
                <w:rFonts w:hint="eastAsia" w:ascii="仿宋" w:hAnsi="仿宋" w:eastAsia="仿宋" w:cs="仿宋"/>
                <w:sz w:val="24"/>
                <w:szCs w:val="24"/>
              </w:rPr>
            </w:pPr>
          </w:p>
        </w:tc>
        <w:tc>
          <w:tcPr>
            <w:tcW w:w="2445" w:type="dxa"/>
            <w:vAlign w:val="center"/>
          </w:tcPr>
          <w:p>
            <w:pPr>
              <w:rPr>
                <w:rFonts w:hint="eastAsia" w:ascii="仿宋" w:hAnsi="仿宋" w:eastAsia="仿宋" w:cs="仿宋"/>
                <w:sz w:val="24"/>
                <w:szCs w:val="24"/>
              </w:rPr>
            </w:pPr>
            <w:r>
              <w:rPr>
                <w:rFonts w:hint="eastAsia" w:ascii="仿宋" w:hAnsi="仿宋" w:eastAsia="仿宋" w:cs="仿宋"/>
                <w:sz w:val="24"/>
                <w:szCs w:val="24"/>
              </w:rPr>
              <w:t>撒布控制系统</w:t>
            </w:r>
          </w:p>
        </w:tc>
        <w:tc>
          <w:tcPr>
            <w:tcW w:w="3780" w:type="dxa"/>
            <w:vAlign w:val="center"/>
          </w:tcPr>
          <w:p>
            <w:pPr>
              <w:ind w:firstLine="84" w:firstLineChars="35"/>
              <w:rPr>
                <w:rFonts w:hint="eastAsia" w:ascii="仿宋" w:hAnsi="仿宋" w:eastAsia="仿宋" w:cs="仿宋"/>
                <w:sz w:val="24"/>
                <w:szCs w:val="24"/>
              </w:rPr>
            </w:pPr>
            <w:r>
              <w:rPr>
                <w:rFonts w:hint="eastAsia" w:ascii="仿宋" w:hAnsi="仿宋" w:eastAsia="仿宋" w:cs="仿宋"/>
                <w:sz w:val="24"/>
                <w:szCs w:val="24"/>
              </w:rPr>
              <w:t>驾驶室内配置SCHMIDT“CX”或优于控制系统，全电控电脑液晶屏控制撒布调整，所有控制及监控功能集成在控制屏上，通过全电控液晶屏可随时调整撒布宽度、撒布量、不对称撒布、预湿撒布。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vMerge w:val="continue"/>
            <w:vAlign w:val="center"/>
          </w:tcPr>
          <w:p>
            <w:pPr>
              <w:spacing w:line="360" w:lineRule="auto"/>
              <w:rPr>
                <w:rFonts w:hint="eastAsia" w:ascii="仿宋" w:hAnsi="仿宋" w:eastAsia="仿宋" w:cs="仿宋"/>
                <w:sz w:val="24"/>
                <w:szCs w:val="24"/>
              </w:rPr>
            </w:pPr>
          </w:p>
        </w:tc>
        <w:tc>
          <w:tcPr>
            <w:tcW w:w="2445"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附件</w:t>
            </w:r>
          </w:p>
        </w:tc>
        <w:tc>
          <w:tcPr>
            <w:tcW w:w="378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顶部防雨罩、爬梯、尾灯 支腿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撒布机附加装置</w:t>
            </w:r>
          </w:p>
        </w:tc>
        <w:tc>
          <w:tcPr>
            <w:tcW w:w="2445" w:type="dxa"/>
            <w:vAlign w:val="center"/>
          </w:tcPr>
          <w:p>
            <w:pPr>
              <w:rPr>
                <w:rFonts w:hint="eastAsia" w:ascii="仿宋" w:hAnsi="仿宋" w:eastAsia="仿宋" w:cs="仿宋"/>
                <w:sz w:val="24"/>
                <w:szCs w:val="24"/>
              </w:rPr>
            </w:pPr>
            <w:r>
              <w:rPr>
                <w:rFonts w:hint="eastAsia" w:ascii="仿宋" w:hAnsi="仿宋" w:eastAsia="仿宋" w:cs="仿宋"/>
                <w:sz w:val="24"/>
                <w:szCs w:val="24"/>
              </w:rPr>
              <w:t>安全装置</w:t>
            </w:r>
          </w:p>
        </w:tc>
        <w:tc>
          <w:tcPr>
            <w:tcW w:w="3780" w:type="dxa"/>
            <w:vAlign w:val="center"/>
          </w:tcPr>
          <w:p>
            <w:pPr>
              <w:rPr>
                <w:rFonts w:hint="eastAsia" w:ascii="仿宋" w:hAnsi="仿宋" w:eastAsia="仿宋" w:cs="仿宋"/>
                <w:sz w:val="24"/>
                <w:szCs w:val="24"/>
              </w:rPr>
            </w:pPr>
            <w:r>
              <w:rPr>
                <w:rFonts w:hint="eastAsia" w:ascii="仿宋" w:hAnsi="仿宋" w:eastAsia="仿宋" w:cs="仿宋"/>
                <w:sz w:val="24"/>
                <w:szCs w:val="24"/>
              </w:rPr>
              <w:t>车顶、车尾安装警示灯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vMerge w:val="continue"/>
            <w:vAlign w:val="center"/>
          </w:tcPr>
          <w:p>
            <w:pPr>
              <w:jc w:val="center"/>
              <w:rPr>
                <w:rFonts w:hint="eastAsia" w:ascii="仿宋" w:hAnsi="仿宋" w:eastAsia="仿宋" w:cs="仿宋"/>
                <w:sz w:val="24"/>
                <w:szCs w:val="24"/>
              </w:rPr>
            </w:pPr>
          </w:p>
        </w:tc>
        <w:tc>
          <w:tcPr>
            <w:tcW w:w="2445" w:type="dxa"/>
            <w:vAlign w:val="center"/>
          </w:tcPr>
          <w:p>
            <w:pPr>
              <w:rPr>
                <w:rFonts w:hint="eastAsia" w:ascii="仿宋" w:hAnsi="仿宋" w:eastAsia="仿宋" w:cs="仿宋"/>
                <w:sz w:val="24"/>
                <w:szCs w:val="24"/>
              </w:rPr>
            </w:pPr>
            <w:r>
              <w:rPr>
                <w:rFonts w:hint="eastAsia" w:ascii="仿宋" w:hAnsi="仿宋" w:eastAsia="仿宋" w:cs="仿宋"/>
                <w:sz w:val="24"/>
                <w:szCs w:val="24"/>
              </w:rPr>
              <w:t>照明装置</w:t>
            </w:r>
          </w:p>
        </w:tc>
        <w:tc>
          <w:tcPr>
            <w:tcW w:w="3780" w:type="dxa"/>
            <w:vAlign w:val="center"/>
          </w:tcPr>
          <w:p>
            <w:pPr>
              <w:rPr>
                <w:rFonts w:hint="eastAsia" w:ascii="仿宋" w:hAnsi="仿宋" w:eastAsia="仿宋" w:cs="仿宋"/>
                <w:sz w:val="24"/>
                <w:szCs w:val="24"/>
              </w:rPr>
            </w:pPr>
            <w:r>
              <w:rPr>
                <w:rFonts w:hint="eastAsia" w:ascii="仿宋" w:hAnsi="仿宋" w:eastAsia="仿宋" w:cs="仿宋"/>
                <w:sz w:val="24"/>
                <w:szCs w:val="24"/>
              </w:rPr>
              <w:t>确保夜间作业要求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撒布机质量要求</w:t>
            </w:r>
          </w:p>
        </w:tc>
        <w:tc>
          <w:tcPr>
            <w:tcW w:w="6225" w:type="dxa"/>
            <w:gridSpan w:val="2"/>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液压驱动系统、撒布控制系统、料斗系统、输料系统、撒布和防腐喷涂系统要求均为SCHMIDT或优于标准配置</w:t>
            </w:r>
          </w:p>
        </w:tc>
      </w:tr>
    </w:tbl>
    <w:p>
      <w:pPr>
        <w:keepNext/>
        <w:keepLines/>
        <w:spacing w:before="340" w:after="330" w:line="578" w:lineRule="auto"/>
        <w:outlineLvl w:val="0"/>
        <w:rPr>
          <w:rFonts w:hint="eastAsia" w:ascii="仿宋" w:hAnsi="仿宋" w:eastAsia="仿宋" w:cs="仿宋"/>
          <w:b/>
          <w:bCs/>
          <w:sz w:val="24"/>
          <w:szCs w:val="24"/>
        </w:rPr>
      </w:pPr>
      <w:r>
        <w:rPr>
          <w:rFonts w:hint="eastAsia" w:ascii="仿宋" w:hAnsi="仿宋" w:eastAsia="仿宋" w:cs="仿宋"/>
          <w:b/>
          <w:bCs/>
          <w:sz w:val="24"/>
          <w:szCs w:val="24"/>
        </w:rPr>
        <w:t>主要特点：</w:t>
      </w:r>
    </w:p>
    <w:p>
      <w:pPr>
        <w:rPr>
          <w:rFonts w:hint="eastAsia" w:ascii="仿宋" w:hAnsi="仿宋" w:eastAsia="仿宋" w:cs="仿宋"/>
          <w:sz w:val="24"/>
          <w:szCs w:val="24"/>
        </w:rPr>
      </w:pPr>
      <w:r>
        <w:rPr>
          <w:rFonts w:hint="eastAsia" w:ascii="仿宋" w:hAnsi="仿宋" w:eastAsia="仿宋" w:cs="仿宋"/>
          <w:b/>
          <w:bCs/>
          <w:sz w:val="24"/>
          <w:szCs w:val="24"/>
        </w:rPr>
        <w:t>（一）除雪车：</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1、车辆利用率高：可实现扫雪、推雪、融雪、融冰作业。</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2、模块化安装：各种设备独立性强，安装和拆卸方便快速。</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3、舒适性强：有安全警示标志，装冷暖空调，液压助力转向。</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4、使用要求：具备大面积积雪推除作业，除雪剂自动撒布作业功能。可适用于公路、市政环卫抗冰除雪抢险任务。具备全天候、复杂路况下的多用途机械作业能力。</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5、安全要求：整车纳入国家工信部的《汽车产品公告目录》管理，具有合法公告，免征购置税。</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（二）融雪撒布机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1、应用广：撒布粗盐、细盐、除冰剂、干沙、特种融雪剂等功能。</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2、高强防腐：整机采用无锈钢骨结构。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3、抛盘调节性强：高度可调，抛盘可拆、可翻转、便于不作业时存放。</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4、撒布可调性强：可调节落料装置（溜槽），能保证抛洒方向左偏撒（或右偏撒）和正后方对称抛洒，满足不同的撒布要求。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5、粒料均匀：撒布机上置盐过滤网，规格100mm*100mm 钢制减少大颗粒或杂物进入设备，保证机构安全运行</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6、装卸方便：整机采用可拆卸专用升降支撑系统，便于非作业状态存放。</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7、特制防护罩：料斗上方的防雨罩可保证整机在雨雪天正常工作，防雨罩材料采用优质材料，柔韧性好，经久耐用。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8、稳定性强：输料装置采用连续的齿型传送带输送,不带润滑嘴的免维护皮带轮，传送皮带轮表面经过特殊处理，便于维护轴承，保证输送稳定、效率高。</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9、结构合理：箱体采用V型料仓，结构简单，操作方便，使融雪剂自动落料，出料完全，无残留。</w:t>
      </w:r>
    </w:p>
    <w:p>
      <w:pPr>
        <w:pStyle w:val="2"/>
        <w:ind w:firstLine="0" w:firstLineChars="0"/>
        <w:rPr>
          <w:rFonts w:hint="eastAsia" w:ascii="仿宋" w:hAnsi="仿宋" w:eastAsia="仿宋" w:cs="仿宋"/>
          <w:b/>
          <w:bCs/>
          <w:sz w:val="24"/>
          <w:szCs w:val="24"/>
          <w:lang w:eastAsia="zh-CN"/>
        </w:rPr>
      </w:pPr>
      <w:r>
        <w:rPr>
          <w:rFonts w:hint="eastAsia" w:ascii="仿宋" w:hAnsi="仿宋" w:eastAsia="仿宋" w:cs="仿宋"/>
          <w:b/>
          <w:bCs/>
          <w:sz w:val="24"/>
          <w:szCs w:val="24"/>
        </w:rPr>
        <w:t>2.5  人行道冲洗车技术参数如下</w:t>
      </w:r>
      <w:r>
        <w:rPr>
          <w:rFonts w:hint="eastAsia" w:ascii="仿宋" w:hAnsi="仿宋" w:eastAsia="仿宋" w:cs="仿宋"/>
          <w:b/>
          <w:bCs/>
          <w:sz w:val="24"/>
          <w:szCs w:val="24"/>
          <w:lang w:eastAsia="zh-CN"/>
        </w:rPr>
        <w:t>：</w:t>
      </w:r>
    </w:p>
    <w:p>
      <w:pPr>
        <w:pStyle w:val="2"/>
        <w:ind w:firstLine="0" w:firstLineChars="0"/>
        <w:rPr>
          <w:rFonts w:hint="eastAsia" w:ascii="仿宋" w:hAnsi="仿宋" w:eastAsia="仿宋" w:cs="仿宋"/>
          <w:b/>
          <w:bCs/>
          <w:sz w:val="24"/>
          <w:szCs w:val="24"/>
        </w:rPr>
      </w:pPr>
    </w:p>
    <w:tbl>
      <w:tblPr>
        <w:tblStyle w:val="24"/>
        <w:tblpPr w:leftFromText="180" w:rightFromText="180" w:vertAnchor="page" w:horzAnchor="page" w:tblpX="2122" w:tblpY="5432"/>
        <w:tblW w:w="8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3668"/>
        <w:gridCol w:w="3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795"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序号</w:t>
            </w:r>
          </w:p>
        </w:tc>
        <w:tc>
          <w:tcPr>
            <w:tcW w:w="366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项目</w:t>
            </w:r>
          </w:p>
        </w:tc>
        <w:tc>
          <w:tcPr>
            <w:tcW w:w="381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795"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3668" w:type="dxa"/>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外型尺寸（长×宽×高）（mm）</w:t>
            </w:r>
          </w:p>
        </w:tc>
        <w:tc>
          <w:tcPr>
            <w:tcW w:w="381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≥4370×1570×1885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795"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3668" w:type="dxa"/>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总质量（kg）</w:t>
            </w:r>
          </w:p>
        </w:tc>
        <w:tc>
          <w:tcPr>
            <w:tcW w:w="381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795"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3668" w:type="dxa"/>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整备质量（kg）</w:t>
            </w:r>
          </w:p>
        </w:tc>
        <w:tc>
          <w:tcPr>
            <w:tcW w:w="381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795"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3668" w:type="dxa"/>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额定载质量（kg）</w:t>
            </w:r>
          </w:p>
        </w:tc>
        <w:tc>
          <w:tcPr>
            <w:tcW w:w="381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795"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3668" w:type="dxa"/>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水箱容积（m³)</w:t>
            </w:r>
          </w:p>
        </w:tc>
        <w:tc>
          <w:tcPr>
            <w:tcW w:w="381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795"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3668" w:type="dxa"/>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汽油机</w:t>
            </w:r>
          </w:p>
        </w:tc>
        <w:tc>
          <w:tcPr>
            <w:tcW w:w="381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GX390或优于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795"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7</w:t>
            </w:r>
          </w:p>
        </w:tc>
        <w:tc>
          <w:tcPr>
            <w:tcW w:w="3668" w:type="dxa"/>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水压（MPa）</w:t>
            </w:r>
          </w:p>
        </w:tc>
        <w:tc>
          <w:tcPr>
            <w:tcW w:w="381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795"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3668" w:type="dxa"/>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高压水泵流量L/min</w:t>
            </w:r>
          </w:p>
        </w:tc>
        <w:tc>
          <w:tcPr>
            <w:tcW w:w="381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95"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9</w:t>
            </w:r>
          </w:p>
        </w:tc>
        <w:tc>
          <w:tcPr>
            <w:tcW w:w="3668" w:type="dxa"/>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底盘</w:t>
            </w:r>
          </w:p>
        </w:tc>
        <w:tc>
          <w:tcPr>
            <w:tcW w:w="381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DXK1021TK1JF或优于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795"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3668" w:type="dxa"/>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底盘发动机</w:t>
            </w:r>
          </w:p>
        </w:tc>
        <w:tc>
          <w:tcPr>
            <w:tcW w:w="381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BG10-07或优于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95"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11</w:t>
            </w:r>
          </w:p>
        </w:tc>
        <w:tc>
          <w:tcPr>
            <w:tcW w:w="3668" w:type="dxa"/>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排放标准</w:t>
            </w:r>
          </w:p>
        </w:tc>
        <w:tc>
          <w:tcPr>
            <w:tcW w:w="381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国Ⅴ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795"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12</w:t>
            </w:r>
          </w:p>
        </w:tc>
        <w:tc>
          <w:tcPr>
            <w:tcW w:w="3668" w:type="dxa"/>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驾驶室配置</w:t>
            </w:r>
          </w:p>
        </w:tc>
        <w:tc>
          <w:tcPr>
            <w:tcW w:w="381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配备冷暖空调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795"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13</w:t>
            </w:r>
          </w:p>
        </w:tc>
        <w:tc>
          <w:tcPr>
            <w:tcW w:w="3668" w:type="dxa"/>
            <w:vAlign w:val="top"/>
          </w:tcPr>
          <w:p>
            <w:pPr>
              <w:rPr>
                <w:rFonts w:hint="eastAsia" w:ascii="仿宋" w:hAnsi="仿宋" w:eastAsia="仿宋" w:cs="仿宋"/>
                <w:sz w:val="24"/>
                <w:szCs w:val="24"/>
              </w:rPr>
            </w:pPr>
            <w:r>
              <w:rPr>
                <w:rFonts w:hint="eastAsia" w:ascii="仿宋" w:hAnsi="仿宋" w:eastAsia="仿宋" w:cs="仿宋"/>
                <w:sz w:val="24"/>
                <w:szCs w:val="24"/>
              </w:rPr>
              <w:t>车身喷涂</w:t>
            </w:r>
          </w:p>
        </w:tc>
        <w:tc>
          <w:tcPr>
            <w:tcW w:w="3812" w:type="dxa"/>
            <w:vAlign w:val="top"/>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甲方指定的宣传标语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795"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14</w:t>
            </w:r>
          </w:p>
        </w:tc>
        <w:tc>
          <w:tcPr>
            <w:tcW w:w="3668" w:type="dxa"/>
            <w:vAlign w:val="top"/>
          </w:tcPr>
          <w:p>
            <w:pPr>
              <w:rPr>
                <w:rFonts w:hint="eastAsia" w:ascii="仿宋" w:hAnsi="仿宋" w:eastAsia="仿宋" w:cs="仿宋"/>
                <w:sz w:val="24"/>
                <w:szCs w:val="24"/>
              </w:rPr>
            </w:pPr>
            <w:r>
              <w:rPr>
                <w:rFonts w:hint="eastAsia" w:ascii="仿宋" w:hAnsi="仿宋" w:eastAsia="仿宋" w:cs="仿宋"/>
                <w:sz w:val="24"/>
                <w:szCs w:val="24"/>
              </w:rPr>
              <w:t>警示标志</w:t>
            </w:r>
          </w:p>
        </w:tc>
        <w:tc>
          <w:tcPr>
            <w:tcW w:w="3812" w:type="dxa"/>
            <w:vAlign w:val="top"/>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黄色箭头指示灯</w:t>
            </w:r>
          </w:p>
        </w:tc>
      </w:tr>
    </w:tbl>
    <w:p>
      <w:pPr>
        <w:pStyle w:val="2"/>
        <w:ind w:firstLine="0" w:firstLineChars="0"/>
        <w:rPr>
          <w:rFonts w:hint="eastAsia" w:ascii="仿宋" w:hAnsi="仿宋" w:eastAsia="仿宋" w:cs="仿宋"/>
          <w:b/>
          <w:bCs/>
          <w:sz w:val="24"/>
          <w:szCs w:val="24"/>
        </w:rPr>
      </w:pPr>
    </w:p>
    <w:p>
      <w:pPr>
        <w:pStyle w:val="2"/>
        <w:ind w:firstLine="0" w:firstLineChars="0"/>
        <w:rPr>
          <w:rFonts w:hint="eastAsia" w:ascii="仿宋" w:hAnsi="仿宋" w:eastAsia="仿宋" w:cs="仿宋"/>
          <w:b/>
          <w:bCs/>
          <w:sz w:val="24"/>
          <w:szCs w:val="24"/>
        </w:rPr>
      </w:pPr>
    </w:p>
    <w:p>
      <w:pPr>
        <w:pStyle w:val="2"/>
        <w:ind w:firstLine="0" w:firstLineChars="0"/>
        <w:rPr>
          <w:rFonts w:hint="eastAsia" w:ascii="仿宋" w:hAnsi="仿宋" w:eastAsia="仿宋" w:cs="仿宋"/>
          <w:b/>
          <w:bCs/>
          <w:sz w:val="24"/>
          <w:szCs w:val="24"/>
        </w:rPr>
      </w:pPr>
    </w:p>
    <w:p>
      <w:pPr>
        <w:pStyle w:val="2"/>
        <w:ind w:firstLine="0" w:firstLineChars="0"/>
        <w:rPr>
          <w:rFonts w:hint="eastAsia" w:ascii="仿宋" w:hAnsi="仿宋" w:eastAsia="仿宋" w:cs="仿宋"/>
          <w:b/>
          <w:bCs/>
          <w:sz w:val="24"/>
          <w:szCs w:val="24"/>
        </w:rPr>
      </w:pPr>
    </w:p>
    <w:p>
      <w:pPr>
        <w:pStyle w:val="2"/>
        <w:ind w:firstLine="0" w:firstLineChars="0"/>
        <w:rPr>
          <w:rFonts w:hint="eastAsia" w:ascii="仿宋" w:hAnsi="仿宋" w:eastAsia="仿宋" w:cs="仿宋"/>
          <w:b/>
          <w:bCs/>
          <w:sz w:val="24"/>
          <w:szCs w:val="24"/>
        </w:rPr>
      </w:pPr>
    </w:p>
    <w:p>
      <w:pPr>
        <w:pStyle w:val="2"/>
        <w:ind w:firstLine="0" w:firstLineChars="0"/>
        <w:rPr>
          <w:rFonts w:hint="eastAsia" w:ascii="仿宋" w:hAnsi="仿宋" w:eastAsia="仿宋" w:cs="仿宋"/>
          <w:sz w:val="24"/>
          <w:szCs w:val="24"/>
        </w:rPr>
      </w:pPr>
      <w:r>
        <w:rPr>
          <w:rFonts w:hint="eastAsia" w:ascii="仿宋" w:hAnsi="仿宋" w:eastAsia="仿宋" w:cs="仿宋"/>
          <w:b/>
          <w:bCs/>
          <w:sz w:val="24"/>
          <w:szCs w:val="24"/>
        </w:rPr>
        <w:t>2.6  垃圾清运车技术参数如下：</w:t>
      </w:r>
    </w:p>
    <w:tbl>
      <w:tblPr>
        <w:tblStyle w:val="24"/>
        <w:tblW w:w="79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502"/>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3119" w:type="dxa"/>
            <w:vAlign w:val="center"/>
          </w:tcPr>
          <w:p>
            <w:pPr>
              <w:pStyle w:val="53"/>
              <w:rPr>
                <w:rFonts w:hint="eastAsia" w:ascii="仿宋" w:hAnsi="仿宋" w:eastAsia="仿宋" w:cs="仿宋"/>
                <w:b/>
                <w:bCs/>
                <w:kern w:val="0"/>
                <w:sz w:val="24"/>
                <w:szCs w:val="24"/>
              </w:rPr>
            </w:pPr>
            <w:r>
              <w:rPr>
                <w:rFonts w:hint="eastAsia" w:ascii="仿宋" w:hAnsi="仿宋" w:eastAsia="仿宋" w:cs="仿宋"/>
                <w:b/>
                <w:bCs/>
                <w:kern w:val="0"/>
                <w:sz w:val="24"/>
                <w:szCs w:val="24"/>
              </w:rPr>
              <w:t>项目</w:t>
            </w:r>
          </w:p>
        </w:tc>
        <w:tc>
          <w:tcPr>
            <w:tcW w:w="3502" w:type="dxa"/>
            <w:vAlign w:val="center"/>
          </w:tcPr>
          <w:p>
            <w:pPr>
              <w:pStyle w:val="53"/>
              <w:rPr>
                <w:rFonts w:hint="eastAsia" w:ascii="仿宋" w:hAnsi="仿宋" w:eastAsia="仿宋" w:cs="仿宋"/>
                <w:b/>
                <w:bCs/>
                <w:kern w:val="0"/>
                <w:sz w:val="24"/>
                <w:szCs w:val="24"/>
              </w:rPr>
            </w:pPr>
            <w:r>
              <w:rPr>
                <w:rFonts w:hint="eastAsia" w:ascii="仿宋" w:hAnsi="仿宋" w:eastAsia="仿宋" w:cs="仿宋"/>
                <w:b/>
                <w:bCs/>
                <w:kern w:val="0"/>
                <w:sz w:val="24"/>
                <w:szCs w:val="24"/>
              </w:rPr>
              <w:t>技术参数要求</w:t>
            </w:r>
          </w:p>
        </w:tc>
        <w:tc>
          <w:tcPr>
            <w:tcW w:w="1318" w:type="dxa"/>
            <w:vAlign w:val="center"/>
          </w:tcPr>
          <w:p>
            <w:pPr>
              <w:pStyle w:val="53"/>
              <w:rPr>
                <w:rFonts w:hint="eastAsia" w:ascii="仿宋" w:hAnsi="仿宋" w:eastAsia="仿宋" w:cs="仿宋"/>
                <w:b/>
                <w:bCs/>
                <w:kern w:val="0"/>
                <w:sz w:val="24"/>
                <w:szCs w:val="24"/>
              </w:rPr>
            </w:pPr>
            <w:r>
              <w:rPr>
                <w:rFonts w:hint="eastAsia" w:ascii="仿宋" w:hAnsi="仿宋" w:eastAsia="仿宋" w:cs="仿宋"/>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3119" w:type="dxa"/>
            <w:vAlign w:val="center"/>
          </w:tcPr>
          <w:p>
            <w:pPr>
              <w:pStyle w:val="54"/>
              <w:spacing w:line="4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底盘型号</w:t>
            </w:r>
          </w:p>
        </w:tc>
        <w:tc>
          <w:tcPr>
            <w:tcW w:w="3502" w:type="dxa"/>
            <w:vAlign w:val="top"/>
          </w:tcPr>
          <w:p>
            <w:pPr>
              <w:pStyle w:val="54"/>
              <w:spacing w:line="460" w:lineRule="exact"/>
              <w:jc w:val="left"/>
              <w:rPr>
                <w:rFonts w:hint="eastAsia" w:ascii="仿宋" w:hAnsi="仿宋" w:eastAsia="仿宋" w:cs="仿宋"/>
                <w:sz w:val="24"/>
                <w:szCs w:val="24"/>
              </w:rPr>
            </w:pPr>
            <w:r>
              <w:rPr>
                <w:rFonts w:hint="eastAsia" w:ascii="仿宋" w:hAnsi="仿宋" w:eastAsia="仿宋" w:cs="仿宋"/>
                <w:sz w:val="24"/>
                <w:szCs w:val="24"/>
              </w:rPr>
              <w:t>DFL1160BX1V（</w:t>
            </w:r>
            <w:r>
              <w:rPr>
                <w:rFonts w:hint="eastAsia" w:ascii="仿宋" w:hAnsi="仿宋" w:eastAsia="仿宋" w:cs="仿宋"/>
                <w:kern w:val="0"/>
                <w:sz w:val="24"/>
                <w:szCs w:val="24"/>
              </w:rPr>
              <w:t>或优于其性能</w:t>
            </w:r>
            <w:r>
              <w:rPr>
                <w:rFonts w:hint="eastAsia" w:ascii="仿宋" w:hAnsi="仿宋" w:eastAsia="仿宋" w:cs="仿宋"/>
                <w:sz w:val="24"/>
                <w:szCs w:val="24"/>
              </w:rPr>
              <w:t>）</w:t>
            </w:r>
          </w:p>
        </w:tc>
        <w:tc>
          <w:tcPr>
            <w:tcW w:w="1318" w:type="dxa"/>
            <w:vAlign w:val="top"/>
          </w:tcPr>
          <w:p>
            <w:pPr>
              <w:pStyle w:val="54"/>
              <w:spacing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3119" w:type="dxa"/>
            <w:vAlign w:val="center"/>
          </w:tcPr>
          <w:p>
            <w:pPr>
              <w:widowControl/>
              <w:spacing w:line="460" w:lineRule="exact"/>
              <w:jc w:val="left"/>
              <w:rPr>
                <w:rFonts w:hint="eastAsia" w:ascii="仿宋" w:hAnsi="仿宋" w:eastAsia="仿宋" w:cs="仿宋"/>
                <w:sz w:val="24"/>
                <w:szCs w:val="24"/>
              </w:rPr>
            </w:pPr>
            <w:r>
              <w:rPr>
                <w:rFonts w:hint="eastAsia" w:ascii="仿宋" w:hAnsi="仿宋" w:eastAsia="仿宋" w:cs="仿宋"/>
                <w:sz w:val="24"/>
                <w:szCs w:val="24"/>
              </w:rPr>
              <w:t>尾气排放标准</w:t>
            </w:r>
          </w:p>
        </w:tc>
        <w:tc>
          <w:tcPr>
            <w:tcW w:w="3502" w:type="dxa"/>
            <w:vAlign w:val="top"/>
          </w:tcPr>
          <w:p>
            <w:pPr>
              <w:widowControl/>
              <w:spacing w:line="460" w:lineRule="exact"/>
              <w:jc w:val="left"/>
              <w:rPr>
                <w:rFonts w:hint="eastAsia" w:ascii="仿宋" w:hAnsi="仿宋" w:eastAsia="仿宋" w:cs="仿宋"/>
                <w:sz w:val="24"/>
                <w:szCs w:val="24"/>
              </w:rPr>
            </w:pPr>
            <w:r>
              <w:rPr>
                <w:rFonts w:hint="eastAsia" w:ascii="仿宋" w:hAnsi="仿宋" w:eastAsia="仿宋" w:cs="仿宋"/>
                <w:sz w:val="24"/>
                <w:szCs w:val="24"/>
              </w:rPr>
              <w:t>国Ⅴ</w:t>
            </w:r>
          </w:p>
        </w:tc>
        <w:tc>
          <w:tcPr>
            <w:tcW w:w="1318" w:type="dxa"/>
            <w:vAlign w:val="top"/>
          </w:tcPr>
          <w:p>
            <w:pPr>
              <w:widowControl/>
              <w:spacing w:line="4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3119" w:type="dxa"/>
            <w:vAlign w:val="center"/>
          </w:tcPr>
          <w:p>
            <w:pPr>
              <w:pStyle w:val="54"/>
              <w:spacing w:line="4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底盘发动机型号</w:t>
            </w:r>
          </w:p>
        </w:tc>
        <w:tc>
          <w:tcPr>
            <w:tcW w:w="3502" w:type="dxa"/>
            <w:vAlign w:val="top"/>
          </w:tcPr>
          <w:p>
            <w:pPr>
              <w:pStyle w:val="54"/>
              <w:spacing w:line="4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ISB180 50</w:t>
            </w:r>
            <w:r>
              <w:rPr>
                <w:rFonts w:hint="eastAsia" w:ascii="仿宋" w:hAnsi="仿宋" w:eastAsia="仿宋" w:cs="仿宋"/>
                <w:sz w:val="24"/>
                <w:szCs w:val="24"/>
              </w:rPr>
              <w:t>（</w:t>
            </w:r>
            <w:r>
              <w:rPr>
                <w:rFonts w:hint="eastAsia" w:ascii="仿宋" w:hAnsi="仿宋" w:eastAsia="仿宋" w:cs="仿宋"/>
                <w:kern w:val="0"/>
                <w:sz w:val="24"/>
                <w:szCs w:val="24"/>
              </w:rPr>
              <w:t>或优于其性能</w:t>
            </w:r>
            <w:r>
              <w:rPr>
                <w:rFonts w:hint="eastAsia" w:ascii="仿宋" w:hAnsi="仿宋" w:eastAsia="仿宋" w:cs="仿宋"/>
                <w:sz w:val="24"/>
                <w:szCs w:val="24"/>
              </w:rPr>
              <w:t>）</w:t>
            </w:r>
          </w:p>
        </w:tc>
        <w:tc>
          <w:tcPr>
            <w:tcW w:w="1318" w:type="dxa"/>
            <w:vAlign w:val="center"/>
          </w:tcPr>
          <w:p>
            <w:pPr>
              <w:pStyle w:val="54"/>
              <w:spacing w:line="46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3119" w:type="dxa"/>
            <w:vAlign w:val="center"/>
          </w:tcPr>
          <w:p>
            <w:pPr>
              <w:pStyle w:val="54"/>
              <w:spacing w:line="4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底盘发动机功率</w:t>
            </w:r>
          </w:p>
        </w:tc>
        <w:tc>
          <w:tcPr>
            <w:tcW w:w="3502" w:type="dxa"/>
            <w:vAlign w:val="top"/>
          </w:tcPr>
          <w:p>
            <w:pPr>
              <w:pStyle w:val="54"/>
              <w:spacing w:line="4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≥132kW</w:t>
            </w:r>
          </w:p>
        </w:tc>
        <w:tc>
          <w:tcPr>
            <w:tcW w:w="1318" w:type="dxa"/>
            <w:vAlign w:val="center"/>
          </w:tcPr>
          <w:p>
            <w:pPr>
              <w:pStyle w:val="54"/>
              <w:spacing w:line="46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3119" w:type="dxa"/>
            <w:vAlign w:val="center"/>
          </w:tcPr>
          <w:p>
            <w:pPr>
              <w:pStyle w:val="54"/>
              <w:spacing w:line="4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轴距</w:t>
            </w:r>
          </w:p>
        </w:tc>
        <w:tc>
          <w:tcPr>
            <w:tcW w:w="3502" w:type="dxa"/>
            <w:vAlign w:val="top"/>
          </w:tcPr>
          <w:p>
            <w:pPr>
              <w:pStyle w:val="54"/>
              <w:spacing w:line="4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≥4500mm</w:t>
            </w:r>
          </w:p>
        </w:tc>
        <w:tc>
          <w:tcPr>
            <w:tcW w:w="1318" w:type="dxa"/>
            <w:vAlign w:val="center"/>
          </w:tcPr>
          <w:p>
            <w:pPr>
              <w:pStyle w:val="54"/>
              <w:spacing w:line="46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3119" w:type="dxa"/>
            <w:vAlign w:val="center"/>
          </w:tcPr>
          <w:p>
            <w:pPr>
              <w:pStyle w:val="54"/>
              <w:spacing w:line="4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最高车速</w:t>
            </w:r>
          </w:p>
        </w:tc>
        <w:tc>
          <w:tcPr>
            <w:tcW w:w="3502" w:type="dxa"/>
            <w:vAlign w:val="top"/>
          </w:tcPr>
          <w:p>
            <w:pPr>
              <w:pStyle w:val="54"/>
              <w:spacing w:line="4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≥90Km/h</w:t>
            </w:r>
          </w:p>
        </w:tc>
        <w:tc>
          <w:tcPr>
            <w:tcW w:w="1318" w:type="dxa"/>
            <w:vAlign w:val="center"/>
          </w:tcPr>
          <w:p>
            <w:pPr>
              <w:pStyle w:val="54"/>
              <w:spacing w:line="46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3119" w:type="dxa"/>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整车外形尺寸（长×宽×高）</w:t>
            </w:r>
          </w:p>
        </w:tc>
        <w:tc>
          <w:tcPr>
            <w:tcW w:w="3502" w:type="dxa"/>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≥6800×2400×3000mm</w:t>
            </w:r>
          </w:p>
        </w:tc>
        <w:tc>
          <w:tcPr>
            <w:tcW w:w="1318" w:type="dxa"/>
            <w:vAlign w:val="center"/>
          </w:tcPr>
          <w:p>
            <w:pPr>
              <w:widowControl/>
              <w:jc w:val="left"/>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3119" w:type="dxa"/>
            <w:vAlign w:val="center"/>
          </w:tcPr>
          <w:p>
            <w:pPr>
              <w:pStyle w:val="54"/>
              <w:spacing w:line="4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垃圾厢体外形尺寸</w:t>
            </w:r>
          </w:p>
        </w:tc>
        <w:tc>
          <w:tcPr>
            <w:tcW w:w="3502" w:type="dxa"/>
            <w:vAlign w:val="top"/>
          </w:tcPr>
          <w:p>
            <w:pPr>
              <w:pStyle w:val="54"/>
              <w:spacing w:line="4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≥4200×2100×800 mm</w:t>
            </w:r>
          </w:p>
        </w:tc>
        <w:tc>
          <w:tcPr>
            <w:tcW w:w="1318" w:type="dxa"/>
            <w:vAlign w:val="top"/>
          </w:tcPr>
          <w:p>
            <w:pPr>
              <w:pStyle w:val="54"/>
              <w:spacing w:line="46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3119" w:type="dxa"/>
            <w:vAlign w:val="center"/>
          </w:tcPr>
          <w:p>
            <w:pPr>
              <w:pStyle w:val="54"/>
              <w:spacing w:line="4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最大总质量</w:t>
            </w:r>
          </w:p>
        </w:tc>
        <w:tc>
          <w:tcPr>
            <w:tcW w:w="3502" w:type="dxa"/>
            <w:vAlign w:val="top"/>
          </w:tcPr>
          <w:p>
            <w:pPr>
              <w:pStyle w:val="54"/>
              <w:spacing w:line="4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≥15800kg</w:t>
            </w:r>
          </w:p>
        </w:tc>
        <w:tc>
          <w:tcPr>
            <w:tcW w:w="1318" w:type="dxa"/>
            <w:vAlign w:val="top"/>
          </w:tcPr>
          <w:p>
            <w:pPr>
              <w:pStyle w:val="54"/>
              <w:spacing w:line="46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3119" w:type="dxa"/>
            <w:vAlign w:val="center"/>
          </w:tcPr>
          <w:p>
            <w:pPr>
              <w:pStyle w:val="54"/>
              <w:spacing w:line="4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整备质量</w:t>
            </w:r>
          </w:p>
        </w:tc>
        <w:tc>
          <w:tcPr>
            <w:tcW w:w="3502" w:type="dxa"/>
            <w:vAlign w:val="top"/>
          </w:tcPr>
          <w:p>
            <w:pPr>
              <w:pStyle w:val="54"/>
              <w:spacing w:line="4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≥7500kg</w:t>
            </w:r>
          </w:p>
        </w:tc>
        <w:tc>
          <w:tcPr>
            <w:tcW w:w="1318" w:type="dxa"/>
            <w:vAlign w:val="top"/>
          </w:tcPr>
          <w:p>
            <w:pPr>
              <w:pStyle w:val="54"/>
              <w:spacing w:line="46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3119" w:type="dxa"/>
            <w:vAlign w:val="center"/>
          </w:tcPr>
          <w:p>
            <w:pPr>
              <w:pStyle w:val="54"/>
              <w:spacing w:line="4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额定载质量</w:t>
            </w:r>
          </w:p>
        </w:tc>
        <w:tc>
          <w:tcPr>
            <w:tcW w:w="3502" w:type="dxa"/>
            <w:vAlign w:val="top"/>
          </w:tcPr>
          <w:p>
            <w:pPr>
              <w:pStyle w:val="54"/>
              <w:spacing w:line="4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≥8000 kg</w:t>
            </w:r>
          </w:p>
        </w:tc>
        <w:tc>
          <w:tcPr>
            <w:tcW w:w="1318" w:type="dxa"/>
            <w:vAlign w:val="top"/>
          </w:tcPr>
          <w:p>
            <w:pPr>
              <w:pStyle w:val="54"/>
              <w:spacing w:line="46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3119" w:type="dxa"/>
            <w:vAlign w:val="top"/>
          </w:tcPr>
          <w:p>
            <w:pPr>
              <w:rPr>
                <w:rFonts w:hint="eastAsia" w:ascii="仿宋" w:hAnsi="仿宋" w:eastAsia="仿宋" w:cs="仿宋"/>
                <w:sz w:val="24"/>
                <w:szCs w:val="24"/>
              </w:rPr>
            </w:pPr>
            <w:r>
              <w:rPr>
                <w:rFonts w:hint="eastAsia" w:ascii="仿宋" w:hAnsi="仿宋" w:eastAsia="仿宋" w:cs="仿宋"/>
                <w:sz w:val="24"/>
                <w:szCs w:val="24"/>
              </w:rPr>
              <w:t>车身喷涂</w:t>
            </w:r>
          </w:p>
        </w:tc>
        <w:tc>
          <w:tcPr>
            <w:tcW w:w="3502" w:type="dxa"/>
            <w:vAlign w:val="top"/>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甲方指定的宣传标语</w:t>
            </w:r>
          </w:p>
        </w:tc>
        <w:tc>
          <w:tcPr>
            <w:tcW w:w="1318" w:type="dxa"/>
            <w:vAlign w:val="top"/>
          </w:tcPr>
          <w:p>
            <w:pPr>
              <w:pStyle w:val="54"/>
              <w:spacing w:line="460" w:lineRule="exact"/>
              <w:jc w:val="center"/>
              <w:rPr>
                <w:rFonts w:hint="eastAsia" w:ascii="仿宋" w:hAnsi="仿宋" w:eastAsia="仿宋" w:cs="仿宋"/>
                <w:kern w:val="0"/>
                <w:sz w:val="24"/>
                <w:szCs w:val="24"/>
              </w:rPr>
            </w:pPr>
          </w:p>
        </w:tc>
      </w:tr>
    </w:tbl>
    <w:p>
      <w:pPr>
        <w:pStyle w:val="8"/>
        <w:ind w:firstLine="0"/>
        <w:rPr>
          <w:rFonts w:hint="eastAsia" w:ascii="仿宋" w:hAnsi="仿宋" w:eastAsia="仿宋" w:cs="仿宋"/>
          <w:b/>
          <w:bCs/>
          <w:sz w:val="24"/>
          <w:szCs w:val="24"/>
        </w:rPr>
      </w:pPr>
    </w:p>
    <w:p>
      <w:pPr>
        <w:pStyle w:val="8"/>
        <w:ind w:firstLine="0"/>
        <w:rPr>
          <w:rFonts w:hint="eastAsia" w:ascii="仿宋" w:hAnsi="仿宋" w:eastAsia="仿宋" w:cs="仿宋"/>
          <w:b/>
          <w:bCs/>
          <w:sz w:val="24"/>
          <w:szCs w:val="24"/>
        </w:rPr>
      </w:pPr>
      <w:r>
        <w:rPr>
          <w:rFonts w:hint="eastAsia" w:ascii="仿宋" w:hAnsi="仿宋" w:eastAsia="仿宋" w:cs="仿宋"/>
          <w:b/>
          <w:bCs/>
          <w:sz w:val="24"/>
          <w:szCs w:val="24"/>
        </w:rPr>
        <w:t>产品主要性能要求:</w:t>
      </w:r>
    </w:p>
    <w:p>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1、自卸方式为后卸式。</w:t>
      </w:r>
    </w:p>
    <w:p>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2、装配侧边翼展盖，防止垃圾二次污染。</w:t>
      </w:r>
    </w:p>
    <w:p>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3、安装具有卫星定位功能的行驶记录仪。</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2.7雾炮车技术参数如下：</w:t>
      </w:r>
    </w:p>
    <w:p>
      <w:pPr>
        <w:spacing w:line="360" w:lineRule="auto"/>
        <w:rPr>
          <w:rFonts w:hint="eastAsia" w:ascii="仿宋" w:hAnsi="仿宋" w:eastAsia="仿宋" w:cs="仿宋"/>
          <w:b/>
          <w:bCs/>
          <w:sz w:val="24"/>
          <w:szCs w:val="24"/>
        </w:rPr>
      </w:pPr>
    </w:p>
    <w:tbl>
      <w:tblPr>
        <w:tblStyle w:val="2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595"/>
        <w:gridCol w:w="4753"/>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5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项目</w:t>
            </w:r>
          </w:p>
        </w:tc>
        <w:tc>
          <w:tcPr>
            <w:tcW w:w="47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技术参数要求</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25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底盘</w:t>
            </w:r>
          </w:p>
        </w:tc>
        <w:tc>
          <w:tcPr>
            <w:tcW w:w="475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DFH1180BX1V或优于</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25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底盘发动机型号</w:t>
            </w:r>
          </w:p>
        </w:tc>
        <w:tc>
          <w:tcPr>
            <w:tcW w:w="475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ISD 210 50或优于</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25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额定功率</w:t>
            </w:r>
          </w:p>
        </w:tc>
        <w:tc>
          <w:tcPr>
            <w:tcW w:w="475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≥155kW</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25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底盘发动机排放标准</w:t>
            </w:r>
          </w:p>
        </w:tc>
        <w:tc>
          <w:tcPr>
            <w:tcW w:w="475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国Ⅴ</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25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外形尺寸</w:t>
            </w:r>
          </w:p>
        </w:tc>
        <w:tc>
          <w:tcPr>
            <w:tcW w:w="475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≤10500×2500×3600mm</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25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额定载质量</w:t>
            </w:r>
          </w:p>
        </w:tc>
        <w:tc>
          <w:tcPr>
            <w:tcW w:w="475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≥8000kg</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25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最大总质量</w:t>
            </w:r>
          </w:p>
        </w:tc>
        <w:tc>
          <w:tcPr>
            <w:tcW w:w="475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≤18000kg</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25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箱体容积</w:t>
            </w:r>
          </w:p>
        </w:tc>
        <w:tc>
          <w:tcPr>
            <w:tcW w:w="475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≥8 m³</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25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最大喷雾距离</w:t>
            </w:r>
          </w:p>
        </w:tc>
        <w:tc>
          <w:tcPr>
            <w:tcW w:w="475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≥60m </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25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雾炮工作角度</w:t>
            </w:r>
          </w:p>
        </w:tc>
        <w:tc>
          <w:tcPr>
            <w:tcW w:w="475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水平：≥±85°运动，竖直：-20°— 60°</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25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喷雾流量</w:t>
            </w:r>
          </w:p>
        </w:tc>
        <w:tc>
          <w:tcPr>
            <w:tcW w:w="475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80-180L/min</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60"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低压水路系统</w:t>
            </w:r>
          </w:p>
        </w:tc>
        <w:tc>
          <w:tcPr>
            <w:tcW w:w="15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前冲宽度</w:t>
            </w:r>
          </w:p>
        </w:tc>
        <w:tc>
          <w:tcPr>
            <w:tcW w:w="4753"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≥4m</w:t>
            </w:r>
          </w:p>
        </w:tc>
        <w:tc>
          <w:tcPr>
            <w:tcW w:w="1214" w:type="dxa"/>
            <w:tcBorders>
              <w:top w:val="single" w:color="auto" w:sz="4" w:space="0"/>
              <w:left w:val="single" w:color="auto" w:sz="4" w:space="0"/>
              <w:bottom w:val="single" w:color="auto" w:sz="4" w:space="0"/>
              <w:right w:val="single" w:color="auto" w:sz="4" w:space="0"/>
            </w:tcBorders>
            <w:vAlign w:val="top"/>
          </w:tcPr>
          <w:p>
            <w:pPr>
              <w:ind w:left="172" w:leftChars="-137" w:hanging="460" w:hangingChars="192"/>
              <w:jc w:val="center"/>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p>
        </w:tc>
        <w:tc>
          <w:tcPr>
            <w:tcW w:w="15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对冲宽度</w:t>
            </w:r>
          </w:p>
        </w:tc>
        <w:tc>
          <w:tcPr>
            <w:tcW w:w="4753"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≥24m</w:t>
            </w:r>
          </w:p>
        </w:tc>
        <w:tc>
          <w:tcPr>
            <w:tcW w:w="1214"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p>
        </w:tc>
        <w:tc>
          <w:tcPr>
            <w:tcW w:w="15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后洒宽度</w:t>
            </w:r>
          </w:p>
        </w:tc>
        <w:tc>
          <w:tcPr>
            <w:tcW w:w="4753"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≥14m</w:t>
            </w:r>
          </w:p>
        </w:tc>
        <w:tc>
          <w:tcPr>
            <w:tcW w:w="1214"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p>
        </w:tc>
        <w:tc>
          <w:tcPr>
            <w:tcW w:w="15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水炮射程</w:t>
            </w:r>
          </w:p>
        </w:tc>
        <w:tc>
          <w:tcPr>
            <w:tcW w:w="4753"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≥36m</w:t>
            </w:r>
          </w:p>
        </w:tc>
        <w:tc>
          <w:tcPr>
            <w:tcW w:w="12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2555" w:type="dxa"/>
            <w:gridSpan w:val="2"/>
            <w:tcBorders>
              <w:top w:val="single" w:color="auto" w:sz="4" w:space="0"/>
              <w:left w:val="single" w:color="auto" w:sz="4" w:space="0"/>
              <w:bottom w:val="single" w:color="auto" w:sz="4" w:space="0"/>
              <w:right w:val="single" w:color="auto" w:sz="4" w:space="0"/>
            </w:tcBorders>
            <w:vAlign w:val="top"/>
          </w:tcPr>
          <w:p>
            <w:pPr>
              <w:rPr>
                <w:rFonts w:hint="eastAsia" w:ascii="仿宋" w:hAnsi="仿宋" w:eastAsia="仿宋" w:cs="仿宋"/>
                <w:sz w:val="24"/>
                <w:szCs w:val="24"/>
              </w:rPr>
            </w:pPr>
            <w:r>
              <w:rPr>
                <w:rFonts w:hint="eastAsia" w:ascii="仿宋" w:hAnsi="仿宋" w:eastAsia="仿宋" w:cs="仿宋"/>
                <w:sz w:val="24"/>
                <w:szCs w:val="24"/>
              </w:rPr>
              <w:t>车身喷涂</w:t>
            </w:r>
          </w:p>
        </w:tc>
        <w:tc>
          <w:tcPr>
            <w:tcW w:w="4753"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甲方指定的宣传标语</w:t>
            </w:r>
          </w:p>
        </w:tc>
        <w:tc>
          <w:tcPr>
            <w:tcW w:w="12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2555" w:type="dxa"/>
            <w:gridSpan w:val="2"/>
            <w:tcBorders>
              <w:top w:val="single" w:color="auto" w:sz="4" w:space="0"/>
              <w:left w:val="single" w:color="auto" w:sz="4" w:space="0"/>
              <w:bottom w:val="single" w:color="auto" w:sz="4" w:space="0"/>
              <w:right w:val="single" w:color="auto" w:sz="4" w:space="0"/>
            </w:tcBorders>
            <w:vAlign w:val="top"/>
          </w:tcPr>
          <w:p>
            <w:pPr>
              <w:rPr>
                <w:rFonts w:hint="eastAsia" w:ascii="仿宋" w:hAnsi="仿宋" w:eastAsia="仿宋" w:cs="仿宋"/>
                <w:sz w:val="24"/>
                <w:szCs w:val="24"/>
              </w:rPr>
            </w:pPr>
            <w:r>
              <w:rPr>
                <w:rFonts w:hint="eastAsia" w:ascii="仿宋" w:hAnsi="仿宋" w:eastAsia="仿宋" w:cs="仿宋"/>
                <w:sz w:val="24"/>
                <w:szCs w:val="24"/>
              </w:rPr>
              <w:t>警示标志</w:t>
            </w:r>
          </w:p>
        </w:tc>
        <w:tc>
          <w:tcPr>
            <w:tcW w:w="4753"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黄色箭头指示灯</w:t>
            </w:r>
          </w:p>
        </w:tc>
        <w:tc>
          <w:tcPr>
            <w:tcW w:w="12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kern w:val="0"/>
                <w:sz w:val="24"/>
                <w:szCs w:val="24"/>
              </w:rPr>
            </w:pPr>
          </w:p>
        </w:tc>
      </w:tr>
    </w:tbl>
    <w:p>
      <w:pPr>
        <w:spacing w:line="360" w:lineRule="auto"/>
        <w:ind w:firstLine="482" w:firstLineChars="200"/>
        <w:contextualSpacing/>
        <w:rPr>
          <w:rFonts w:hint="eastAsia"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楷体" w:hAnsi="楷体" w:eastAsia="楷体" w:cs="宋体"/>
          <w:color w:val="000000"/>
          <w:kern w:val="0"/>
          <w:sz w:val="28"/>
          <w:szCs w:val="28"/>
          <w:lang w:val="zh-CN"/>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rPr>
        <w:t>三、采购标的执行标准</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cs="宋体" w:asciiTheme="minorEastAsia" w:hAnsiTheme="minorEastAsia"/>
          <w:kern w:val="0"/>
          <w:sz w:val="24"/>
          <w:szCs w:val="24"/>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并须在投标文件中提供：</w:t>
      </w:r>
    </w:p>
    <w:p>
      <w:pPr>
        <w:wordWrap w:val="0"/>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“所投产品符合国家强制性要求承诺函”并加盖投标人公章。</w:t>
      </w:r>
    </w:p>
    <w:p>
      <w:pPr>
        <w:spacing w:line="360" w:lineRule="auto"/>
        <w:ind w:firstLine="482" w:firstLineChars="200"/>
        <w:contextualSpacing/>
        <w:rPr>
          <w:rFonts w:cs="宋体" w:asciiTheme="minorEastAsia" w:hAnsiTheme="minorEastAsia"/>
          <w:b/>
          <w:color w:val="000000"/>
          <w:kern w:val="0"/>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rPr>
        <w:t>四、服务标准、期限、效率等要求</w:t>
      </w:r>
    </w:p>
    <w:p>
      <w:pPr>
        <w:spacing w:line="360" w:lineRule="auto"/>
        <w:ind w:firstLine="480" w:firstLineChars="200"/>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1、按国家有关产品“三包”规定执行“三包”，质保期除特别注明外，不得少于1年。质保期满后，终身维护。</w:t>
      </w:r>
    </w:p>
    <w:p>
      <w:pPr>
        <w:spacing w:line="360" w:lineRule="auto"/>
        <w:ind w:firstLine="480" w:firstLineChars="200"/>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2、质保期内免费维修、免费更换零部件，服务内容如下：</w:t>
      </w:r>
    </w:p>
    <w:p>
      <w:pPr>
        <w:spacing w:line="360" w:lineRule="auto"/>
        <w:ind w:firstLine="480" w:firstLineChars="200"/>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（1）免费送货上门，免费安装调试。</w:t>
      </w:r>
    </w:p>
    <w:p>
      <w:pPr>
        <w:spacing w:line="360" w:lineRule="auto"/>
        <w:ind w:firstLine="480" w:firstLineChars="200"/>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（2）质保期≥1年（自验收合格之日起计算）。</w:t>
      </w:r>
    </w:p>
    <w:p>
      <w:pPr>
        <w:spacing w:line="360" w:lineRule="auto"/>
        <w:ind w:firstLine="480" w:firstLineChars="200"/>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3、售后服务要求：按厂家承诺进行。免费送货上门、安装、调试，免费培训使用人员和维护人员。</w:t>
      </w:r>
    </w:p>
    <w:p>
      <w:pPr>
        <w:spacing w:line="360" w:lineRule="auto"/>
        <w:ind w:firstLine="480" w:firstLineChars="200"/>
        <w:contextualSpacing/>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rPr>
        <w:t>4、严格按照用户指定的位置进行安装。</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rPr>
        <w:t>五、采购标的的其他技术、服务等要求</w:t>
      </w:r>
    </w:p>
    <w:p>
      <w:pPr>
        <w:widowControl/>
        <w:shd w:val="clear" w:color="auto" w:fill="FFFFFF"/>
        <w:spacing w:line="360" w:lineRule="auto"/>
        <w:ind w:firstLine="480" w:firstLineChars="200"/>
        <w:contextualSpacing/>
        <w:jc w:val="left"/>
        <w:rPr>
          <w:rFonts w:hint="eastAsia" w:cs="微软雅黑" w:asciiTheme="minorEastAsia" w:hAnsiTheme="minorEastAsia"/>
          <w:b w:val="0"/>
          <w:bCs/>
          <w:color w:val="auto"/>
          <w:sz w:val="24"/>
          <w:szCs w:val="24"/>
        </w:rPr>
      </w:pPr>
      <w:r>
        <w:rPr>
          <w:rFonts w:hint="eastAsia" w:cs="微软雅黑" w:asciiTheme="minorEastAsia" w:hAnsiTheme="minorEastAsia"/>
          <w:b w:val="0"/>
          <w:bCs/>
          <w:color w:val="auto"/>
          <w:sz w:val="24"/>
          <w:szCs w:val="24"/>
        </w:rPr>
        <w:t>1、功能要求中带▲的部分用文字或图片或技术参数的形式进行承诺性说明。</w:t>
      </w:r>
    </w:p>
    <w:p>
      <w:pPr>
        <w:widowControl/>
        <w:shd w:val="clear" w:color="auto" w:fill="FFFFFF"/>
        <w:spacing w:line="360" w:lineRule="auto"/>
        <w:ind w:firstLine="480" w:firstLineChars="200"/>
        <w:contextualSpacing/>
        <w:jc w:val="left"/>
        <w:rPr>
          <w:rFonts w:hint="eastAsia" w:cs="微软雅黑" w:asciiTheme="minorEastAsia" w:hAnsiTheme="minorEastAsia"/>
          <w:b w:val="0"/>
          <w:bCs/>
          <w:color w:val="auto"/>
          <w:sz w:val="24"/>
          <w:szCs w:val="24"/>
        </w:rPr>
      </w:pPr>
      <w:r>
        <w:rPr>
          <w:rFonts w:hint="eastAsia" w:cs="微软雅黑" w:asciiTheme="minorEastAsia" w:hAnsiTheme="minorEastAsia"/>
          <w:b w:val="0"/>
          <w:bCs/>
          <w:color w:val="auto"/>
          <w:sz w:val="24"/>
          <w:szCs w:val="24"/>
        </w:rPr>
        <w:t>2、投标人所投车辆（25T洒水车和16T洗扫车）须为国家《车辆生产企业及产品公告》内的产品（提供工信部官网公告截图并加盖投标人公章）。</w:t>
      </w:r>
    </w:p>
    <w:p>
      <w:pPr>
        <w:widowControl/>
        <w:shd w:val="clear" w:color="auto" w:fill="FFFFFF"/>
        <w:spacing w:line="360" w:lineRule="auto"/>
        <w:ind w:firstLine="482" w:firstLineChars="200"/>
        <w:contextualSpacing/>
        <w:jc w:val="left"/>
        <w:rPr>
          <w:rFonts w:hint="eastAsia" w:ascii="楷体" w:hAnsi="楷体" w:cs="宋体" w:eastAsiaTheme="minorEastAsia"/>
          <w:color w:val="000000"/>
          <w:kern w:val="0"/>
          <w:sz w:val="28"/>
          <w:szCs w:val="28"/>
          <w:lang w:val="zh-CN" w:eastAsia="zh-CN"/>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rPr>
        <w:t>六、验收标准</w:t>
      </w:r>
      <w:r>
        <w:rPr>
          <w:rFonts w:hint="eastAsia" w:ascii="楷体" w:hAnsi="楷体" w:eastAsia="楷体" w:cs="宋体"/>
          <w:color w:val="000000"/>
          <w:kern w:val="0"/>
          <w:sz w:val="28"/>
          <w:szCs w:val="28"/>
          <w:lang w:val="en-US" w:eastAsia="zh-CN"/>
        </w:rPr>
        <w:t xml:space="preserve"> </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中标人</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000000"/>
          <w:kern w:val="0"/>
          <w:sz w:val="28"/>
          <w:szCs w:val="28"/>
          <w:lang w:val="zh-CN"/>
        </w:rPr>
      </w:pPr>
      <w:r>
        <w:rPr>
          <w:rFonts w:hint="eastAsia" w:cs="宋体" w:asciiTheme="minorEastAsia" w:hAnsiTheme="minorEastAsia"/>
          <w:color w:val="000000"/>
          <w:kern w:val="0"/>
          <w:sz w:val="24"/>
          <w:szCs w:val="24"/>
          <w:lang w:val="zh-CN"/>
        </w:rPr>
        <w:t>2、按照招标文件要求、投标文件响应和承诺验收</w:t>
      </w:r>
      <w:r>
        <w:rPr>
          <w:rFonts w:hint="eastAsia" w:ascii="仿宋" w:hAnsi="仿宋" w:eastAsia="仿宋" w:cs="宋体"/>
          <w:color w:val="000000"/>
          <w:kern w:val="0"/>
          <w:sz w:val="28"/>
          <w:szCs w:val="28"/>
          <w:lang w:val="zh-CN"/>
        </w:rPr>
        <w:t>；</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微软雅黑" w:asciiTheme="minorEastAsia" w:hAnsiTheme="minorEastAsia" w:eastAsiaTheme="minorEastAsia"/>
          <w:b/>
          <w:color w:val="FF0000"/>
        </w:rPr>
        <w:t>★</w:t>
      </w:r>
      <w:r>
        <w:rPr>
          <w:rFonts w:hint="eastAsia" w:cs="黑体" w:asciiTheme="minorEastAsia" w:hAnsiTheme="minorEastAsia" w:eastAsiaTheme="minorEastAsia"/>
          <w:b/>
          <w:bCs/>
          <w:color w:val="000000"/>
          <w:shd w:val="clear" w:color="auto" w:fill="FFFFFF"/>
        </w:rPr>
        <w:t>七、</w:t>
      </w:r>
      <w:r>
        <w:rPr>
          <w:rFonts w:hint="eastAsia" w:cs="黑体" w:asciiTheme="minorEastAsia" w:hAnsiTheme="minorEastAsia" w:eastAsiaTheme="minorEastAsia"/>
          <w:b/>
          <w:bCs/>
          <w:color w:val="000000"/>
          <w:shd w:val="clear" w:color="auto" w:fill="FFFFFF"/>
          <w:lang w:val="en-US" w:eastAsia="zh-CN"/>
        </w:rPr>
        <w:t xml:space="preserve"> </w:t>
      </w:r>
      <w:r>
        <w:rPr>
          <w:rFonts w:hint="eastAsia" w:ascii="宋体" w:hAnsi="宋体" w:eastAsiaTheme="minorEastAsia" w:cstheme="minorBidi"/>
          <w:b/>
          <w:bCs/>
          <w:szCs w:val="22"/>
        </w:rPr>
        <w:t>本项目预算金额：</w:t>
      </w:r>
      <w:r>
        <w:rPr>
          <w:rFonts w:hint="eastAsia" w:cs="仿宋_GB2312" w:asciiTheme="minorEastAsia" w:hAnsiTheme="minorEastAsia" w:eastAsiaTheme="minorEastAsia"/>
          <w:b/>
          <w:bCs/>
          <w:shd w:val="clear" w:color="auto" w:fill="FFFFFF"/>
        </w:rPr>
        <w:t>A包：4280000.00元，B包：740000.00元，C包：3600000.00元，D包：1290000.00元，E包：640000.00元，F包：1410000.00元；</w:t>
      </w:r>
      <w:r>
        <w:rPr>
          <w:rFonts w:hint="eastAsia" w:ascii="宋体" w:hAnsi="宋体" w:eastAsiaTheme="minorEastAsia" w:cstheme="minorBidi"/>
          <w:b/>
          <w:bCs/>
          <w:szCs w:val="22"/>
        </w:rPr>
        <w:t>最高限价：</w:t>
      </w:r>
      <w:r>
        <w:rPr>
          <w:rFonts w:hint="eastAsia" w:cs="仿宋_GB2312" w:asciiTheme="minorEastAsia" w:hAnsiTheme="minorEastAsia" w:eastAsiaTheme="minorEastAsia"/>
          <w:b/>
          <w:bCs/>
          <w:shd w:val="clear" w:color="auto" w:fill="FFFFFF"/>
        </w:rPr>
        <w:t>A包：4280000.00元，B包：740000.00元，C包：3600000.00元，D包：1290000.00元，E包：640000.00元，F包：1410000.00元；</w:t>
      </w:r>
      <w:r>
        <w:rPr>
          <w:rFonts w:hint="eastAsia" w:ascii="宋体" w:hAnsi="宋体" w:eastAsiaTheme="minorEastAsia" w:cstheme="minorBidi"/>
          <w:b/>
          <w:bCs/>
          <w:szCs w:val="22"/>
          <w:lang w:val="zh-CN"/>
        </w:rPr>
        <w:t>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rPr>
        <w:t>八、资金支付</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1、支付方式：银行转账。</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支付时间及条件：支付时间及条件：采用分期付款方式，中标金额按三年四次2:2:3:3比例分期支付，（即：交货验收合格后60天内首付中标金额的20%；满一年第二次付中标金额的20%；满二年第三次付中标金额的30%；满三年第四次付完中标金额的30%）。</w:t>
      </w:r>
    </w:p>
    <w:p>
      <w:pPr>
        <w:pStyle w:val="2"/>
        <w:rPr>
          <w:rFonts w:hint="eastAsia"/>
          <w:lang w:val="zh-CN"/>
        </w:rPr>
      </w:pPr>
    </w:p>
    <w:p>
      <w:pPr>
        <w:autoSpaceDE w:val="0"/>
        <w:autoSpaceDN w:val="0"/>
        <w:adjustRightInd w:val="0"/>
        <w:jc w:val="center"/>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autoSpaceDE w:val="0"/>
        <w:autoSpaceDN w:val="0"/>
        <w:adjustRightInd w:val="0"/>
        <w:jc w:val="both"/>
        <w:rPr>
          <w:rFonts w:cs="宋体" w:asciiTheme="majorEastAsia" w:hAnsiTheme="majorEastAsia" w:eastAsiaTheme="majorEastAsia"/>
          <w:b/>
          <w:kern w:val="0"/>
          <w:sz w:val="36"/>
          <w:szCs w:val="36"/>
        </w:rPr>
      </w:pPr>
    </w:p>
    <w:p>
      <w:pPr>
        <w:pStyle w:val="2"/>
      </w:pP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color w:val="FF0000"/>
          <w:sz w:val="24"/>
          <w:szCs w:val="24"/>
        </w:rPr>
        <w:t>招标文件中凡标有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条款均为实质性要求条款，投标文件须完全响应，未实质响应的，按照无效投标处理。</w:t>
      </w:r>
    </w:p>
    <w:tbl>
      <w:tblPr>
        <w:tblStyle w:val="2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项目名称：东城区环卫专业车辆购置</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项目编号：JZFCG-G20180    号</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项目内容：A包：16T洗扫车（常规）5辆，油电混合动力洗扫车1辆；B包：综合除雪车1辆；C包：25T洒水车（含2套扫雪滚、1台双排撒布机）6辆；D包：人行道冲洗车10辆；E包：垃圾清运车2辆；F包：雾炮车2辆。</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w:t>
            </w:r>
            <w:r>
              <w:rPr>
                <w:rFonts w:hint="eastAsia" w:hAnsi="宋体" w:eastAsia="宋体" w:cs="仿宋_GB2312"/>
                <w:sz w:val="24"/>
              </w:rPr>
              <w:t>许昌市东城区新兴路东段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名称：许昌市东城区综合执法局</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w:t>
            </w:r>
            <w:r>
              <w:rPr>
                <w:rFonts w:hint="eastAsia" w:hAnsi="宋体"/>
                <w:color w:val="000000"/>
                <w:sz w:val="24"/>
              </w:rPr>
              <w:t>许昌市东城区新兴路东段</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hAnsi="宋体" w:eastAsia="宋体"/>
                <w:color w:val="000000"/>
                <w:sz w:val="24"/>
              </w:rPr>
              <w:t>朱小磊</w:t>
            </w:r>
            <w:r>
              <w:rPr>
                <w:rFonts w:hint="eastAsia" w:cs="仿宋_GB2312" w:asciiTheme="minorEastAsia" w:hAnsiTheme="minorEastAsia"/>
                <w:sz w:val="24"/>
                <w:szCs w:val="24"/>
              </w:rPr>
              <w:t xml:space="preserve">                    电话：</w:t>
            </w:r>
            <w:r>
              <w:rPr>
                <w:rFonts w:hint="eastAsia" w:hAnsi="宋体" w:eastAsia="宋体" w:cs="仿宋_GB2312"/>
                <w:sz w:val="24"/>
              </w:rPr>
              <w:t>0374-2959893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w:t>
            </w:r>
            <w:r>
              <w:rPr>
                <w:rFonts w:hint="eastAsia" w:hAnsi="宋体" w:cs="仿宋_GB2312"/>
                <w:sz w:val="24"/>
              </w:rPr>
              <w:t>河南宏业建设管理股份有限公司</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 xml:space="preserve">地址：许昌市东城区金融中心 </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 xml:space="preserve">联系人：   </w:t>
            </w:r>
            <w:r>
              <w:rPr>
                <w:rFonts w:hint="eastAsia" w:hAnsi="宋体" w:eastAsia="宋体" w:cs="仿宋_GB2312"/>
                <w:sz w:val="24"/>
              </w:rPr>
              <w:t xml:space="preserve">辛聪 </w:t>
            </w:r>
            <w:r>
              <w:rPr>
                <w:rFonts w:hint="eastAsia" w:cs="仿宋_GB2312" w:asciiTheme="minorEastAsia" w:hAnsiTheme="minorEastAsia"/>
                <w:sz w:val="24"/>
                <w:szCs w:val="24"/>
              </w:rPr>
              <w:t xml:space="preserve">                 电话：</w:t>
            </w:r>
            <w:r>
              <w:rPr>
                <w:rFonts w:hint="eastAsia" w:hAnsi="宋体" w:eastAsia="宋体" w:cs="仿宋_GB2312"/>
                <w:sz w:val="24"/>
              </w:rPr>
              <w:t xml:space="preserve">13598978466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宋体" w:asciiTheme="minorEastAsia" w:hAnsiTheme="minorEastAsia"/>
                <w:bCs/>
                <w:sz w:val="24"/>
                <w:szCs w:val="24"/>
                <w:lang w:val="zh-CN"/>
              </w:rPr>
              <w:t>2016年度经审计的财务报告，包括资产负债表、利润表、现金流量表、所有者权益变动表及其附注；</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 w:val="24"/>
                <w:szCs w:val="24"/>
              </w:rPr>
            </w:pPr>
            <w:r>
              <w:rPr>
                <w:rFonts w:hint="eastAsia" w:cs="宋体" w:asciiTheme="minorEastAsia" w:hAnsiTheme="minorEastAsia"/>
                <w:b/>
                <w:bCs/>
                <w:sz w:val="24"/>
                <w:szCs w:val="24"/>
                <w:lang w:val="zh-CN"/>
              </w:rPr>
              <w:t>七、</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 xml:space="preserve"> (www.ccgp.gov.cn)政府采购严重违法失信行为记录名单的投标人</w:t>
            </w:r>
            <w:r>
              <w:rPr>
                <w:rFonts w:hint="eastAsia" w:cs="宋体" w:asciiTheme="minorEastAsia" w:hAnsiTheme="minorEastAsia"/>
                <w:b/>
                <w:bCs/>
                <w:sz w:val="24"/>
                <w:szCs w:val="24"/>
                <w:lang w:val="zh-CN"/>
              </w:rPr>
              <w:t>。</w:t>
            </w:r>
            <w:r>
              <w:rPr>
                <w:rFonts w:hint="eastAsia" w:cs="宋体" w:asciiTheme="minorEastAsia" w:hAnsiTheme="minorEastAsia"/>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ind w:firstLine="361" w:firstLineChars="150"/>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ind w:firstLine="240" w:firstLineChars="100"/>
              <w:rPr>
                <w:rFonts w:cs="宋体" w:asciiTheme="minorEastAsia" w:hAnsiTheme="minorEastAsia"/>
                <w:bCs/>
                <w:sz w:val="24"/>
                <w:szCs w:val="24"/>
                <w:lang w:val="zh-CN"/>
              </w:rPr>
            </w:pPr>
            <w:r>
              <w:rPr>
                <w:rFonts w:hint="eastAsia" w:cs="宋体" w:asciiTheme="minorEastAsia" w:hAnsiTheme="minorEastAsia"/>
                <w:bCs/>
                <w:sz w:val="24"/>
                <w:szCs w:val="24"/>
                <w:lang w:val="zh-CN"/>
              </w:rPr>
              <w:t>A包：4280000.00元，B包：740000.00元，C包：3600000.00元，D包：1290000.00元，E包：640000.00元，F包：1410000.00元</w:t>
            </w:r>
            <w:r>
              <w:rPr>
                <w:rFonts w:hint="eastAsia" w:cs="宋体" w:asciiTheme="minorEastAsia" w:hAnsiTheme="minorEastAsia"/>
                <w:bCs/>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cs="宋体" w:asciiTheme="minorEastAsia" w:hAnsiTheme="minorEastAsia"/>
                <w:bCs/>
                <w:sz w:val="24"/>
                <w:szCs w:val="24"/>
                <w:lang w:val="zh-CN"/>
              </w:rPr>
            </w:pPr>
            <w:r>
              <w:rPr>
                <w:rFonts w:hint="eastAsia" w:cs="宋体" w:asciiTheme="minorEastAsia" w:hAnsiTheme="minorEastAsia"/>
                <w:bCs/>
                <w:sz w:val="24"/>
                <w:szCs w:val="24"/>
                <w:lang w:val="zh-CN"/>
              </w:rPr>
              <w:t xml:space="preserve">    年   月    日    时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许昌市公共资源交易中心三楼开标</w:t>
            </w:r>
            <w:r>
              <w:rPr>
                <w:rFonts w:hint="eastAsia" w:cs="宋体" w:asciiTheme="minorEastAsia" w:hAnsiTheme="minorEastAsia"/>
                <w:bCs/>
                <w:sz w:val="24"/>
                <w:szCs w:val="24"/>
                <w:u w:val="single"/>
                <w:lang w:val="zh-CN"/>
              </w:rPr>
              <w:t xml:space="preserve">  </w:t>
            </w:r>
            <w:r>
              <w:rPr>
                <w:rFonts w:hint="eastAsia" w:cs="宋体" w:asciiTheme="minorEastAsia" w:hAnsiTheme="minorEastAsia"/>
                <w:bCs/>
                <w:sz w:val="24"/>
                <w:szCs w:val="24"/>
                <w:lang w:val="zh-CN"/>
              </w:rPr>
              <w:t>室（</w:t>
            </w:r>
            <w:r>
              <w:rPr>
                <w:rFonts w:cs="宋体" w:asciiTheme="minorEastAsia" w:hAnsiTheme="minorEastAsia"/>
                <w:bCs/>
                <w:sz w:val="24"/>
                <w:szCs w:val="24"/>
                <w:lang w:val="zh-CN"/>
              </w:rPr>
              <w:t>龙兴路与竹林路交汇处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ind w:firstLine="720" w:firstLineChars="300"/>
              <w:contextualSpacing/>
              <w:rPr>
                <w:rFonts w:cs="仿宋_GB2312" w:asciiTheme="minorEastAsia" w:hAnsiTheme="minorEastAsia"/>
                <w:sz w:val="24"/>
                <w:szCs w:val="24"/>
                <w:lang w:val="zh-CN"/>
              </w:rPr>
            </w:pPr>
            <w:r>
              <w:rPr>
                <w:rFonts w:hint="eastAsia" w:cs="仿宋_GB2312" w:asciiTheme="minorEastAsia" w:hAnsiTheme="minorEastAsia"/>
                <w:sz w:val="24"/>
                <w:szCs w:val="24"/>
              </w:rPr>
              <w:t>A包：</w:t>
            </w:r>
            <w:r>
              <w:rPr>
                <w:rFonts w:hint="eastAsia" w:cs="仿宋_GB2312" w:asciiTheme="minorEastAsia" w:hAnsiTheme="minorEastAsia"/>
                <w:sz w:val="24"/>
                <w:szCs w:val="24"/>
                <w:lang w:eastAsia="zh-CN"/>
              </w:rPr>
              <w:t>捌万伍仟陆佰</w:t>
            </w:r>
            <w:r>
              <w:rPr>
                <w:rFonts w:hint="eastAsia" w:cs="仿宋_GB2312" w:asciiTheme="minorEastAsia" w:hAnsiTheme="minorEastAsia"/>
                <w:sz w:val="24"/>
                <w:szCs w:val="24"/>
              </w:rPr>
              <w:t>元整</w:t>
            </w:r>
            <w:r>
              <w:rPr>
                <w:rFonts w:hint="eastAsia" w:cs="仿宋_GB2312" w:asciiTheme="minorEastAsia" w:hAnsiTheme="minorEastAsia"/>
                <w:sz w:val="24"/>
                <w:szCs w:val="24"/>
                <w:lang w:val="zh-CN"/>
              </w:rPr>
              <w:t>（¥</w:t>
            </w:r>
            <w:r>
              <w:rPr>
                <w:rFonts w:hint="eastAsia" w:cs="仿宋_GB2312" w:asciiTheme="minorEastAsia" w:hAnsiTheme="minorEastAsia"/>
                <w:sz w:val="24"/>
                <w:szCs w:val="24"/>
                <w:lang w:val="en-US" w:eastAsia="zh-CN"/>
              </w:rPr>
              <w:t>856</w:t>
            </w:r>
            <w:r>
              <w:rPr>
                <w:rFonts w:hint="eastAsia" w:cs="仿宋_GB2312" w:asciiTheme="minorEastAsia" w:hAnsiTheme="minorEastAsia"/>
                <w:sz w:val="24"/>
                <w:szCs w:val="24"/>
              </w:rPr>
              <w:t>00.00元</w:t>
            </w:r>
            <w:r>
              <w:rPr>
                <w:rFonts w:hint="eastAsia" w:cs="仿宋_GB2312" w:asciiTheme="minorEastAsia" w:hAnsiTheme="minorEastAsia"/>
                <w:sz w:val="24"/>
                <w:szCs w:val="24"/>
                <w:lang w:val="zh-CN"/>
              </w:rPr>
              <w:t>）；</w:t>
            </w:r>
          </w:p>
          <w:p>
            <w:pPr>
              <w:pStyle w:val="2"/>
              <w:ind w:firstLine="240"/>
              <w:rPr>
                <w:rFonts w:cs="宋体"/>
                <w:bCs/>
                <w:sz w:val="24"/>
              </w:rPr>
            </w:pPr>
            <w:r>
              <w:rPr>
                <w:rFonts w:hint="eastAsia" w:cs="宋体"/>
                <w:bCs/>
                <w:sz w:val="24"/>
              </w:rPr>
              <w:t xml:space="preserve">    B包：</w:t>
            </w:r>
            <w:r>
              <w:rPr>
                <w:rFonts w:hint="eastAsia" w:cs="宋体"/>
                <w:bCs/>
                <w:sz w:val="24"/>
                <w:lang w:eastAsia="zh-CN"/>
              </w:rPr>
              <w:t>壹万肆仟捌佰</w:t>
            </w:r>
            <w:r>
              <w:rPr>
                <w:rFonts w:hint="eastAsia" w:cs="宋体"/>
                <w:bCs/>
                <w:sz w:val="24"/>
              </w:rPr>
              <w:t>元整（</w:t>
            </w:r>
            <w:r>
              <w:rPr>
                <w:rFonts w:hint="eastAsia" w:cs="宋体" w:asciiTheme="minorEastAsia" w:hAnsiTheme="minorEastAsia"/>
                <w:bCs/>
                <w:sz w:val="24"/>
              </w:rPr>
              <w:t>¥</w:t>
            </w:r>
            <w:r>
              <w:rPr>
                <w:rFonts w:hint="eastAsia" w:cs="宋体" w:asciiTheme="minorEastAsia" w:hAnsiTheme="minorEastAsia"/>
                <w:bCs/>
                <w:sz w:val="24"/>
                <w:lang w:val="en-US" w:eastAsia="zh-CN"/>
              </w:rPr>
              <w:t>148</w:t>
            </w:r>
            <w:r>
              <w:rPr>
                <w:rFonts w:hint="eastAsia" w:cs="宋体" w:asciiTheme="minorEastAsia" w:hAnsiTheme="minorEastAsia"/>
                <w:bCs/>
                <w:sz w:val="24"/>
              </w:rPr>
              <w:t>00.00元</w:t>
            </w:r>
            <w:r>
              <w:rPr>
                <w:rFonts w:hint="eastAsia" w:cs="宋体"/>
                <w:bCs/>
                <w:sz w:val="24"/>
              </w:rPr>
              <w:t>）；</w:t>
            </w:r>
          </w:p>
          <w:p>
            <w:pPr>
              <w:pStyle w:val="2"/>
              <w:ind w:firstLine="240"/>
              <w:rPr>
                <w:rFonts w:cs="宋体"/>
                <w:bCs/>
                <w:sz w:val="24"/>
              </w:rPr>
            </w:pPr>
            <w:r>
              <w:rPr>
                <w:rFonts w:hint="eastAsia" w:cs="宋体"/>
                <w:bCs/>
                <w:sz w:val="24"/>
              </w:rPr>
              <w:t xml:space="preserve">    C包：</w:t>
            </w:r>
            <w:r>
              <w:rPr>
                <w:rFonts w:hint="eastAsia" w:cs="宋体"/>
                <w:bCs/>
                <w:sz w:val="24"/>
                <w:lang w:eastAsia="zh-CN"/>
              </w:rPr>
              <w:t>柒</w:t>
            </w:r>
            <w:r>
              <w:rPr>
                <w:rFonts w:hint="eastAsia" w:cs="宋体"/>
                <w:bCs/>
                <w:sz w:val="24"/>
              </w:rPr>
              <w:t>万</w:t>
            </w:r>
            <w:r>
              <w:rPr>
                <w:rFonts w:hint="eastAsia" w:cs="宋体"/>
                <w:bCs/>
                <w:sz w:val="24"/>
                <w:lang w:eastAsia="zh-CN"/>
              </w:rPr>
              <w:t>贰</w:t>
            </w:r>
            <w:r>
              <w:rPr>
                <w:rFonts w:hint="eastAsia" w:cs="宋体"/>
                <w:bCs/>
                <w:sz w:val="24"/>
              </w:rPr>
              <w:t>仟元整（</w:t>
            </w:r>
            <w:r>
              <w:rPr>
                <w:rFonts w:hint="eastAsia" w:cs="宋体" w:asciiTheme="minorEastAsia" w:hAnsiTheme="minorEastAsia"/>
                <w:bCs/>
                <w:sz w:val="24"/>
                <w:lang w:val="zh-CN"/>
              </w:rPr>
              <w:t>¥</w:t>
            </w:r>
            <w:r>
              <w:rPr>
                <w:rFonts w:hint="eastAsia" w:cs="宋体" w:asciiTheme="minorEastAsia" w:hAnsiTheme="minorEastAsia"/>
                <w:bCs/>
                <w:sz w:val="24"/>
                <w:lang w:val="en-US" w:eastAsia="zh-CN"/>
              </w:rPr>
              <w:t>72</w:t>
            </w:r>
            <w:r>
              <w:rPr>
                <w:rFonts w:hint="eastAsia" w:cs="宋体" w:asciiTheme="minorEastAsia" w:hAnsiTheme="minorEastAsia"/>
                <w:bCs/>
                <w:sz w:val="24"/>
              </w:rPr>
              <w:t>000.00元</w:t>
            </w:r>
            <w:r>
              <w:rPr>
                <w:rFonts w:hint="eastAsia" w:cs="宋体"/>
                <w:bCs/>
                <w:sz w:val="24"/>
              </w:rPr>
              <w:t>）；</w:t>
            </w:r>
          </w:p>
          <w:p>
            <w:pPr>
              <w:pStyle w:val="2"/>
              <w:ind w:firstLine="240"/>
              <w:rPr>
                <w:rFonts w:cs="宋体"/>
                <w:bCs/>
                <w:sz w:val="24"/>
              </w:rPr>
            </w:pPr>
            <w:r>
              <w:rPr>
                <w:rFonts w:hint="eastAsia" w:cs="宋体"/>
                <w:bCs/>
                <w:sz w:val="24"/>
              </w:rPr>
              <w:t xml:space="preserve">    D包：</w:t>
            </w:r>
            <w:r>
              <w:rPr>
                <w:rFonts w:hint="eastAsia" w:cs="宋体"/>
                <w:bCs/>
                <w:sz w:val="24"/>
                <w:lang w:eastAsia="zh-CN"/>
              </w:rPr>
              <w:t>贰万伍仟捌佰</w:t>
            </w:r>
            <w:r>
              <w:rPr>
                <w:rFonts w:hint="eastAsia" w:cs="宋体"/>
                <w:bCs/>
                <w:sz w:val="24"/>
              </w:rPr>
              <w:t>元整（</w:t>
            </w:r>
            <w:r>
              <w:rPr>
                <w:rFonts w:hint="eastAsia" w:cs="宋体" w:asciiTheme="minorEastAsia" w:hAnsiTheme="minorEastAsia"/>
                <w:bCs/>
                <w:sz w:val="24"/>
                <w:lang w:val="zh-CN"/>
              </w:rPr>
              <w:t>¥</w:t>
            </w:r>
            <w:r>
              <w:rPr>
                <w:rFonts w:hint="eastAsia" w:cs="宋体" w:asciiTheme="minorEastAsia" w:hAnsiTheme="minorEastAsia"/>
                <w:bCs/>
                <w:sz w:val="24"/>
                <w:lang w:val="en-US" w:eastAsia="zh-CN"/>
              </w:rPr>
              <w:t>2580</w:t>
            </w:r>
            <w:r>
              <w:rPr>
                <w:rFonts w:hint="eastAsia" w:cs="宋体" w:asciiTheme="minorEastAsia" w:hAnsiTheme="minorEastAsia"/>
                <w:bCs/>
                <w:sz w:val="24"/>
              </w:rPr>
              <w:t>0.00元</w:t>
            </w:r>
            <w:r>
              <w:rPr>
                <w:rFonts w:hint="eastAsia" w:cs="宋体"/>
                <w:bCs/>
                <w:sz w:val="24"/>
              </w:rPr>
              <w:t>）；</w:t>
            </w:r>
          </w:p>
          <w:p>
            <w:pPr>
              <w:pStyle w:val="2"/>
              <w:ind w:firstLine="240"/>
              <w:rPr>
                <w:rFonts w:cs="宋体"/>
                <w:bCs/>
                <w:sz w:val="24"/>
              </w:rPr>
            </w:pPr>
            <w:r>
              <w:rPr>
                <w:rFonts w:hint="eastAsia" w:cs="宋体"/>
                <w:bCs/>
                <w:sz w:val="24"/>
              </w:rPr>
              <w:t xml:space="preserve">    E包：</w:t>
            </w:r>
            <w:r>
              <w:rPr>
                <w:rFonts w:hint="eastAsia" w:cs="宋体"/>
                <w:bCs/>
                <w:sz w:val="24"/>
                <w:lang w:eastAsia="zh-CN"/>
              </w:rPr>
              <w:t>壹万贰仟捌佰</w:t>
            </w:r>
            <w:r>
              <w:rPr>
                <w:rFonts w:hint="eastAsia" w:cs="宋体"/>
                <w:bCs/>
                <w:sz w:val="24"/>
              </w:rPr>
              <w:t>元整（</w:t>
            </w:r>
            <w:r>
              <w:rPr>
                <w:rFonts w:hint="eastAsia" w:cs="宋体" w:asciiTheme="minorEastAsia" w:hAnsiTheme="minorEastAsia"/>
                <w:bCs/>
                <w:sz w:val="24"/>
                <w:lang w:val="zh-CN"/>
              </w:rPr>
              <w:t>¥</w:t>
            </w:r>
            <w:r>
              <w:rPr>
                <w:rFonts w:hint="eastAsia" w:cs="宋体" w:asciiTheme="minorEastAsia" w:hAnsiTheme="minorEastAsia"/>
                <w:bCs/>
                <w:sz w:val="24"/>
                <w:lang w:val="en-US" w:eastAsia="zh-CN"/>
              </w:rPr>
              <w:t>128</w:t>
            </w:r>
            <w:r>
              <w:rPr>
                <w:rFonts w:hint="eastAsia" w:cs="宋体" w:asciiTheme="minorEastAsia" w:hAnsiTheme="minorEastAsia"/>
                <w:bCs/>
                <w:sz w:val="24"/>
              </w:rPr>
              <w:t>00.00元</w:t>
            </w:r>
            <w:r>
              <w:rPr>
                <w:rFonts w:hint="eastAsia" w:cs="宋体"/>
                <w:bCs/>
                <w:sz w:val="24"/>
              </w:rPr>
              <w:t>）；</w:t>
            </w:r>
          </w:p>
          <w:p>
            <w:pPr>
              <w:pStyle w:val="2"/>
              <w:ind w:firstLine="240"/>
              <w:rPr>
                <w:rFonts w:cs="宋体"/>
                <w:bCs/>
                <w:sz w:val="24"/>
              </w:rPr>
            </w:pPr>
            <w:r>
              <w:rPr>
                <w:rFonts w:hint="eastAsia" w:cs="宋体"/>
                <w:bCs/>
                <w:sz w:val="24"/>
              </w:rPr>
              <w:t xml:space="preserve">    F包：</w:t>
            </w:r>
            <w:r>
              <w:rPr>
                <w:rFonts w:hint="eastAsia" w:cs="宋体"/>
                <w:bCs/>
                <w:sz w:val="24"/>
                <w:lang w:eastAsia="zh-CN"/>
              </w:rPr>
              <w:t>贰万捌仟贰佰</w:t>
            </w:r>
            <w:r>
              <w:rPr>
                <w:rFonts w:hint="eastAsia" w:cs="宋体"/>
                <w:bCs/>
                <w:sz w:val="24"/>
              </w:rPr>
              <w:t>元整（</w:t>
            </w:r>
            <w:r>
              <w:rPr>
                <w:rFonts w:hint="eastAsia" w:cs="宋体" w:asciiTheme="minorEastAsia" w:hAnsiTheme="minorEastAsia"/>
                <w:bCs/>
                <w:sz w:val="24"/>
              </w:rPr>
              <w:t>¥</w:t>
            </w:r>
            <w:r>
              <w:rPr>
                <w:rFonts w:hint="eastAsia" w:cs="宋体" w:asciiTheme="minorEastAsia" w:hAnsiTheme="minorEastAsia"/>
                <w:bCs/>
                <w:sz w:val="24"/>
                <w:lang w:val="en-US" w:eastAsia="zh-CN"/>
              </w:rPr>
              <w:t>282</w:t>
            </w:r>
            <w:r>
              <w:rPr>
                <w:rFonts w:hint="eastAsia" w:cs="宋体" w:asciiTheme="minorEastAsia" w:hAnsiTheme="minorEastAsia"/>
                <w:bCs/>
                <w:sz w:val="24"/>
              </w:rPr>
              <w:t>00.00元</w:t>
            </w:r>
            <w:r>
              <w:rPr>
                <w:rFonts w:hint="eastAsia" w:cs="宋体"/>
                <w:bCs/>
                <w:sz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lang w:val="en-US" w:eastAsia="zh-CN"/>
              </w:rPr>
              <w:t xml:space="preserve"> </w:t>
            </w:r>
            <w:r>
              <w:rPr>
                <w:rFonts w:hint="eastAsia" w:cs="仿宋_GB2312" w:asciiTheme="minorEastAsia" w:hAnsiTheme="minorEastAsia"/>
                <w:sz w:val="24"/>
                <w:szCs w:val="24"/>
                <w:u w:val="single"/>
                <w:lang w:eastAsia="zh-CN"/>
              </w:rPr>
              <w:t>一</w:t>
            </w:r>
            <w:r>
              <w:rPr>
                <w:rFonts w:hint="eastAsia" w:cs="仿宋_GB2312" w:asciiTheme="minorEastAsia" w:hAnsiTheme="minorEastAsia"/>
                <w:sz w:val="24"/>
                <w:szCs w:val="24"/>
                <w:u w:val="single"/>
                <w:lang w:val="en-US" w:eastAsia="zh-CN"/>
              </w:rPr>
              <w:t xml:space="preserve"> </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color w:val="000000"/>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综合评分法</w:t>
            </w:r>
            <w:r>
              <w:rPr>
                <w:rFonts w:hint="eastAsia" w:cs="宋体" w:asciiTheme="minorEastAsia" w:hAnsiTheme="minorEastAsia"/>
                <w:color w:val="000000"/>
                <w:kern w:val="0"/>
                <w:sz w:val="24"/>
                <w:szCs w:val="24"/>
                <w:lang w:val="zh-CN"/>
              </w:rPr>
              <w:t xml:space="preserve">  </w:t>
            </w:r>
            <w:r>
              <w:rPr>
                <w:rFonts w:hint="eastAsia" w:cs="宋体" w:asciiTheme="minorEastAsia" w:hAnsiTheme="minorEastAsia"/>
                <w:b/>
                <w:bCs/>
                <w:sz w:val="24"/>
                <w:szCs w:val="24"/>
                <w:lang w:val="zh-CN"/>
              </w:rPr>
              <w:t>□</w:t>
            </w: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u w:val="single"/>
              </w:rPr>
              <w:t xml:space="preserve">   </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不收取</w:t>
            </w:r>
          </w:p>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收取中标人。</w:t>
            </w: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收取采购人。</w:t>
            </w:r>
            <w:r>
              <w:rPr>
                <w:rFonts w:hint="eastAsia" w:cs="宋体" w:asciiTheme="minorEastAsia" w:hAnsiTheme="minorEastAsia"/>
                <w:color w:val="333333"/>
                <w:sz w:val="24"/>
                <w:szCs w:val="24"/>
              </w:rPr>
              <w:t>收取标准:中标合同金额的</w:t>
            </w:r>
            <w:r>
              <w:rPr>
                <w:rFonts w:hint="eastAsia" w:cs="宋体" w:asciiTheme="minorEastAsia" w:hAnsiTheme="minorEastAsia"/>
                <w:color w:val="333333"/>
                <w:sz w:val="24"/>
                <w:szCs w:val="24"/>
                <w:u w:val="single"/>
              </w:rPr>
              <w:t xml:space="preserve"> </w:t>
            </w:r>
            <w:r>
              <w:rPr>
                <w:rFonts w:hint="eastAsia" w:cs="宋体" w:asciiTheme="minorEastAsia" w:hAnsiTheme="minorEastAsia"/>
                <w:color w:val="333333"/>
                <w:sz w:val="24"/>
                <w:szCs w:val="24"/>
                <w:u w:val="single"/>
                <w:lang w:val="en-US" w:eastAsia="zh-CN"/>
              </w:rPr>
              <w:t>1.5</w:t>
            </w:r>
            <w:r>
              <w:rPr>
                <w:rFonts w:hint="eastAsia" w:cs="宋体" w:asciiTheme="minorEastAsia" w:hAnsiTheme="minorEastAsia"/>
                <w:color w:val="333333"/>
                <w:sz w:val="24"/>
                <w:szCs w:val="24"/>
                <w:u w:val="single"/>
              </w:rPr>
              <w:t xml:space="preserve"> </w:t>
            </w:r>
            <w:r>
              <w:rPr>
                <w:rFonts w:hint="eastAsia" w:cs="宋体" w:asciiTheme="minorEastAsia" w:hAnsiTheme="minorEastAsia"/>
                <w:color w:val="333333"/>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sz w:val="24"/>
                <w:szCs w:val="24"/>
                <w:lang w:val="en-US" w:eastAsia="zh-CN"/>
              </w:rPr>
              <w:t>hongye316@126.com</w:t>
            </w:r>
            <w:r>
              <w:rPr>
                <w:rFonts w:hint="eastAsia" w:cs="宋体" w:asciiTheme="minorEastAsia" w:hAnsiTheme="minorEastAsia"/>
                <w:bCs/>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2"/>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3</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政府采购活动中查询及使用投标人信用记录的具体要求为：投标人未被列入失信被执行人、重大税收违法案件当事人名单、</w:t>
      </w:r>
      <w:r>
        <w:rPr>
          <w:rFonts w:cs="仿宋_GB2312" w:asciiTheme="minorEastAsia" w:hAnsiTheme="minorEastAsia"/>
          <w:color w:val="000000"/>
          <w:sz w:val="24"/>
          <w:szCs w:val="24"/>
          <w:shd w:val="clear" w:color="auto" w:fill="FFFFFF"/>
        </w:rPr>
        <w:t>政府采购严重违法失信名单</w:t>
      </w:r>
      <w:r>
        <w:rPr>
          <w:rFonts w:hint="eastAsia" w:cs="仿宋_GB2312" w:asciiTheme="minorEastAsia" w:hAnsiTheme="minorEastAsia"/>
          <w:color w:val="000000"/>
          <w:sz w:val="24"/>
          <w:szCs w:val="24"/>
          <w:shd w:val="clear" w:color="auto" w:fill="FFFFFF"/>
        </w:rPr>
        <w:t>、</w:t>
      </w:r>
      <w:r>
        <w:rPr>
          <w:rFonts w:hint="eastAsia" w:cs="宋体" w:asciiTheme="minorEastAsia" w:hAnsiTheme="minorEastAsia"/>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《中国政府采购网》、《河南省政府采购网》、《许昌市政府采购网》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7.1 收取标准:按照中标合同金额的比例收取。详</w:t>
      </w:r>
      <w:r>
        <w:rPr>
          <w:rFonts w:hint="eastAsia" w:cs="仿宋_GB2312" w:asciiTheme="minorEastAsia" w:hAnsiTheme="minorEastAsia"/>
          <w:sz w:val="24"/>
          <w:szCs w:val="24"/>
          <w:lang w:val="zh-CN"/>
        </w:rPr>
        <w:t>见投标人须知前附表。</w:t>
      </w:r>
    </w:p>
    <w:p>
      <w:pPr>
        <w:widowControl/>
        <w:tabs>
          <w:tab w:val="left" w:pos="636"/>
        </w:tabs>
        <w:spacing w:line="360" w:lineRule="auto"/>
        <w:contextualSpacing/>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7.2 收取方式：一次性以银行划账、电汇、汇票或支票的形式支付。</w:t>
      </w:r>
    </w:p>
    <w:p>
      <w:pPr>
        <w:autoSpaceDE w:val="0"/>
        <w:autoSpaceDN w:val="0"/>
        <w:spacing w:line="360" w:lineRule="auto"/>
        <w:contextualSpacing/>
        <w:rPr>
          <w:rFonts w:hint="eastAsia" w:cs="宋体" w:asciiTheme="minorEastAsia" w:hAnsiTheme="minorEastAsia"/>
          <w:b/>
          <w:kern w:val="0"/>
          <w:sz w:val="24"/>
          <w:szCs w:val="24"/>
        </w:rPr>
      </w:pPr>
      <w:r>
        <w:rPr>
          <w:rFonts w:hint="eastAsia" w:cs="宋体" w:asciiTheme="minorEastAsia" w:hAnsiTheme="minorEastAsia"/>
          <w:b/>
          <w:kern w:val="0"/>
          <w:sz w:val="24"/>
          <w:szCs w:val="24"/>
        </w:rPr>
        <w:t>8. 其他</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11.招标文件的澄清或修改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w:t>
      </w:r>
      <w:r>
        <w:rPr>
          <w:rFonts w:cs="宋体" w:asciiTheme="minorEastAsia" w:hAnsiTheme="minorEastAsia"/>
          <w:kern w:val="0"/>
          <w:sz w:val="24"/>
          <w:szCs w:val="24"/>
        </w:rPr>
        <w:t>.</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kern w:val="0"/>
          <w:sz w:val="24"/>
          <w:szCs w:val="24"/>
        </w:rPr>
        <w:t>15</w:t>
      </w:r>
      <w:r>
        <w:rPr>
          <w:rFonts w:hint="eastAsia" w:cs="宋体" w:asciiTheme="minorEastAsia" w:hAnsiTheme="minorEastAsia"/>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6"/>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个工作日内退还中标人的投标保证金。</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1</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投标文件的数量和签署盖章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在招标文件中已明示需盖章及签名之处，</w:t>
      </w:r>
      <w:r>
        <w:rPr>
          <w:rFonts w:hint="eastAsia" w:ascii="新宋体" w:hAnsi="新宋体" w:eastAsia="新宋体"/>
          <w:sz w:val="24"/>
        </w:rPr>
        <w:t>电子投标文件应按招标文件要求加盖投标人电子印章和法人电子印章或授权代表电子印章。</w:t>
      </w:r>
    </w:p>
    <w:p>
      <w:pPr>
        <w:autoSpaceDE w:val="0"/>
        <w:autoSpaceDN w:val="0"/>
        <w:adjustRightInd w:val="0"/>
        <w:spacing w:line="360" w:lineRule="auto"/>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18.3 纸质投标文件</w:t>
      </w:r>
      <w:r>
        <w:rPr>
          <w:rFonts w:hint="eastAsia" w:ascii="新宋体" w:hAnsi="新宋体" w:eastAsia="新宋体"/>
          <w:sz w:val="24"/>
        </w:rPr>
        <w:t>是指投标人电子投标文件制作完成后生成的后缀名为</w:t>
      </w:r>
      <w:r>
        <w:rPr>
          <w:rFonts w:hint="eastAsia" w:hAnsi="宋体"/>
          <w:color w:val="000000"/>
          <w:sz w:val="24"/>
          <w:szCs w:val="24"/>
        </w:rPr>
        <w:t>“.PDF”的文件打印的投标文件。</w:t>
      </w:r>
      <w:r>
        <w:rPr>
          <w:rFonts w:hint="eastAsia" w:cs="仿宋_GB2312" w:asciiTheme="minorEastAsia" w:hAnsiTheme="minorEastAsia"/>
          <w:sz w:val="24"/>
          <w:szCs w:val="24"/>
          <w:lang w:val="zh-CN"/>
        </w:rPr>
        <w:t>纸质投标文件正本和副本封面上应清楚标明</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正本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或</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副本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30.5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供应商认为采购文件、采购过程和中标结果使自己的权益受到损害的，可以依法向采购人</w:t>
      </w:r>
      <w:r>
        <w:rPr>
          <w:rFonts w:hint="eastAsia" w:cs="宋体" w:asciiTheme="minorEastAsia" w:hAnsiTheme="minorEastAsia"/>
          <w:bCs/>
          <w:color w:val="000000" w:themeColor="text1"/>
          <w:sz w:val="24"/>
          <w:szCs w:val="24"/>
          <w:lang w:val="zh-CN"/>
        </w:rPr>
        <w:t>、采购代理机构提出质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通过《全国公共资源交易平台（河南省·许昌市）》一次性提出，如未提出视为全面接受；</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tabs>
          <w:tab w:val="left" w:pos="1260"/>
        </w:tabs>
        <w:autoSpaceDE w:val="0"/>
        <w:autoSpaceDN w:val="0"/>
        <w:spacing w:line="360" w:lineRule="auto"/>
        <w:contextualSpacing/>
        <w:jc w:val="left"/>
        <w:rPr>
          <w:rFonts w:cs="宋体" w:asciiTheme="majorEastAsia" w:hAnsiTheme="majorEastAsia" w:eastAsiaTheme="majorEastAsia"/>
          <w:b/>
          <w:kern w:val="0"/>
          <w:sz w:val="36"/>
          <w:szCs w:val="36"/>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本次采购货物中属于强制采购的节能产品，投标人所投产品必须是《节能产品政府采购清单》内产品，投标文件中须提供最新一期《节能产品政府采购清单》中产品所在页</w:t>
      </w:r>
      <w:r>
        <w:rPr>
          <w:rFonts w:hint="eastAsia" w:cs="仿宋_GB2312" w:asciiTheme="minorEastAsia" w:hAnsiTheme="minorEastAsia" w:eastAsiaTheme="minorEastAsia"/>
          <w:szCs w:val="24"/>
        </w:rPr>
        <w:t>的原件扫描件（或图片）并加盖投标人公章，</w:t>
      </w:r>
      <w:r>
        <w:rPr>
          <w:rFonts w:hint="eastAsia" w:cs="仿宋_GB2312" w:asciiTheme="minorEastAsia" w:hAnsiTheme="minorEastAsia" w:eastAsiaTheme="minorEastAsia"/>
          <w:szCs w:val="24"/>
          <w:lang w:val="zh-CN"/>
        </w:rPr>
        <w:t>否则为无效投标。投标人所投其他产品若属于“节能产品政府采购清单”优先采购产品，在同等条件下，优先采购清单中的产品。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hint="eastAsia"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hint="eastAsia"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hint="eastAsia"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4"/>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（1）2016年度经审计的财务报告，包括资产负债表、利润表、现金流量表、所有者权益变动表及其附注；</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hd w:val="clear" w:color="auto" w:fill="FFFFFF"/>
              </w:rPr>
              <w:t xml:space="preserve"> </w:t>
            </w:r>
            <w:r>
              <w:rPr>
                <w:rFonts w:cs="仿宋_GB2312" w:asciiTheme="minorEastAsia" w:hAnsiTheme="minorEastAsia"/>
                <w:b/>
                <w:color w:val="000000"/>
                <w:sz w:val="24"/>
                <w:szCs w:val="24"/>
                <w:shd w:val="clear" w:color="auto" w:fill="FFFFFF"/>
              </w:rPr>
              <w:t>(www.ccgp.gov.cn)政府采购严重违法失信行为记录名单的投标人</w:t>
            </w:r>
            <w:r>
              <w:rPr>
                <w:rFonts w:hint="eastAsia" w:asciiTheme="minorEastAsia" w:hAnsiTheme="minorEastAsia"/>
                <w:b/>
                <w:bCs/>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本项目采用综合评分法。总分为100分。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注：符合性审查中所涉及到的证书及材料，均应在电子投标文件中提供原件扫描件（或图片）。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3"/>
        <w:spacing w:line="360" w:lineRule="auto"/>
        <w:ind w:firstLine="480" w:firstLineChars="200"/>
        <w:contextualSpacing/>
        <w:rPr>
          <w:rFonts w:hint="eastAsia"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szCs w:val="24"/>
          <w:lang w:val="zh-CN"/>
        </w:rPr>
        <w:t>注：评标标准中所涉及到的证书及材料，均应在电子投标文件中提供原件扫描件（或图片）。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须提供最新一期《节能产品政府采购清单》中所投产品所在页并加盖投标人公章的原件扫描件（或图片），否则为无效投标。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投标人所投其他产品若属于“节能产品政府采购清单”优先采购产品，</w:t>
      </w:r>
      <w:r>
        <w:rPr>
          <w:rFonts w:hint="eastAsia" w:cs="仿宋_GB2312" w:asciiTheme="minorEastAsia" w:hAnsiTheme="minorEastAsia"/>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Cs w:val="24"/>
          <w:lang w:val="zh-CN"/>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（4）关于强制性产品认证</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1）投标人所投产品如被列入</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,则投标文件中应根据本项目招标文件“第二章 项目需求”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lang w:val="zh-CN"/>
        </w:rPr>
      </w:pPr>
      <w:r>
        <w:rPr>
          <w:rFonts w:hint="eastAsia" w:cs="仿宋_GB2312" w:asciiTheme="minorEastAsia" w:hAnsiTheme="minorEastAsia"/>
          <w:sz w:val="24"/>
          <w:szCs w:val="24"/>
          <w:lang w:val="zh-CN"/>
        </w:rPr>
        <w:t>a. 中国国家认证认可监督管理委员会官网（</w:t>
      </w:r>
      <w:r>
        <w:fldChar w:fldCharType="begin"/>
      </w:r>
      <w:r>
        <w:instrText xml:space="preserve"> HYPERLINK "http://cx.cnca.cn/rjwcx/web/cert/index.do" \t "_blank" </w:instrText>
      </w:r>
      <w:r>
        <w:fldChar w:fldCharType="separate"/>
      </w:r>
      <w:r>
        <w:rPr>
          <w:rFonts w:hint="eastAsia" w:cs="仿宋_GB2312" w:asciiTheme="minorEastAsia" w:hAnsiTheme="minorEastAsia"/>
          <w:lang w:val="zh-CN"/>
        </w:rPr>
        <w:t>http://cx.cnca.cn/rjwcx/web/cert/index.do</w:t>
      </w:r>
      <w:r>
        <w:rPr>
          <w:rFonts w:hint="eastAsia" w:cs="仿宋_GB2312" w:asciiTheme="minorEastAsia" w:hAnsiTheme="minorEastAsia"/>
          <w:lang w:val="zh-CN"/>
        </w:rPr>
        <w:fldChar w:fldCharType="end"/>
      </w:r>
      <w:r>
        <w:rPr>
          <w:rFonts w:hint="eastAsia" w:cs="仿宋_GB2312" w:asciiTheme="minorEastAsia" w:hAnsiTheme="minorEastAsia"/>
          <w:sz w:val="24"/>
          <w:szCs w:val="24"/>
          <w:lang w:val="zh-CN"/>
        </w:rPr>
        <w:t>）产品认证证书的原件扫描件（或图片）并加盖投标人公章。</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 强制性产品认证机构颁发的CCC认证证书的原件扫描件（或图片）并加盖投标人公章。</w:t>
      </w:r>
    </w:p>
    <w:p>
      <w:pPr>
        <w:wordWrap w:val="0"/>
        <w:autoSpaceDE w:val="0"/>
        <w:autoSpaceDN w:val="0"/>
        <w:spacing w:line="360" w:lineRule="auto"/>
        <w:ind w:firstLine="480" w:firstLineChars="200"/>
        <w:contextualSpacing/>
        <w:rPr>
          <w:rFonts w:cs="仿宋_GB2312" w:asciiTheme="minorEastAsia" w:hAnsiTheme="minorEastAsia"/>
          <w:lang w:val="zh-CN"/>
        </w:rPr>
      </w:pPr>
      <w:r>
        <w:rPr>
          <w:rFonts w:hint="eastAsia" w:cs="仿宋_GB2312" w:asciiTheme="minorEastAsia" w:hAnsiTheme="minorEastAsia"/>
          <w:sz w:val="24"/>
          <w:szCs w:val="24"/>
          <w:lang w:val="zh-CN"/>
        </w:rPr>
        <w:t>c. 投标人</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2)投标人所投产品如被列入</w:t>
      </w:r>
      <w:r>
        <w:rPr>
          <w:rFonts w:cs="宋体" w:asciiTheme="minorEastAsia" w:hAnsiTheme="minorEastAsia"/>
          <w:kern w:val="0"/>
          <w:sz w:val="24"/>
          <w:szCs w:val="24"/>
        </w:rPr>
        <w:t>《信息安全产品强制性认证目录》，</w:t>
      </w:r>
      <w:r>
        <w:rPr>
          <w:rFonts w:hint="eastAsia" w:cs="仿宋_GB2312" w:asciiTheme="minorEastAsia" w:hAnsiTheme="minorEastAsia"/>
          <w:sz w:val="24"/>
          <w:szCs w:val="24"/>
          <w:lang w:val="zh-CN"/>
        </w:rPr>
        <w:t>则投标文件中应根据本项目招标文件“第二章 项目需求”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a</w:t>
      </w:r>
      <w:r>
        <w:rPr>
          <w:rFonts w:hint="eastAsia" w:cs="宋体" w:asciiTheme="minorEastAsia" w:hAnsiTheme="minorEastAsia"/>
          <w:kern w:val="0"/>
          <w:sz w:val="24"/>
          <w:szCs w:val="24"/>
        </w:rPr>
        <w:t>. 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w:t>
      </w:r>
      <w:r>
        <w:rPr>
          <w:rFonts w:hint="eastAsia" w:cs="宋体" w:asciiTheme="minorEastAsia" w:hAnsiTheme="minorEastAsia"/>
          <w:kern w:val="0"/>
          <w:sz w:val="24"/>
          <w:szCs w:val="24"/>
        </w:rPr>
        <w:t>. 中国信息安全认证中心</w:t>
      </w:r>
      <w:r>
        <w:rPr>
          <w:rFonts w:hint="eastAsia" w:cs="仿宋_GB2312" w:asciiTheme="minorEastAsia" w:hAnsiTheme="minorEastAsia"/>
          <w:sz w:val="24"/>
          <w:szCs w:val="24"/>
          <w:lang w:val="zh-CN"/>
        </w:rPr>
        <w:t>颁发的《中国国家信息安全产品认证证书》的原件扫描件（或图片）并加盖投标人公章。</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4"/>
        <w:tblpPr w:leftFromText="180" w:rightFromText="180" w:vertAnchor="text" w:horzAnchor="page" w:tblpX="1717" w:tblpY="568"/>
        <w:tblOverlap w:val="never"/>
        <w:tblW w:w="89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762"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分值构成</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(总分100分)</w:t>
            </w:r>
          </w:p>
        </w:tc>
        <w:tc>
          <w:tcPr>
            <w:tcW w:w="7204" w:type="dxa"/>
            <w:gridSpan w:val="2"/>
            <w:vAlign w:val="center"/>
          </w:tcPr>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价格分值：</w:t>
            </w:r>
            <w:r>
              <w:rPr>
                <w:rFonts w:hint="eastAsia" w:ascii="宋体" w:hAnsi="宋体" w:eastAsia="宋体" w:cs="宋体"/>
                <w:sz w:val="24"/>
                <w:szCs w:val="24"/>
                <w:u w:val="single"/>
              </w:rPr>
              <w:t xml:space="preserve">  30    </w:t>
            </w:r>
            <w:r>
              <w:rPr>
                <w:rFonts w:hint="eastAsia" w:ascii="宋体" w:hAnsi="宋体" w:eastAsia="宋体" w:cs="宋体"/>
                <w:sz w:val="24"/>
                <w:szCs w:val="24"/>
              </w:rPr>
              <w:t>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商务部分：</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34</w:t>
            </w:r>
            <w:r>
              <w:rPr>
                <w:rFonts w:hint="eastAsia" w:ascii="宋体" w:hAnsi="宋体" w:eastAsia="宋体" w:cs="宋体"/>
                <w:sz w:val="24"/>
                <w:szCs w:val="24"/>
                <w:u w:val="single"/>
              </w:rPr>
              <w:t xml:space="preserve">    </w:t>
            </w:r>
            <w:r>
              <w:rPr>
                <w:rFonts w:hint="eastAsia" w:ascii="宋体" w:hAnsi="宋体" w:eastAsia="宋体" w:cs="宋体"/>
                <w:sz w:val="24"/>
                <w:szCs w:val="24"/>
              </w:rPr>
              <w:t>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技术部分：</w:t>
            </w:r>
            <w:r>
              <w:rPr>
                <w:rFonts w:hint="eastAsia" w:ascii="宋体" w:hAnsi="宋体" w:eastAsia="宋体" w:cs="宋体"/>
                <w:sz w:val="24"/>
                <w:szCs w:val="24"/>
                <w:u w:val="single"/>
              </w:rPr>
              <w:t xml:space="preserve">    3</w:t>
            </w:r>
            <w:r>
              <w:rPr>
                <w:rFonts w:hint="eastAsia" w:ascii="宋体" w:hAnsi="宋体" w:eastAsia="宋体" w:cs="宋体"/>
                <w:sz w:val="24"/>
                <w:szCs w:val="24"/>
                <w:u w:val="single"/>
                <w:lang w:val="en-US" w:eastAsia="zh-CN"/>
              </w:rPr>
              <w:t>6</w:t>
            </w:r>
            <w:r>
              <w:rPr>
                <w:rFonts w:hint="eastAsia" w:ascii="宋体" w:hAnsi="宋体" w:eastAsia="宋体" w:cs="宋体"/>
                <w:sz w:val="24"/>
                <w:szCs w:val="24"/>
                <w:u w:val="single"/>
              </w:rPr>
              <w:t xml:space="preserve">  </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8966" w:type="dxa"/>
            <w:gridSpan w:val="3"/>
            <w:tcBorders>
              <w:bottom w:val="single" w:color="auto" w:sz="4" w:space="0"/>
            </w:tcBorders>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价格部分（满分</w:t>
            </w:r>
            <w:r>
              <w:rPr>
                <w:rFonts w:hint="eastAsia" w:ascii="宋体" w:hAnsi="宋体" w:eastAsia="宋体" w:cs="宋体"/>
                <w:b/>
                <w:sz w:val="24"/>
                <w:szCs w:val="24"/>
                <w:u w:val="single"/>
              </w:rPr>
              <w:t xml:space="preserve"> 30 </w:t>
            </w:r>
            <w:r>
              <w:rPr>
                <w:rFonts w:hint="eastAsia" w:ascii="宋体" w:hAnsi="宋体" w:eastAsia="宋体" w:cs="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tcBorders>
              <w:top w:val="single" w:color="auto" w:sz="4" w:space="0"/>
            </w:tcBorders>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评分因素</w:t>
            </w:r>
          </w:p>
        </w:tc>
        <w:tc>
          <w:tcPr>
            <w:tcW w:w="6237" w:type="dxa"/>
            <w:tcBorders>
              <w:top w:val="single" w:color="auto" w:sz="4" w:space="0"/>
            </w:tcBorders>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评标标准</w:t>
            </w:r>
          </w:p>
        </w:tc>
        <w:tc>
          <w:tcPr>
            <w:tcW w:w="967" w:type="dxa"/>
            <w:tcBorders>
              <w:top w:val="single" w:color="auto" w:sz="4" w:space="0"/>
            </w:tcBorders>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1762" w:type="dxa"/>
            <w:tcBorders>
              <w:top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投标报价</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评分标准</w:t>
            </w:r>
          </w:p>
        </w:tc>
        <w:tc>
          <w:tcPr>
            <w:tcW w:w="6237" w:type="dxa"/>
            <w:tcBorders>
              <w:top w:val="single" w:color="auto" w:sz="4" w:space="0"/>
            </w:tcBorders>
            <w:vAlign w:val="center"/>
          </w:tcPr>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评标基准价：满足招标文件要求的有效投标报价中，最低的投标报价为评标基准价。</w:t>
            </w:r>
          </w:p>
          <w:p>
            <w:pPr>
              <w:spacing w:line="360" w:lineRule="auto"/>
              <w:rPr>
                <w:rFonts w:hint="eastAsia" w:ascii="宋体" w:hAnsi="宋体" w:eastAsia="宋体" w:cs="宋体"/>
                <w:sz w:val="24"/>
                <w:szCs w:val="24"/>
              </w:rPr>
            </w:pPr>
            <w:r>
              <w:rPr>
                <w:rFonts w:hint="eastAsia" w:ascii="宋体" w:hAnsi="宋体" w:eastAsia="宋体" w:cs="宋体"/>
                <w:sz w:val="24"/>
                <w:szCs w:val="24"/>
              </w:rPr>
              <w:t>投标报价得分=（评标基准价/投标报价）×</w:t>
            </w:r>
            <w:r>
              <w:rPr>
                <w:rFonts w:hint="eastAsia" w:ascii="宋体" w:hAnsi="宋体" w:eastAsia="宋体" w:cs="宋体"/>
                <w:sz w:val="24"/>
                <w:szCs w:val="24"/>
                <w:u w:val="single"/>
              </w:rPr>
              <w:t xml:space="preserve">  30 </w:t>
            </w:r>
          </w:p>
        </w:tc>
        <w:tc>
          <w:tcPr>
            <w:tcW w:w="967" w:type="dxa"/>
            <w:tcBorders>
              <w:top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u w:val="single"/>
              </w:rPr>
              <w:t xml:space="preserve"> 30 </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8966" w:type="dxa"/>
            <w:gridSpan w:val="3"/>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商务部分（满分</w:t>
            </w:r>
            <w:r>
              <w:rPr>
                <w:rFonts w:hint="eastAsia" w:ascii="宋体" w:hAnsi="宋体" w:eastAsia="宋体" w:cs="宋体"/>
                <w:b/>
                <w:sz w:val="24"/>
                <w:szCs w:val="24"/>
                <w:u w:val="single"/>
              </w:rPr>
              <w:t xml:space="preserve"> </w:t>
            </w:r>
            <w:r>
              <w:rPr>
                <w:rFonts w:hint="eastAsia" w:ascii="宋体" w:hAnsi="宋体" w:eastAsia="宋体" w:cs="宋体"/>
                <w:b/>
                <w:sz w:val="24"/>
                <w:szCs w:val="24"/>
                <w:u w:val="single"/>
                <w:lang w:val="en-US" w:eastAsia="zh-CN"/>
              </w:rPr>
              <w:t>34</w:t>
            </w:r>
            <w:r>
              <w:rPr>
                <w:rFonts w:hint="eastAsia" w:ascii="宋体" w:hAnsi="宋体" w:eastAsia="宋体" w:cs="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62" w:type="dxa"/>
            <w:tcBorders>
              <w:bottom w:val="single" w:color="auto" w:sz="4" w:space="0"/>
            </w:tcBorders>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评分因素</w:t>
            </w:r>
          </w:p>
        </w:tc>
        <w:tc>
          <w:tcPr>
            <w:tcW w:w="6237"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评标标准</w:t>
            </w:r>
          </w:p>
        </w:tc>
        <w:tc>
          <w:tcPr>
            <w:tcW w:w="967"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8" w:hRule="atLeast"/>
        </w:trPr>
        <w:tc>
          <w:tcPr>
            <w:tcW w:w="1762" w:type="dxa"/>
            <w:vAlign w:val="center"/>
          </w:tcPr>
          <w:p>
            <w:pPr>
              <w:spacing w:line="43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信誉</w:t>
            </w:r>
          </w:p>
          <w:p>
            <w:pPr>
              <w:spacing w:line="430" w:lineRule="exact"/>
              <w:ind w:firstLine="241" w:firstLineChars="100"/>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2</w:t>
            </w:r>
            <w:r>
              <w:rPr>
                <w:rFonts w:hint="eastAsia" w:ascii="宋体" w:hAnsi="宋体" w:eastAsia="宋体" w:cs="宋体"/>
                <w:b/>
                <w:sz w:val="24"/>
                <w:szCs w:val="24"/>
              </w:rPr>
              <w:t>分）</w:t>
            </w:r>
          </w:p>
          <w:p>
            <w:pPr>
              <w:spacing w:line="360" w:lineRule="exact"/>
              <w:jc w:val="center"/>
              <w:rPr>
                <w:rFonts w:hint="eastAsia" w:ascii="宋体" w:hAnsi="宋体" w:eastAsia="宋体" w:cs="宋体"/>
                <w:sz w:val="24"/>
                <w:szCs w:val="24"/>
              </w:rPr>
            </w:pPr>
          </w:p>
        </w:tc>
        <w:tc>
          <w:tcPr>
            <w:tcW w:w="6237" w:type="dxa"/>
            <w:vAlign w:val="center"/>
          </w:tcPr>
          <w:p>
            <w:pPr>
              <w:autoSpaceDE w:val="0"/>
              <w:autoSpaceDN w:val="0"/>
              <w:adjustRightInd w:val="0"/>
              <w:spacing w:line="43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满分2分。</w:t>
            </w:r>
          </w:p>
        </w:tc>
        <w:tc>
          <w:tcPr>
            <w:tcW w:w="967" w:type="dxa"/>
            <w:vAlign w:val="center"/>
          </w:tcPr>
          <w:p>
            <w:pPr>
              <w:jc w:val="center"/>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2</w:t>
            </w:r>
            <w:r>
              <w:rPr>
                <w:rFonts w:hint="eastAsia" w:ascii="宋体" w:hAnsi="宋体" w:eastAsia="宋体" w:cs="宋体"/>
                <w:sz w:val="24"/>
                <w:szCs w:val="24"/>
                <w:u w:val="single"/>
              </w:rPr>
              <w:t>分</w:t>
            </w:r>
          </w:p>
          <w:p>
            <w:pPr>
              <w:pStyle w:val="2"/>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62" w:type="dxa"/>
            <w:vAlign w:val="center"/>
          </w:tcPr>
          <w:p>
            <w:pPr>
              <w:spacing w:line="360" w:lineRule="exact"/>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企业实力</w:t>
            </w:r>
          </w:p>
          <w:p>
            <w:pPr>
              <w:spacing w:line="360" w:lineRule="exact"/>
              <w:jc w:val="cente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（14分）</w:t>
            </w:r>
          </w:p>
        </w:tc>
        <w:tc>
          <w:tcPr>
            <w:tcW w:w="6237" w:type="dxa"/>
            <w:vAlign w:val="center"/>
          </w:tcPr>
          <w:p>
            <w:pPr>
              <w:autoSpaceDE w:val="0"/>
              <w:autoSpaceDN w:val="0"/>
              <w:adjustRightInd w:val="0"/>
              <w:spacing w:line="43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lang w:val="en-US" w:eastAsia="zh-CN"/>
              </w:rPr>
              <w:t>1</w:t>
            </w:r>
            <w:r>
              <w:rPr>
                <w:rFonts w:hint="eastAsia" w:ascii="宋体" w:hAnsi="宋体" w:eastAsia="宋体" w:cs="宋体"/>
                <w:bCs/>
                <w:sz w:val="24"/>
                <w:szCs w:val="24"/>
              </w:rPr>
              <w:t>、投标人获得</w:t>
            </w:r>
            <w:r>
              <w:rPr>
                <w:rFonts w:hint="eastAsia" w:ascii="宋体" w:hAnsi="宋体" w:eastAsia="宋体" w:cs="宋体"/>
                <w:bCs/>
                <w:sz w:val="24"/>
                <w:szCs w:val="24"/>
                <w:lang w:eastAsia="zh-CN"/>
              </w:rPr>
              <w:t>评估机构出具的</w:t>
            </w:r>
            <w:r>
              <w:rPr>
                <w:rFonts w:hint="eastAsia" w:ascii="宋体" w:hAnsi="宋体" w:eastAsia="宋体" w:cs="宋体"/>
                <w:bCs/>
                <w:sz w:val="24"/>
                <w:szCs w:val="24"/>
              </w:rPr>
              <w:t>信用AAA证书</w:t>
            </w:r>
            <w:r>
              <w:rPr>
                <w:rFonts w:hint="eastAsia" w:ascii="宋体" w:hAnsi="宋体" w:eastAsia="宋体" w:cs="宋体"/>
                <w:bCs/>
                <w:sz w:val="24"/>
                <w:szCs w:val="24"/>
                <w:lang w:eastAsia="zh-CN"/>
              </w:rPr>
              <w:t>或</w:t>
            </w:r>
            <w:r>
              <w:rPr>
                <w:rFonts w:hint="eastAsia" w:ascii="宋体" w:hAnsi="宋体" w:eastAsia="宋体" w:cs="宋体"/>
                <w:bCs/>
                <w:sz w:val="24"/>
                <w:szCs w:val="24"/>
                <w:lang w:val="en-US" w:eastAsia="zh-CN"/>
              </w:rPr>
              <w:t>AAA信用报告</w:t>
            </w:r>
            <w:r>
              <w:rPr>
                <w:rFonts w:hint="eastAsia" w:ascii="宋体" w:hAnsi="宋体" w:eastAsia="宋体" w:cs="宋体"/>
                <w:bCs/>
                <w:sz w:val="24"/>
                <w:szCs w:val="24"/>
              </w:rPr>
              <w:t>的,得1分,没有不得分。</w:t>
            </w:r>
          </w:p>
          <w:p>
            <w:pPr>
              <w:autoSpaceDE w:val="0"/>
              <w:autoSpaceDN w:val="0"/>
              <w:adjustRightInd w:val="0"/>
              <w:spacing w:line="43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、投标人获得知识产权管理体系认证证书的,得</w:t>
            </w:r>
            <w:r>
              <w:rPr>
                <w:rFonts w:hint="eastAsia" w:ascii="宋体" w:hAnsi="宋体" w:eastAsia="宋体" w:cs="宋体"/>
                <w:bCs/>
                <w:sz w:val="24"/>
                <w:szCs w:val="24"/>
                <w:lang w:val="en-US" w:eastAsia="zh-CN"/>
              </w:rPr>
              <w:t>3</w:t>
            </w:r>
            <w:r>
              <w:rPr>
                <w:rFonts w:hint="eastAsia" w:ascii="宋体" w:hAnsi="宋体" w:eastAsia="宋体" w:cs="宋体"/>
                <w:bCs/>
                <w:sz w:val="24"/>
                <w:szCs w:val="24"/>
              </w:rPr>
              <w:t>分，没有不得分。</w:t>
            </w:r>
          </w:p>
          <w:p>
            <w:pPr>
              <w:autoSpaceDE w:val="0"/>
              <w:autoSpaceDN w:val="0"/>
              <w:adjustRightInd w:val="0"/>
              <w:spacing w:line="43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lang w:val="en-US" w:eastAsia="zh-CN"/>
              </w:rPr>
              <w:t>3</w:t>
            </w:r>
            <w:r>
              <w:rPr>
                <w:rFonts w:hint="eastAsia" w:ascii="宋体" w:hAnsi="宋体" w:eastAsia="宋体" w:cs="宋体"/>
                <w:bCs/>
                <w:sz w:val="24"/>
                <w:szCs w:val="24"/>
              </w:rPr>
              <w:t>、投标人获得</w:t>
            </w:r>
            <w:r>
              <w:rPr>
                <w:rFonts w:hint="eastAsia" w:ascii="宋体" w:hAnsi="宋体" w:eastAsia="宋体" w:cs="宋体"/>
                <w:bCs/>
                <w:sz w:val="24"/>
                <w:szCs w:val="24"/>
                <w:lang w:eastAsia="zh-CN"/>
              </w:rPr>
              <w:t>“</w:t>
            </w:r>
            <w:r>
              <w:rPr>
                <w:rFonts w:hint="eastAsia" w:ascii="宋体" w:hAnsi="宋体" w:eastAsia="宋体" w:cs="宋体"/>
                <w:bCs/>
                <w:sz w:val="24"/>
                <w:szCs w:val="24"/>
              </w:rPr>
              <w:t>国家交通或公路政府部门</w:t>
            </w:r>
            <w:r>
              <w:rPr>
                <w:rFonts w:hint="eastAsia" w:ascii="宋体" w:hAnsi="宋体" w:eastAsia="宋体" w:cs="宋体"/>
                <w:bCs/>
                <w:sz w:val="24"/>
                <w:szCs w:val="24"/>
                <w:lang w:eastAsia="zh-CN"/>
              </w:rPr>
              <w:t>”或“国家</w:t>
            </w:r>
            <w:r>
              <w:rPr>
                <w:rFonts w:hint="eastAsia" w:ascii="宋体" w:hAnsi="宋体" w:eastAsia="宋体" w:cs="宋体"/>
                <w:bCs/>
                <w:sz w:val="24"/>
                <w:szCs w:val="24"/>
              </w:rPr>
              <w:t>交通或公路行业</w:t>
            </w:r>
            <w:r>
              <w:rPr>
                <w:rFonts w:hint="eastAsia" w:ascii="宋体" w:hAnsi="宋体" w:eastAsia="宋体" w:cs="宋体"/>
                <w:bCs/>
                <w:sz w:val="24"/>
                <w:szCs w:val="24"/>
                <w:lang w:eastAsia="zh-CN"/>
              </w:rPr>
              <w:t>协会”</w:t>
            </w:r>
            <w:r>
              <w:rPr>
                <w:rFonts w:hint="eastAsia" w:ascii="宋体" w:hAnsi="宋体" w:eastAsia="宋体" w:cs="宋体"/>
                <w:bCs/>
                <w:sz w:val="24"/>
                <w:szCs w:val="24"/>
              </w:rPr>
              <w:t>颁发</w:t>
            </w:r>
            <w:r>
              <w:rPr>
                <w:rFonts w:hint="eastAsia" w:ascii="宋体" w:hAnsi="宋体" w:eastAsia="宋体" w:cs="宋体"/>
                <w:bCs/>
                <w:sz w:val="24"/>
                <w:szCs w:val="24"/>
                <w:lang w:eastAsia="zh-CN"/>
              </w:rPr>
              <w:t>的</w:t>
            </w:r>
            <w:r>
              <w:rPr>
                <w:rFonts w:hint="eastAsia" w:ascii="宋体" w:hAnsi="宋体" w:eastAsia="宋体" w:cs="宋体"/>
                <w:bCs/>
                <w:sz w:val="24"/>
                <w:szCs w:val="24"/>
              </w:rPr>
              <w:t>行业突出贡献及道路建养成果认可证书的,每个2.5分，满分5分。</w:t>
            </w:r>
          </w:p>
          <w:p>
            <w:pPr>
              <w:autoSpaceDE w:val="0"/>
              <w:autoSpaceDN w:val="0"/>
              <w:adjustRightInd w:val="0"/>
              <w:spacing w:line="43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bCs/>
                <w:sz w:val="24"/>
                <w:szCs w:val="24"/>
                <w:lang w:val="en-US" w:eastAsia="zh-CN"/>
              </w:rPr>
              <w:t>4</w:t>
            </w:r>
            <w:r>
              <w:rPr>
                <w:rFonts w:hint="eastAsia" w:ascii="宋体" w:hAnsi="宋体" w:eastAsia="宋体" w:cs="宋体"/>
                <w:bCs/>
                <w:sz w:val="24"/>
                <w:szCs w:val="24"/>
              </w:rPr>
              <w:t>、投标人获得</w:t>
            </w:r>
            <w:r>
              <w:rPr>
                <w:rFonts w:hint="eastAsia" w:ascii="宋体" w:hAnsi="宋体" w:eastAsia="宋体" w:cs="宋体"/>
                <w:bCs/>
                <w:sz w:val="24"/>
                <w:szCs w:val="24"/>
                <w:lang w:eastAsia="zh-CN"/>
              </w:rPr>
              <w:t>与“所投产品”相关的</w:t>
            </w:r>
            <w:r>
              <w:rPr>
                <w:rFonts w:hint="eastAsia" w:ascii="宋体" w:hAnsi="宋体" w:eastAsia="宋体" w:cs="宋体"/>
                <w:bCs/>
                <w:sz w:val="24"/>
                <w:szCs w:val="24"/>
              </w:rPr>
              <w:t>国家专利产品证书的每项得1分，最高得</w:t>
            </w:r>
            <w:r>
              <w:rPr>
                <w:rFonts w:hint="eastAsia" w:ascii="宋体" w:hAnsi="宋体" w:eastAsia="宋体" w:cs="宋体"/>
                <w:bCs/>
                <w:sz w:val="24"/>
                <w:szCs w:val="24"/>
                <w:lang w:val="en-US" w:eastAsia="zh-CN"/>
              </w:rPr>
              <w:t>5</w:t>
            </w:r>
            <w:r>
              <w:rPr>
                <w:rFonts w:hint="eastAsia" w:ascii="宋体" w:hAnsi="宋体" w:eastAsia="宋体" w:cs="宋体"/>
                <w:bCs/>
                <w:sz w:val="24"/>
                <w:szCs w:val="24"/>
              </w:rPr>
              <w:t>分。</w:t>
            </w:r>
          </w:p>
        </w:tc>
        <w:tc>
          <w:tcPr>
            <w:tcW w:w="967" w:type="dxa"/>
            <w:vAlign w:val="center"/>
          </w:tcPr>
          <w:p>
            <w:pPr>
              <w:pStyle w:val="2"/>
              <w:rPr>
                <w:rFonts w:hint="eastAsia" w:ascii="宋体" w:hAnsi="宋体" w:eastAsia="宋体" w:cs="宋体"/>
                <w:sz w:val="24"/>
                <w:szCs w:val="24"/>
                <w:lang w:val="en-US" w:eastAsia="zh-CN"/>
              </w:rPr>
            </w:pPr>
            <w:r>
              <w:rPr>
                <w:rFonts w:hint="eastAsia" w:ascii="宋体" w:hAnsi="宋体" w:eastAsia="宋体" w:cs="宋体"/>
                <w:kern w:val="2"/>
                <w:sz w:val="24"/>
                <w:szCs w:val="24"/>
                <w:u w:val="single"/>
                <w:lang w:val="en-US" w:eastAsia="zh-CN" w:bidi="ar-SA"/>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Align w:val="center"/>
          </w:tcPr>
          <w:p>
            <w:pPr>
              <w:spacing w:line="430" w:lineRule="exact"/>
              <w:ind w:firstLine="482" w:firstLineChars="200"/>
              <w:rPr>
                <w:rFonts w:hint="eastAsia" w:ascii="宋体" w:hAnsi="宋体" w:eastAsia="宋体" w:cs="宋体"/>
                <w:b/>
                <w:sz w:val="24"/>
                <w:szCs w:val="24"/>
              </w:rPr>
            </w:pPr>
          </w:p>
          <w:p>
            <w:pPr>
              <w:spacing w:line="430" w:lineRule="exact"/>
              <w:ind w:firstLine="241" w:firstLineChars="100"/>
              <w:rPr>
                <w:rFonts w:hint="eastAsia" w:ascii="宋体" w:hAnsi="宋体" w:eastAsia="宋体" w:cs="宋体"/>
                <w:b/>
                <w:sz w:val="24"/>
                <w:szCs w:val="24"/>
              </w:rPr>
            </w:pPr>
            <w:r>
              <w:rPr>
                <w:rFonts w:hint="eastAsia" w:ascii="宋体" w:hAnsi="宋体" w:eastAsia="宋体" w:cs="宋体"/>
                <w:b/>
                <w:sz w:val="24"/>
                <w:szCs w:val="24"/>
              </w:rPr>
              <w:t xml:space="preserve"> </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业绩</w:t>
            </w:r>
          </w:p>
          <w:p>
            <w:pPr>
              <w:spacing w:line="430" w:lineRule="exact"/>
              <w:ind w:firstLine="241" w:firstLineChars="100"/>
              <w:rPr>
                <w:rFonts w:hint="eastAsia" w:ascii="宋体" w:hAnsi="宋体" w:eastAsia="宋体" w:cs="宋体"/>
                <w:sz w:val="24"/>
                <w:szCs w:val="24"/>
              </w:rPr>
            </w:pPr>
            <w:r>
              <w:rPr>
                <w:rFonts w:hint="eastAsia" w:ascii="宋体" w:hAnsi="宋体" w:eastAsia="宋体" w:cs="宋体"/>
                <w:b/>
                <w:sz w:val="24"/>
                <w:szCs w:val="24"/>
              </w:rPr>
              <w:t>（8分）</w:t>
            </w:r>
          </w:p>
        </w:tc>
        <w:tc>
          <w:tcPr>
            <w:tcW w:w="6237" w:type="dxa"/>
            <w:vAlign w:val="center"/>
          </w:tcPr>
          <w:p>
            <w:pPr>
              <w:autoSpaceDE w:val="0"/>
              <w:autoSpaceDN w:val="0"/>
              <w:adjustRightInd w:val="0"/>
              <w:spacing w:line="43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投标人2015年以来具有类似项目业绩</w:t>
            </w:r>
            <w:r>
              <w:rPr>
                <w:rFonts w:hint="eastAsia" w:ascii="宋体" w:hAnsi="宋体" w:eastAsia="宋体" w:cs="宋体"/>
                <w:bCs/>
                <w:sz w:val="24"/>
                <w:szCs w:val="24"/>
              </w:rPr>
              <w:t>：</w:t>
            </w:r>
            <w:r>
              <w:rPr>
                <w:rFonts w:hint="eastAsia" w:ascii="宋体" w:hAnsi="宋体" w:eastAsia="宋体" w:cs="宋体"/>
                <w:sz w:val="24"/>
                <w:szCs w:val="24"/>
              </w:rPr>
              <w:t>每个合同得2分（需提供中标网址截图、中标通知书、合同及验收报告），满分为8分(以合同签订日期为准)。</w:t>
            </w:r>
          </w:p>
          <w:p>
            <w:pPr>
              <w:autoSpaceDE w:val="0"/>
              <w:autoSpaceDN w:val="0"/>
              <w:adjustRightInd w:val="0"/>
              <w:spacing w:line="43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类似项目业绩是指：</w:t>
            </w:r>
          </w:p>
          <w:p>
            <w:pPr>
              <w:autoSpaceDE w:val="0"/>
              <w:autoSpaceDN w:val="0"/>
              <w:adjustRightInd w:val="0"/>
              <w:spacing w:line="430" w:lineRule="exact"/>
              <w:ind w:firstLine="241" w:firstLineChars="100"/>
              <w:rPr>
                <w:rFonts w:hint="eastAsia" w:ascii="宋体" w:hAnsi="宋体" w:eastAsia="宋体" w:cs="宋体"/>
                <w:b/>
                <w:bCs/>
                <w:sz w:val="24"/>
                <w:szCs w:val="24"/>
                <w:lang w:eastAsia="zh-CN"/>
              </w:rPr>
            </w:pPr>
            <w:r>
              <w:rPr>
                <w:rFonts w:hint="eastAsia" w:ascii="宋体" w:hAnsi="宋体" w:eastAsia="宋体" w:cs="宋体"/>
                <w:b/>
                <w:bCs/>
                <w:sz w:val="24"/>
                <w:szCs w:val="24"/>
              </w:rPr>
              <w:t>A包：合同价格不低于200万</w:t>
            </w:r>
            <w:r>
              <w:rPr>
                <w:rFonts w:hint="eastAsia" w:ascii="宋体" w:hAnsi="宋体" w:eastAsia="宋体" w:cs="宋体"/>
                <w:b/>
                <w:bCs/>
                <w:sz w:val="24"/>
                <w:szCs w:val="24"/>
                <w:lang w:eastAsia="zh-CN"/>
              </w:rPr>
              <w:t>；</w:t>
            </w:r>
            <w:r>
              <w:rPr>
                <w:rFonts w:hint="eastAsia" w:ascii="宋体" w:hAnsi="宋体" w:eastAsia="宋体" w:cs="宋体"/>
                <w:b/>
                <w:bCs/>
                <w:sz w:val="24"/>
                <w:szCs w:val="24"/>
              </w:rPr>
              <w:t>B包：合同价不低于60万</w:t>
            </w:r>
            <w:r>
              <w:rPr>
                <w:rFonts w:hint="eastAsia" w:ascii="宋体" w:hAnsi="宋体" w:eastAsia="宋体" w:cs="宋体"/>
                <w:b/>
                <w:bCs/>
                <w:sz w:val="24"/>
                <w:szCs w:val="24"/>
                <w:lang w:eastAsia="zh-CN"/>
              </w:rPr>
              <w:t>；</w:t>
            </w:r>
          </w:p>
          <w:p>
            <w:pPr>
              <w:autoSpaceDE w:val="0"/>
              <w:autoSpaceDN w:val="0"/>
              <w:adjustRightInd w:val="0"/>
              <w:spacing w:line="430" w:lineRule="exact"/>
              <w:ind w:firstLine="241" w:firstLineChars="100"/>
              <w:rPr>
                <w:rFonts w:hint="eastAsia" w:ascii="宋体" w:hAnsi="宋体" w:eastAsia="宋体" w:cs="宋体"/>
                <w:b/>
                <w:bCs/>
                <w:sz w:val="24"/>
                <w:szCs w:val="24"/>
                <w:lang w:eastAsia="zh-CN"/>
              </w:rPr>
            </w:pPr>
            <w:r>
              <w:rPr>
                <w:rFonts w:hint="eastAsia" w:ascii="宋体" w:hAnsi="宋体" w:eastAsia="宋体" w:cs="宋体"/>
                <w:b/>
                <w:bCs/>
                <w:sz w:val="24"/>
                <w:szCs w:val="24"/>
              </w:rPr>
              <w:t>C包：合同价不低于200万</w:t>
            </w:r>
            <w:r>
              <w:rPr>
                <w:rFonts w:hint="eastAsia" w:ascii="宋体" w:hAnsi="宋体" w:eastAsia="宋体" w:cs="宋体"/>
                <w:b/>
                <w:bCs/>
                <w:sz w:val="24"/>
                <w:szCs w:val="24"/>
                <w:lang w:eastAsia="zh-CN"/>
              </w:rPr>
              <w:t>；</w:t>
            </w:r>
            <w:r>
              <w:rPr>
                <w:rFonts w:hint="eastAsia" w:ascii="宋体" w:hAnsi="宋体" w:eastAsia="宋体" w:cs="宋体"/>
                <w:b/>
                <w:bCs/>
                <w:sz w:val="24"/>
                <w:szCs w:val="24"/>
              </w:rPr>
              <w:t>D包：合同价不低于100万</w:t>
            </w:r>
            <w:r>
              <w:rPr>
                <w:rFonts w:hint="eastAsia" w:ascii="宋体" w:hAnsi="宋体" w:eastAsia="宋体" w:cs="宋体"/>
                <w:b/>
                <w:bCs/>
                <w:sz w:val="24"/>
                <w:szCs w:val="24"/>
                <w:lang w:eastAsia="zh-CN"/>
              </w:rPr>
              <w:t>；</w:t>
            </w:r>
          </w:p>
          <w:p>
            <w:pPr>
              <w:autoSpaceDE w:val="0"/>
              <w:autoSpaceDN w:val="0"/>
              <w:adjustRightInd w:val="0"/>
              <w:spacing w:line="430" w:lineRule="exact"/>
              <w:ind w:firstLine="241" w:firstLineChars="100"/>
              <w:rPr>
                <w:rFonts w:hint="eastAsia" w:ascii="宋体" w:hAnsi="宋体" w:eastAsia="宋体" w:cs="宋体"/>
                <w:bCs/>
                <w:sz w:val="24"/>
                <w:szCs w:val="24"/>
              </w:rPr>
            </w:pPr>
            <w:r>
              <w:rPr>
                <w:rFonts w:hint="eastAsia" w:ascii="宋体" w:hAnsi="宋体" w:eastAsia="宋体" w:cs="宋体"/>
                <w:b/>
                <w:bCs/>
                <w:sz w:val="24"/>
                <w:szCs w:val="24"/>
              </w:rPr>
              <w:t>E包：合同价不低于50万</w:t>
            </w:r>
            <w:r>
              <w:rPr>
                <w:rFonts w:hint="eastAsia" w:ascii="宋体" w:hAnsi="宋体" w:eastAsia="宋体" w:cs="宋体"/>
                <w:b/>
                <w:bCs/>
                <w:sz w:val="24"/>
                <w:szCs w:val="24"/>
                <w:lang w:eastAsia="zh-CN"/>
              </w:rPr>
              <w:t>；</w:t>
            </w:r>
            <w:r>
              <w:rPr>
                <w:rFonts w:hint="eastAsia" w:ascii="宋体" w:hAnsi="宋体" w:eastAsia="宋体" w:cs="宋体"/>
                <w:b/>
                <w:bCs/>
                <w:sz w:val="24"/>
                <w:szCs w:val="24"/>
              </w:rPr>
              <w:t>F包：合同价不低于100万。</w:t>
            </w:r>
          </w:p>
        </w:tc>
        <w:tc>
          <w:tcPr>
            <w:tcW w:w="967" w:type="dxa"/>
            <w:vAlign w:val="center"/>
          </w:tcPr>
          <w:p>
            <w:pPr>
              <w:jc w:val="center"/>
              <w:rPr>
                <w:rFonts w:hint="eastAsia" w:ascii="宋体" w:hAnsi="宋体" w:eastAsia="宋体" w:cs="宋体"/>
                <w:sz w:val="24"/>
                <w:szCs w:val="24"/>
                <w:u w:val="single"/>
              </w:rPr>
            </w:pPr>
            <w:r>
              <w:rPr>
                <w:rFonts w:hint="eastAsia" w:ascii="宋体" w:hAnsi="宋体" w:eastAsia="宋体" w:cs="宋体"/>
                <w:sz w:val="24"/>
                <w:szCs w:val="24"/>
                <w:u w:val="single"/>
              </w:rPr>
              <w:t xml:space="preserve"> 8 </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8" w:hRule="atLeast"/>
        </w:trPr>
        <w:tc>
          <w:tcPr>
            <w:tcW w:w="1762"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售后服务</w:t>
            </w:r>
          </w:p>
          <w:p>
            <w:pPr>
              <w:spacing w:line="400" w:lineRule="exact"/>
              <w:jc w:val="center"/>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10</w:t>
            </w:r>
            <w:r>
              <w:rPr>
                <w:rFonts w:hint="eastAsia" w:ascii="宋体" w:hAnsi="宋体" w:eastAsia="宋体" w:cs="宋体"/>
                <w:b/>
                <w:sz w:val="24"/>
                <w:szCs w:val="24"/>
              </w:rPr>
              <w:t>分）</w:t>
            </w:r>
          </w:p>
        </w:tc>
        <w:tc>
          <w:tcPr>
            <w:tcW w:w="6237" w:type="dxa"/>
            <w:vAlign w:val="center"/>
          </w:tcPr>
          <w:p>
            <w:pPr>
              <w:autoSpaceDE w:val="0"/>
              <w:autoSpaceDN w:val="0"/>
              <w:adjustRightInd w:val="0"/>
              <w:spacing w:line="430" w:lineRule="exact"/>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有详细的售后服务计划，明确产品质保期，并配备专职维修人员1人的，得0.5分，2人的，得1分，3人及以上的，得2分；备有常用备件、售后服务系统完善的,得2分；免费提供专业技术培训，为业主培养合格的操作人员，服务工程师免费上门进行培训1分。满分5分。</w:t>
            </w:r>
          </w:p>
          <w:p>
            <w:pPr>
              <w:autoSpaceDE w:val="0"/>
              <w:autoSpaceDN w:val="0"/>
              <w:adjustRightInd w:val="0"/>
              <w:spacing w:line="430" w:lineRule="exact"/>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2、技术支持、售后服务程序合理，人员配备技术力量强</w:t>
            </w:r>
            <w:r>
              <w:rPr>
                <w:rFonts w:hint="eastAsia" w:ascii="宋体" w:hAnsi="宋体" w:eastAsia="宋体" w:cs="宋体"/>
                <w:bCs/>
                <w:color w:val="auto"/>
                <w:sz w:val="24"/>
                <w:szCs w:val="24"/>
                <w:lang w:val="en-US" w:eastAsia="zh-CN"/>
              </w:rPr>
              <w:t>，能够提供1小时内上门维护维修服务2分，提供1小时以上上门维护维修服务0.5分，不满</w:t>
            </w:r>
            <w:r>
              <w:rPr>
                <w:rFonts w:hint="eastAsia" w:ascii="宋体" w:hAnsi="宋体" w:eastAsia="宋体" w:cs="宋体"/>
                <w:bCs/>
                <w:sz w:val="24"/>
                <w:szCs w:val="24"/>
                <w:lang w:val="en-US" w:eastAsia="zh-CN"/>
              </w:rPr>
              <w:t>足不得分，满分2分。</w:t>
            </w:r>
          </w:p>
          <w:p>
            <w:pPr>
              <w:autoSpaceDE w:val="0"/>
              <w:autoSpaceDN w:val="0"/>
              <w:adjustRightInd w:val="0"/>
              <w:spacing w:line="43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bCs/>
                <w:sz w:val="24"/>
                <w:szCs w:val="24"/>
                <w:lang w:val="en-US" w:eastAsia="zh-CN"/>
              </w:rPr>
              <w:t xml:space="preserve"> 3、提供免费质量保障，在车辆质保期（按国家汽车三包标准）结束后每延长1年质保，得1分，满分3分。</w:t>
            </w:r>
          </w:p>
        </w:tc>
        <w:tc>
          <w:tcPr>
            <w:tcW w:w="967"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val="single"/>
              </w:rPr>
              <w:t xml:space="preserve"> 1</w:t>
            </w:r>
            <w:r>
              <w:rPr>
                <w:rFonts w:hint="eastAsia" w:ascii="宋体" w:hAnsi="宋体" w:eastAsia="宋体" w:cs="宋体"/>
                <w:sz w:val="24"/>
                <w:szCs w:val="24"/>
                <w:u w:val="single"/>
                <w:lang w:val="en-US" w:eastAsia="zh-CN"/>
              </w:rPr>
              <w:t>0</w:t>
            </w:r>
            <w:r>
              <w:rPr>
                <w:rFonts w:hint="eastAsia" w:ascii="宋体" w:hAnsi="宋体" w:eastAsia="宋体" w:cs="宋体"/>
                <w:sz w:val="24"/>
                <w:szCs w:val="24"/>
                <w:u w:val="single"/>
              </w:rPr>
              <w:t xml:space="preserve"> </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8966" w:type="dxa"/>
            <w:gridSpan w:val="3"/>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技术部分（满分</w:t>
            </w:r>
            <w:r>
              <w:rPr>
                <w:rFonts w:hint="eastAsia" w:ascii="宋体" w:hAnsi="宋体" w:eastAsia="宋体" w:cs="宋体"/>
                <w:b/>
                <w:sz w:val="24"/>
                <w:szCs w:val="24"/>
                <w:u w:val="single"/>
              </w:rPr>
              <w:t xml:space="preserve"> 3</w:t>
            </w:r>
            <w:r>
              <w:rPr>
                <w:rFonts w:hint="eastAsia" w:ascii="宋体" w:hAnsi="宋体" w:eastAsia="宋体" w:cs="宋体"/>
                <w:b/>
                <w:sz w:val="24"/>
                <w:szCs w:val="24"/>
                <w:u w:val="single"/>
                <w:lang w:val="en-US" w:eastAsia="zh-CN"/>
              </w:rPr>
              <w:t>6</w:t>
            </w:r>
            <w:r>
              <w:rPr>
                <w:rFonts w:hint="eastAsia" w:ascii="宋体" w:hAnsi="宋体" w:eastAsia="宋体" w:cs="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762"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评分因素</w:t>
            </w:r>
          </w:p>
        </w:tc>
        <w:tc>
          <w:tcPr>
            <w:tcW w:w="6237"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评标标准</w:t>
            </w:r>
          </w:p>
        </w:tc>
        <w:tc>
          <w:tcPr>
            <w:tcW w:w="967"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Align w:val="center"/>
          </w:tcPr>
          <w:p>
            <w:pPr>
              <w:numPr>
                <w:ilvl w:val="0"/>
                <w:numId w:val="0"/>
              </w:numPr>
              <w:spacing w:line="360" w:lineRule="exact"/>
              <w:ind w:firstLine="240" w:firstLineChars="100"/>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投标文件的</w:t>
            </w:r>
          </w:p>
          <w:p>
            <w:pPr>
              <w:numPr>
                <w:ilvl w:val="0"/>
                <w:numId w:val="0"/>
              </w:numPr>
              <w:spacing w:line="360" w:lineRule="exact"/>
              <w:ind w:firstLine="240" w:firstLineChars="100"/>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规范程度</w:t>
            </w:r>
          </w:p>
        </w:tc>
        <w:tc>
          <w:tcPr>
            <w:tcW w:w="6237" w:type="dxa"/>
            <w:vAlign w:val="center"/>
          </w:tcPr>
          <w:p>
            <w:pPr>
              <w:numPr>
                <w:ilvl w:val="0"/>
                <w:numId w:val="0"/>
              </w:numPr>
              <w:spacing w:line="360" w:lineRule="exact"/>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1、投标文件的编制符合招标文件的规定，装订整齐规范的，文字清晰、无差错，得1分；</w:t>
            </w:r>
          </w:p>
          <w:p>
            <w:pPr>
              <w:numPr>
                <w:ilvl w:val="0"/>
                <w:numId w:val="0"/>
              </w:numPr>
              <w:spacing w:line="360" w:lineRule="exact"/>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2、所提供资料准确完整得1分。</w:t>
            </w:r>
          </w:p>
        </w:tc>
        <w:tc>
          <w:tcPr>
            <w:tcW w:w="967" w:type="dxa"/>
            <w:vAlign w:val="center"/>
          </w:tcPr>
          <w:p>
            <w:pPr>
              <w:jc w:val="center"/>
              <w:rPr>
                <w:rFonts w:hint="eastAsia" w:ascii="宋体" w:hAnsi="宋体" w:eastAsia="宋体" w:cs="宋体"/>
                <w:sz w:val="24"/>
                <w:szCs w:val="24"/>
                <w:u w:val="single"/>
              </w:rPr>
            </w:pPr>
            <w:r>
              <w:rPr>
                <w:rFonts w:hint="eastAsia" w:ascii="宋体" w:hAnsi="宋体" w:eastAsia="宋体" w:cs="宋体"/>
                <w:sz w:val="24"/>
                <w:szCs w:val="24"/>
              </w:rPr>
              <w:t xml:space="preserve"> 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1762" w:type="dxa"/>
            <w:vAlign w:val="center"/>
          </w:tcPr>
          <w:p>
            <w:pPr>
              <w:jc w:val="center"/>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对招标文件的响应程度</w:t>
            </w:r>
          </w:p>
          <w:p>
            <w:pPr>
              <w:spacing w:line="360" w:lineRule="exact"/>
              <w:jc w:val="center"/>
              <w:rPr>
                <w:rFonts w:hint="eastAsia" w:ascii="宋体" w:hAnsi="宋体" w:eastAsia="宋体" w:cs="宋体"/>
                <w:kern w:val="0"/>
                <w:sz w:val="24"/>
                <w:szCs w:val="24"/>
                <w:lang w:val="zh-CN" w:eastAsia="zh-CN" w:bidi="ar-SA"/>
              </w:rPr>
            </w:pPr>
          </w:p>
        </w:tc>
        <w:tc>
          <w:tcPr>
            <w:tcW w:w="6237" w:type="dxa"/>
            <w:vAlign w:val="center"/>
          </w:tcPr>
          <w:p>
            <w:pPr>
              <w:spacing w:line="360" w:lineRule="exact"/>
              <w:ind w:firstLine="241" w:firstLineChars="100"/>
              <w:rPr>
                <w:rFonts w:hint="eastAsia" w:ascii="宋体" w:hAnsi="宋体" w:eastAsia="宋体" w:cs="宋体"/>
                <w:b/>
                <w:bCs/>
                <w:sz w:val="24"/>
                <w:szCs w:val="24"/>
                <w:lang w:val="zh-CN" w:eastAsia="zh-CN"/>
              </w:rPr>
            </w:pPr>
            <w:r>
              <w:rPr>
                <w:rFonts w:hint="eastAsia" w:ascii="宋体" w:hAnsi="宋体" w:eastAsia="宋体" w:cs="宋体"/>
                <w:b/>
                <w:bCs/>
                <w:sz w:val="24"/>
                <w:szCs w:val="24"/>
                <w:lang w:val="zh-CN" w:eastAsia="zh-CN"/>
              </w:rPr>
              <w:t>不满足招标文件技术指标要求和商务条款规定的为无效投标。</w:t>
            </w:r>
          </w:p>
          <w:p>
            <w:pPr>
              <w:pStyle w:val="2"/>
              <w:numPr>
                <w:ilvl w:val="0"/>
                <w:numId w:val="6"/>
              </w:numPr>
              <w:ind w:firstLine="240" w:firstLineChars="1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车辆性能参数</w:t>
            </w:r>
            <w:r>
              <w:rPr>
                <w:rFonts w:hint="eastAsia" w:ascii="宋体" w:hAnsi="宋体" w:eastAsia="宋体" w:cs="宋体"/>
                <w:kern w:val="0"/>
                <w:sz w:val="24"/>
                <w:szCs w:val="24"/>
                <w:lang w:val="zh-CN" w:eastAsia="zh-CN" w:bidi="ar-SA"/>
              </w:rPr>
              <w:t>：</w:t>
            </w:r>
            <w:r>
              <w:rPr>
                <w:rFonts w:hint="eastAsia" w:ascii="宋体" w:hAnsi="宋体" w:eastAsia="宋体" w:cs="宋体"/>
                <w:kern w:val="0"/>
                <w:sz w:val="24"/>
                <w:szCs w:val="24"/>
                <w:lang w:val="en-US" w:eastAsia="zh-CN" w:bidi="ar-SA"/>
              </w:rPr>
              <w:t>1) 所提供的资料（如公司宣传图片等）能佐证所投产品的主要技术参数及功能和配置标准的，得15分；所提供的资料（如公司宣传图片等）仅能部分佐证所投产品的主要技术参数及功能和配置的，得8分；无提供资料或提供的资料与所投产品的规格型号不一致，或彩页资料不能佐证所投产品的主要技术参数及功能和配置标准的，不得分；</w:t>
            </w:r>
          </w:p>
          <w:p>
            <w:pPr>
              <w:pStyle w:val="2"/>
              <w:numPr>
                <w:ilvl w:val="0"/>
                <w:numId w:val="0"/>
              </w:numPr>
              <w:ind w:firstLine="240" w:firstLineChars="1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2、车辆售后服务承诺：1）</w:t>
            </w:r>
            <w:r>
              <w:rPr>
                <w:rFonts w:hint="eastAsia" w:ascii="宋体" w:hAnsi="宋体" w:eastAsia="宋体" w:cs="宋体"/>
                <w:kern w:val="0"/>
                <w:sz w:val="24"/>
                <w:szCs w:val="24"/>
                <w:lang w:val="zh-CN" w:eastAsia="zh-CN" w:bidi="ar-SA"/>
              </w:rPr>
              <w:t>售后服务表述清晰、完整，措施具体有效可行，定期派人员上门负责维护设备的，得</w:t>
            </w:r>
            <w:r>
              <w:rPr>
                <w:rFonts w:hint="eastAsia" w:ascii="宋体" w:hAnsi="宋体" w:eastAsia="宋体" w:cs="宋体"/>
                <w:kern w:val="0"/>
                <w:sz w:val="24"/>
                <w:szCs w:val="24"/>
                <w:lang w:val="en-US" w:eastAsia="zh-CN" w:bidi="ar-SA"/>
              </w:rPr>
              <w:t>10分</w:t>
            </w:r>
            <w:r>
              <w:rPr>
                <w:rFonts w:hint="eastAsia" w:ascii="宋体" w:hAnsi="宋体" w:eastAsia="宋体" w:cs="宋体"/>
                <w:kern w:val="0"/>
                <w:sz w:val="24"/>
                <w:szCs w:val="24"/>
                <w:lang w:val="zh-CN" w:eastAsia="zh-CN" w:bidi="ar-SA"/>
              </w:rPr>
              <w:t>；</w:t>
            </w:r>
            <w:r>
              <w:rPr>
                <w:rFonts w:hint="eastAsia" w:ascii="宋体" w:hAnsi="宋体" w:eastAsia="宋体" w:cs="宋体"/>
                <w:kern w:val="0"/>
                <w:sz w:val="24"/>
                <w:szCs w:val="24"/>
                <w:lang w:val="en-US" w:eastAsia="zh-CN" w:bidi="ar-SA"/>
              </w:rPr>
              <w:t>2)</w:t>
            </w:r>
            <w:r>
              <w:rPr>
                <w:rFonts w:hint="eastAsia" w:ascii="宋体" w:hAnsi="宋体" w:eastAsia="宋体" w:cs="宋体"/>
                <w:kern w:val="0"/>
                <w:sz w:val="24"/>
                <w:szCs w:val="24"/>
                <w:lang w:val="zh-CN" w:eastAsia="zh-CN" w:bidi="ar-SA"/>
              </w:rPr>
              <w:t>有的，得</w:t>
            </w:r>
            <w:r>
              <w:rPr>
                <w:rFonts w:hint="eastAsia" w:ascii="宋体" w:hAnsi="宋体" w:eastAsia="宋体" w:cs="宋体"/>
                <w:kern w:val="0"/>
                <w:sz w:val="24"/>
                <w:szCs w:val="24"/>
                <w:lang w:val="en-US" w:eastAsia="zh-CN" w:bidi="ar-SA"/>
              </w:rPr>
              <w:t>4分；3）没有不得分，此项最高10分。</w:t>
            </w:r>
          </w:p>
          <w:p>
            <w:pPr>
              <w:pStyle w:val="2"/>
              <w:numPr>
                <w:ilvl w:val="0"/>
                <w:numId w:val="0"/>
              </w:numPr>
              <w:ind w:firstLine="240" w:firstLineChars="1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3、企业</w:t>
            </w:r>
            <w:r>
              <w:rPr>
                <w:rFonts w:hint="eastAsia" w:ascii="宋体" w:hAnsi="宋体" w:eastAsia="宋体" w:cs="宋体"/>
                <w:kern w:val="0"/>
                <w:sz w:val="24"/>
                <w:szCs w:val="24"/>
                <w:lang w:val="zh-CN" w:eastAsia="zh-CN" w:bidi="ar-SA"/>
              </w:rPr>
              <w:t>规章制度健全、</w:t>
            </w:r>
            <w:r>
              <w:rPr>
                <w:rFonts w:hint="eastAsia" w:ascii="宋体" w:hAnsi="宋体" w:eastAsia="宋体" w:cs="宋体"/>
                <w:kern w:val="0"/>
                <w:sz w:val="24"/>
                <w:szCs w:val="24"/>
                <w:lang w:val="en-US" w:eastAsia="zh-CN" w:bidi="ar-SA"/>
              </w:rPr>
              <w:t>完善的得3分，有的得1分，没有的不得分，此项最高3分。</w:t>
            </w:r>
            <w:bookmarkStart w:id="9" w:name="_GoBack"/>
            <w:bookmarkEnd w:id="9"/>
          </w:p>
          <w:p>
            <w:pPr>
              <w:pStyle w:val="2"/>
              <w:numPr>
                <w:ilvl w:val="0"/>
                <w:numId w:val="0"/>
              </w:numPr>
              <w:ind w:firstLine="240" w:firstLineChars="1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w:t>
            </w:r>
            <w:r>
              <w:rPr>
                <w:rFonts w:hint="eastAsia" w:ascii="宋体" w:hAnsi="宋体" w:eastAsia="宋体" w:cs="宋体"/>
                <w:kern w:val="0"/>
                <w:sz w:val="24"/>
                <w:szCs w:val="24"/>
                <w:lang w:val="zh-CN" w:eastAsia="zh-CN" w:bidi="ar-SA"/>
              </w:rPr>
              <w:t>员工培训计划方案：</w:t>
            </w:r>
            <w:r>
              <w:rPr>
                <w:rFonts w:hint="eastAsia" w:ascii="宋体" w:hAnsi="宋体" w:eastAsia="宋体" w:cs="宋体"/>
                <w:kern w:val="0"/>
                <w:sz w:val="24"/>
                <w:szCs w:val="24"/>
                <w:lang w:val="en-US" w:eastAsia="zh-CN" w:bidi="ar-SA"/>
              </w:rPr>
              <w:t>可行的得3分，有的得1分，没有的不得分，此项最高3分。</w:t>
            </w:r>
          </w:p>
          <w:p>
            <w:pPr>
              <w:pStyle w:val="2"/>
              <w:numPr>
                <w:ilvl w:val="0"/>
                <w:numId w:val="0"/>
              </w:numPr>
              <w:ind w:firstLine="240" w:firstLineChars="1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5、车辆使用、维修过程中，提供合理、具有可操作性实施方案的，得3分；有的，得1分；没有不得分。</w:t>
            </w:r>
          </w:p>
        </w:tc>
        <w:tc>
          <w:tcPr>
            <w:tcW w:w="967" w:type="dxa"/>
            <w:vAlign w:val="center"/>
          </w:tcPr>
          <w:p>
            <w:pPr>
              <w:spacing w:line="360" w:lineRule="exact"/>
              <w:jc w:val="center"/>
              <w:rPr>
                <w:rFonts w:hint="eastAsia" w:ascii="宋体" w:hAnsi="宋体" w:eastAsia="宋体" w:cs="宋体"/>
                <w:sz w:val="24"/>
                <w:szCs w:val="24"/>
                <w:u w:val="single"/>
              </w:rPr>
            </w:pPr>
            <w:r>
              <w:rPr>
                <w:rFonts w:hint="eastAsia" w:ascii="宋体" w:hAnsi="宋体" w:eastAsia="宋体" w:cs="宋体"/>
                <w:sz w:val="24"/>
                <w:szCs w:val="24"/>
                <w:lang w:val="en-US" w:eastAsia="zh-CN"/>
              </w:rPr>
              <w:t>34</w:t>
            </w:r>
            <w:r>
              <w:rPr>
                <w:rFonts w:hint="eastAsia" w:ascii="宋体" w:hAnsi="宋体" w:eastAsia="宋体" w:cs="宋体"/>
                <w:sz w:val="24"/>
                <w:szCs w:val="24"/>
              </w:rPr>
              <w:t>分</w:t>
            </w:r>
          </w:p>
        </w:tc>
      </w:tr>
    </w:tbl>
    <w:p>
      <w:pPr>
        <w:spacing w:line="360" w:lineRule="auto"/>
        <w:rPr>
          <w:rFonts w:hint="eastAsia" w:cs="仿宋_GB2312" w:asciiTheme="minorEastAsia" w:hAnsiTheme="minorEastAsia"/>
          <w:b/>
          <w:sz w:val="24"/>
          <w:szCs w:val="24"/>
          <w:lang w:val="zh-CN"/>
        </w:rPr>
      </w:pPr>
    </w:p>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auto"/>
          <w:sz w:val="24"/>
          <w:szCs w:val="24"/>
          <w:lang w:val="en-GB"/>
        </w:rPr>
      </w:pPr>
      <w:r>
        <w:rPr>
          <w:rFonts w:hint="eastAsia" w:ascii="宋体" w:hAnsi="宋体"/>
          <w:bCs/>
          <w:color w:val="auto"/>
          <w:sz w:val="24"/>
          <w:szCs w:val="24"/>
          <w:lang w:val="en-GB"/>
        </w:rPr>
        <w:t>备注：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a、不接受联合体投标的项目，本表中第2项、第3项情形不适用。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b、小型和微型企业产品包括货物及其提供的服务与工程。</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47"/>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1" w:name="_Toc174185203"/>
      <w:bookmarkStart w:id="2" w:name="_Toc186274126"/>
      <w:bookmarkStart w:id="3" w:name="_Toc184023138"/>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vMerge w:val="restart"/>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cs="宋体" w:asciiTheme="minorEastAsia" w:hAnsiTheme="minorEastAsia"/>
                <w:kern w:val="0"/>
                <w:szCs w:val="24"/>
              </w:rPr>
              <w:t>中国国家认证认可监督管理委员会官网产品认证证书打印</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所投产品符合国家强制性要求承诺函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中国信息安全认证中心官网产品查询结果截图</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44"/>
          <w:szCs w:val="44"/>
          <w:lang w:val="zh-CN"/>
        </w:rPr>
      </w:pPr>
    </w:p>
    <w:p>
      <w:pPr>
        <w:numPr>
          <w:ilvl w:val="0"/>
          <w:numId w:val="8"/>
        </w:numPr>
        <w:autoSpaceDE w:val="0"/>
        <w:autoSpaceDN w:val="0"/>
        <w:adjustRightInd w:val="0"/>
        <w:spacing w:line="360" w:lineRule="auto"/>
        <w:jc w:val="center"/>
        <w:rPr>
          <w:rFonts w:hint="eastAsia" w:cs="黑体" w:asciiTheme="minorEastAsia" w:hAnsiTheme="minorEastAsia"/>
          <w:b/>
          <w:bCs/>
          <w:sz w:val="44"/>
          <w:szCs w:val="44"/>
          <w:lang w:val="zh-CN"/>
        </w:rPr>
      </w:pPr>
      <w:r>
        <w:rPr>
          <w:rFonts w:hint="eastAsia" w:cs="黑体" w:asciiTheme="minorEastAsia" w:hAnsiTheme="minorEastAsia"/>
          <w:b/>
          <w:bCs/>
          <w:sz w:val="44"/>
          <w:szCs w:val="44"/>
          <w:lang w:val="zh-CN"/>
        </w:rPr>
        <w:t>资格审查证明材料</w:t>
      </w:r>
    </w:p>
    <w:p>
      <w:pPr>
        <w:pStyle w:val="2"/>
        <w:widowControl w:val="0"/>
        <w:numPr>
          <w:ilvl w:val="0"/>
          <w:numId w:val="0"/>
        </w:numPr>
        <w:spacing w:after="120"/>
        <w:jc w:val="both"/>
      </w:pPr>
    </w:p>
    <w:p>
      <w:pPr>
        <w:pStyle w:val="2"/>
        <w:widowControl w:val="0"/>
        <w:numPr>
          <w:ilvl w:val="0"/>
          <w:numId w:val="0"/>
        </w:numPr>
        <w:spacing w:after="120"/>
        <w:jc w:val="both"/>
      </w:pPr>
    </w:p>
    <w:p>
      <w:pPr>
        <w:pStyle w:val="2"/>
        <w:widowControl w:val="0"/>
        <w:numPr>
          <w:ilvl w:val="0"/>
          <w:numId w:val="0"/>
        </w:numPr>
        <w:spacing w:after="120"/>
        <w:jc w:val="both"/>
      </w:pPr>
    </w:p>
    <w:p>
      <w:pPr>
        <w:pStyle w:val="2"/>
        <w:widowControl w:val="0"/>
        <w:numPr>
          <w:ilvl w:val="0"/>
          <w:numId w:val="0"/>
        </w:numPr>
        <w:spacing w:after="120"/>
        <w:jc w:val="both"/>
      </w:pPr>
    </w:p>
    <w:p>
      <w:pPr>
        <w:pStyle w:val="2"/>
        <w:widowControl w:val="0"/>
        <w:numPr>
          <w:ilvl w:val="0"/>
          <w:numId w:val="0"/>
        </w:numPr>
        <w:spacing w:after="120"/>
        <w:jc w:val="both"/>
      </w:pPr>
    </w:p>
    <w:p>
      <w:pPr>
        <w:pStyle w:val="2"/>
        <w:widowControl w:val="0"/>
        <w:numPr>
          <w:ilvl w:val="0"/>
          <w:numId w:val="0"/>
        </w:numPr>
        <w:spacing w:after="120"/>
        <w:jc w:val="both"/>
      </w:pPr>
    </w:p>
    <w:p>
      <w:pPr>
        <w:pStyle w:val="2"/>
        <w:widowControl w:val="0"/>
        <w:numPr>
          <w:ilvl w:val="0"/>
          <w:numId w:val="0"/>
        </w:numPr>
        <w:spacing w:after="120"/>
        <w:jc w:val="both"/>
      </w:pPr>
    </w:p>
    <w:p>
      <w:pPr>
        <w:pStyle w:val="2"/>
        <w:widowControl w:val="0"/>
        <w:numPr>
          <w:ilvl w:val="0"/>
          <w:numId w:val="0"/>
        </w:numPr>
        <w:spacing w:after="120"/>
        <w:jc w:val="both"/>
      </w:pPr>
    </w:p>
    <w:p>
      <w:pPr>
        <w:pStyle w:val="2"/>
        <w:widowControl w:val="0"/>
        <w:numPr>
          <w:ilvl w:val="0"/>
          <w:numId w:val="0"/>
        </w:numPr>
        <w:spacing w:after="120"/>
        <w:jc w:val="both"/>
      </w:pPr>
    </w:p>
    <w:p>
      <w:pPr>
        <w:pStyle w:val="2"/>
        <w:widowControl w:val="0"/>
        <w:numPr>
          <w:ilvl w:val="0"/>
          <w:numId w:val="0"/>
        </w:numPr>
        <w:spacing w:after="120"/>
        <w:jc w:val="both"/>
      </w:pPr>
    </w:p>
    <w:p>
      <w:pPr>
        <w:pStyle w:val="2"/>
        <w:widowControl w:val="0"/>
        <w:numPr>
          <w:ilvl w:val="0"/>
          <w:numId w:val="0"/>
        </w:numPr>
        <w:spacing w:after="120"/>
        <w:jc w:val="both"/>
      </w:pP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w:t>
      </w:r>
      <w:r>
        <w:rPr>
          <w:rFonts w:hint="eastAsia" w:asciiTheme="minorEastAsia" w:hAnsiTheme="minorEastAsia"/>
          <w:b/>
          <w:snapToGrid w:val="0"/>
          <w:kern w:val="0"/>
          <w:sz w:val="24"/>
          <w:szCs w:val="24"/>
          <w:lang w:eastAsia="zh-CN"/>
        </w:rPr>
        <w:t>人</w:t>
      </w:r>
      <w:r>
        <w:rPr>
          <w:rFonts w:hint="eastAsia" w:asciiTheme="minorEastAsia" w:hAnsiTheme="minorEastAsia"/>
          <w:b/>
          <w:snapToGrid w:val="0"/>
          <w:kern w:val="0"/>
          <w:sz w:val="24"/>
          <w:szCs w:val="24"/>
        </w:rPr>
        <w:t>）</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（项目名称、招标编号）招标文件的全部内容。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38"/>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加贵方招</w:t>
      </w:r>
      <w:r>
        <w:rPr>
          <w:rFonts w:asciiTheme="minorEastAsia" w:hAnsiTheme="minorEastAsia"/>
          <w:color w:val="000000"/>
          <w:szCs w:val="24"/>
        </w:rPr>
        <w:t>标编号为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38"/>
        <w:spacing w:line="480" w:lineRule="auto"/>
        <w:ind w:firstLine="540" w:firstLineChars="225"/>
        <w:jc w:val="left"/>
        <w:rPr>
          <w:rFonts w:asciiTheme="minorEastAsia" w:hAnsiTheme="minorEastAsia"/>
          <w:color w:val="000000"/>
          <w:szCs w:val="24"/>
        </w:rPr>
      </w:pPr>
    </w:p>
    <w:p>
      <w:pPr>
        <w:pStyle w:val="38"/>
        <w:spacing w:line="480" w:lineRule="auto"/>
        <w:ind w:firstLine="540" w:firstLineChars="225"/>
        <w:jc w:val="left"/>
        <w:rPr>
          <w:rFonts w:asciiTheme="minorEastAsia" w:hAnsiTheme="minorEastAsia"/>
          <w:color w:val="000000"/>
          <w:szCs w:val="24"/>
        </w:rPr>
      </w:pPr>
    </w:p>
    <w:p>
      <w:pPr>
        <w:pStyle w:val="38"/>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38"/>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1"/>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0"/>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以我方的名义参加贵中心______________________项目的投标活动，并代表我方全权办理针对上述项目的投标、开标、投标文件澄清、签约等一切具体事务和签署相关文件。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4"/>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4"/>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7" w:name="OLE_LINK13"/>
      <w:bookmarkStart w:id="8" w:name="OLE_LINK14"/>
      <w:r>
        <w:rPr>
          <w:rFonts w:hint="eastAsia" w:ascii="宋体" w:hAnsi="宋体"/>
          <w:b/>
          <w:bCs/>
          <w:color w:val="000000"/>
          <w:sz w:val="36"/>
          <w:szCs w:val="36"/>
        </w:rPr>
        <w:t>4.10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panose1 w:val="0201050906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C613C8"/>
    <w:multiLevelType w:val="singleLevel"/>
    <w:tmpl w:val="A1C613C8"/>
    <w:lvl w:ilvl="0" w:tentative="0">
      <w:start w:val="1"/>
      <w:numFmt w:val="decimal"/>
      <w:suff w:val="nothing"/>
      <w:lvlText w:val="%1、"/>
      <w:lvlJc w:val="left"/>
    </w:lvl>
  </w:abstractNum>
  <w:abstractNum w:abstractNumId="1">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3F36AB3"/>
    <w:multiLevelType w:val="singleLevel"/>
    <w:tmpl w:val="03F36AB3"/>
    <w:lvl w:ilvl="0" w:tentative="0">
      <w:start w:val="3"/>
      <w:numFmt w:val="chineseCounting"/>
      <w:suff w:val="nothing"/>
      <w:lvlText w:val="%1、"/>
      <w:lvlJc w:val="left"/>
      <w:rPr>
        <w:rFonts w:hint="eastAsia"/>
      </w:r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E923831"/>
    <w:multiLevelType w:val="singleLevel"/>
    <w:tmpl w:val="1E923831"/>
    <w:lvl w:ilvl="0" w:tentative="0">
      <w:start w:val="5"/>
      <w:numFmt w:val="chineseCounting"/>
      <w:suff w:val="nothing"/>
      <w:lvlText w:val="（%1）"/>
      <w:lvlJc w:val="left"/>
      <w:rPr>
        <w:rFonts w:hint="eastAsia"/>
      </w:rPr>
    </w:lvl>
  </w:abstractNum>
  <w:abstractNum w:abstractNumId="6">
    <w:nsid w:val="59F817C2"/>
    <w:multiLevelType w:val="singleLevel"/>
    <w:tmpl w:val="59F817C2"/>
    <w:lvl w:ilvl="0" w:tentative="0">
      <w:start w:val="2"/>
      <w:numFmt w:val="chineseCounting"/>
      <w:suff w:val="space"/>
      <w:lvlText w:val="第%1章"/>
      <w:lvlJc w:val="left"/>
    </w:lvl>
  </w:abstractNum>
  <w:abstractNum w:abstractNumId="7">
    <w:nsid w:val="59F817E8"/>
    <w:multiLevelType w:val="singleLevel"/>
    <w:tmpl w:val="59F817E8"/>
    <w:lvl w:ilvl="0" w:tentative="0">
      <w:start w:val="1"/>
      <w:numFmt w:val="chineseCounting"/>
      <w:pStyle w:val="47"/>
      <w:suff w:val="nothing"/>
      <w:lvlText w:val="%1、"/>
      <w:lvlJc w:val="left"/>
    </w:lvl>
  </w:abstractNum>
  <w:num w:numId="1">
    <w:abstractNumId w:val="1"/>
  </w:num>
  <w:num w:numId="2">
    <w:abstractNumId w:val="2"/>
  </w:num>
  <w:num w:numId="3">
    <w:abstractNumId w:val="7"/>
  </w:num>
  <w:num w:numId="4">
    <w:abstractNumId w:val="5"/>
  </w:num>
  <w:num w:numId="5">
    <w:abstractNumId w:val="6"/>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11229"/>
    <w:rsid w:val="00053214"/>
    <w:rsid w:val="00070D24"/>
    <w:rsid w:val="000864CD"/>
    <w:rsid w:val="00091265"/>
    <w:rsid w:val="000A1DCA"/>
    <w:rsid w:val="000C2E6B"/>
    <w:rsid w:val="000C317C"/>
    <w:rsid w:val="000D225B"/>
    <w:rsid w:val="000F6EE6"/>
    <w:rsid w:val="00105FF2"/>
    <w:rsid w:val="001143EE"/>
    <w:rsid w:val="0012784E"/>
    <w:rsid w:val="00142BC9"/>
    <w:rsid w:val="00144D56"/>
    <w:rsid w:val="00153ED4"/>
    <w:rsid w:val="00181B50"/>
    <w:rsid w:val="0018373A"/>
    <w:rsid w:val="00185115"/>
    <w:rsid w:val="001909F0"/>
    <w:rsid w:val="001B3DBE"/>
    <w:rsid w:val="001B6662"/>
    <w:rsid w:val="00212B60"/>
    <w:rsid w:val="0021478F"/>
    <w:rsid w:val="00250393"/>
    <w:rsid w:val="00270226"/>
    <w:rsid w:val="0027133B"/>
    <w:rsid w:val="00283F49"/>
    <w:rsid w:val="002A772B"/>
    <w:rsid w:val="002C4A4B"/>
    <w:rsid w:val="002D3B42"/>
    <w:rsid w:val="002E12DC"/>
    <w:rsid w:val="002E440F"/>
    <w:rsid w:val="002F77AD"/>
    <w:rsid w:val="00311229"/>
    <w:rsid w:val="00311F66"/>
    <w:rsid w:val="0032049B"/>
    <w:rsid w:val="003320D8"/>
    <w:rsid w:val="00336A90"/>
    <w:rsid w:val="00352A93"/>
    <w:rsid w:val="00390BCC"/>
    <w:rsid w:val="00396801"/>
    <w:rsid w:val="00396958"/>
    <w:rsid w:val="003B1A42"/>
    <w:rsid w:val="003D66DE"/>
    <w:rsid w:val="00417EAF"/>
    <w:rsid w:val="00420E00"/>
    <w:rsid w:val="0042727E"/>
    <w:rsid w:val="004714C0"/>
    <w:rsid w:val="0047320C"/>
    <w:rsid w:val="00480D48"/>
    <w:rsid w:val="004823FB"/>
    <w:rsid w:val="00496245"/>
    <w:rsid w:val="004B1AC8"/>
    <w:rsid w:val="004B1E7A"/>
    <w:rsid w:val="004B605A"/>
    <w:rsid w:val="004D2997"/>
    <w:rsid w:val="00514342"/>
    <w:rsid w:val="00585EF8"/>
    <w:rsid w:val="005912B1"/>
    <w:rsid w:val="005A5072"/>
    <w:rsid w:val="005A5ED3"/>
    <w:rsid w:val="00605B73"/>
    <w:rsid w:val="00625EEE"/>
    <w:rsid w:val="006307FD"/>
    <w:rsid w:val="00636AAD"/>
    <w:rsid w:val="0065083F"/>
    <w:rsid w:val="00654159"/>
    <w:rsid w:val="0065670D"/>
    <w:rsid w:val="00687A15"/>
    <w:rsid w:val="00694D85"/>
    <w:rsid w:val="006A2F6E"/>
    <w:rsid w:val="006A7C24"/>
    <w:rsid w:val="006B503D"/>
    <w:rsid w:val="006C2AFA"/>
    <w:rsid w:val="006C48C4"/>
    <w:rsid w:val="00712D9A"/>
    <w:rsid w:val="00716E81"/>
    <w:rsid w:val="007541C8"/>
    <w:rsid w:val="007541DB"/>
    <w:rsid w:val="0075601B"/>
    <w:rsid w:val="007606D8"/>
    <w:rsid w:val="007674C6"/>
    <w:rsid w:val="00790E33"/>
    <w:rsid w:val="0079223D"/>
    <w:rsid w:val="007A4B27"/>
    <w:rsid w:val="007B3250"/>
    <w:rsid w:val="007D4D4F"/>
    <w:rsid w:val="007D5C87"/>
    <w:rsid w:val="007E7811"/>
    <w:rsid w:val="00802B33"/>
    <w:rsid w:val="008122E4"/>
    <w:rsid w:val="00817E1B"/>
    <w:rsid w:val="00831BAC"/>
    <w:rsid w:val="0084288F"/>
    <w:rsid w:val="008559C6"/>
    <w:rsid w:val="00862058"/>
    <w:rsid w:val="00876F80"/>
    <w:rsid w:val="008779C9"/>
    <w:rsid w:val="0088501B"/>
    <w:rsid w:val="008B02AA"/>
    <w:rsid w:val="008C3AB6"/>
    <w:rsid w:val="008E4865"/>
    <w:rsid w:val="008F23A9"/>
    <w:rsid w:val="00907206"/>
    <w:rsid w:val="00911ABC"/>
    <w:rsid w:val="00912831"/>
    <w:rsid w:val="00923178"/>
    <w:rsid w:val="00953888"/>
    <w:rsid w:val="00960A89"/>
    <w:rsid w:val="00991958"/>
    <w:rsid w:val="009A2A37"/>
    <w:rsid w:val="009C12AB"/>
    <w:rsid w:val="009C55A6"/>
    <w:rsid w:val="009D6453"/>
    <w:rsid w:val="009E0C90"/>
    <w:rsid w:val="009E7965"/>
    <w:rsid w:val="00A00136"/>
    <w:rsid w:val="00A0723B"/>
    <w:rsid w:val="00A1102E"/>
    <w:rsid w:val="00A16285"/>
    <w:rsid w:val="00A23B62"/>
    <w:rsid w:val="00A406CD"/>
    <w:rsid w:val="00A415A6"/>
    <w:rsid w:val="00A429B8"/>
    <w:rsid w:val="00A460DB"/>
    <w:rsid w:val="00A634BA"/>
    <w:rsid w:val="00A9632B"/>
    <w:rsid w:val="00AA1D8E"/>
    <w:rsid w:val="00AC1D06"/>
    <w:rsid w:val="00AD0B93"/>
    <w:rsid w:val="00AF3F09"/>
    <w:rsid w:val="00B07C4E"/>
    <w:rsid w:val="00B15290"/>
    <w:rsid w:val="00B3334F"/>
    <w:rsid w:val="00B37810"/>
    <w:rsid w:val="00B85F9F"/>
    <w:rsid w:val="00BC57E2"/>
    <w:rsid w:val="00BF1FB2"/>
    <w:rsid w:val="00C25AC9"/>
    <w:rsid w:val="00C26D47"/>
    <w:rsid w:val="00C35A18"/>
    <w:rsid w:val="00C42DFB"/>
    <w:rsid w:val="00C71948"/>
    <w:rsid w:val="00C74056"/>
    <w:rsid w:val="00C74F6D"/>
    <w:rsid w:val="00C83169"/>
    <w:rsid w:val="00C83C3B"/>
    <w:rsid w:val="00C91B4E"/>
    <w:rsid w:val="00C965FD"/>
    <w:rsid w:val="00C96741"/>
    <w:rsid w:val="00CA6FC0"/>
    <w:rsid w:val="00CB14C1"/>
    <w:rsid w:val="00CB4321"/>
    <w:rsid w:val="00CC4862"/>
    <w:rsid w:val="00D01E89"/>
    <w:rsid w:val="00D13116"/>
    <w:rsid w:val="00D201B1"/>
    <w:rsid w:val="00D3375C"/>
    <w:rsid w:val="00D465A0"/>
    <w:rsid w:val="00D46703"/>
    <w:rsid w:val="00D82539"/>
    <w:rsid w:val="00D97238"/>
    <w:rsid w:val="00DA60C8"/>
    <w:rsid w:val="00DB2316"/>
    <w:rsid w:val="00E21891"/>
    <w:rsid w:val="00E22BA5"/>
    <w:rsid w:val="00E24C95"/>
    <w:rsid w:val="00E349FC"/>
    <w:rsid w:val="00E40A92"/>
    <w:rsid w:val="00E634AC"/>
    <w:rsid w:val="00E67348"/>
    <w:rsid w:val="00E822E4"/>
    <w:rsid w:val="00EA3A24"/>
    <w:rsid w:val="00EB026A"/>
    <w:rsid w:val="00EB1D68"/>
    <w:rsid w:val="00EB281A"/>
    <w:rsid w:val="00EC231C"/>
    <w:rsid w:val="00EC24E8"/>
    <w:rsid w:val="00ED6206"/>
    <w:rsid w:val="00EE7999"/>
    <w:rsid w:val="00EF5748"/>
    <w:rsid w:val="00F03DAE"/>
    <w:rsid w:val="00F43838"/>
    <w:rsid w:val="00F5003F"/>
    <w:rsid w:val="00F85D50"/>
    <w:rsid w:val="00FA3488"/>
    <w:rsid w:val="00FB664B"/>
    <w:rsid w:val="00FB7A77"/>
    <w:rsid w:val="00FC3244"/>
    <w:rsid w:val="00FD0B9B"/>
    <w:rsid w:val="00FE70AC"/>
    <w:rsid w:val="00FF200E"/>
    <w:rsid w:val="0C0B1175"/>
    <w:rsid w:val="0E8671FE"/>
    <w:rsid w:val="120F4E3F"/>
    <w:rsid w:val="1B4F07BD"/>
    <w:rsid w:val="21C86D3B"/>
    <w:rsid w:val="22012C71"/>
    <w:rsid w:val="22C63D25"/>
    <w:rsid w:val="291F6ED8"/>
    <w:rsid w:val="29975396"/>
    <w:rsid w:val="2B61267D"/>
    <w:rsid w:val="3EF16FBD"/>
    <w:rsid w:val="480E280C"/>
    <w:rsid w:val="53962C5D"/>
    <w:rsid w:val="5C795406"/>
    <w:rsid w:val="5E104D87"/>
    <w:rsid w:val="6EEF3912"/>
    <w:rsid w:val="718D4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2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2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49"/>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48"/>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4"/>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29"/>
    <w:qFormat/>
    <w:uiPriority w:val="0"/>
    <w:rPr>
      <w:rFonts w:eastAsia="宋体"/>
      <w:sz w:val="24"/>
    </w:rPr>
  </w:style>
  <w:style w:type="paragraph" w:styleId="14">
    <w:name w:val="Date"/>
    <w:basedOn w:val="1"/>
    <w:next w:val="1"/>
    <w:link w:val="30"/>
    <w:unhideWhenUsed/>
    <w:qFormat/>
    <w:uiPriority w:val="99"/>
    <w:pPr>
      <w:ind w:left="100" w:leftChars="2500"/>
    </w:pPr>
  </w:style>
  <w:style w:type="paragraph" w:styleId="15">
    <w:name w:val="footer"/>
    <w:basedOn w:val="1"/>
    <w:link w:val="31"/>
    <w:unhideWhenUsed/>
    <w:qFormat/>
    <w:uiPriority w:val="99"/>
    <w:pPr>
      <w:tabs>
        <w:tab w:val="center" w:pos="4153"/>
        <w:tab w:val="right" w:pos="8306"/>
      </w:tabs>
      <w:snapToGrid w:val="0"/>
      <w:jc w:val="left"/>
    </w:pPr>
    <w:rPr>
      <w:sz w:val="18"/>
      <w:szCs w:val="18"/>
    </w:rPr>
  </w:style>
  <w:style w:type="paragraph" w:styleId="16">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themeColor="followedHyperlink"/>
      <w:u w:val="single"/>
    </w:rPr>
  </w:style>
  <w:style w:type="character" w:styleId="23">
    <w:name w:val="Hyperlink"/>
    <w:basedOn w:val="20"/>
    <w:unhideWhenUsed/>
    <w:qFormat/>
    <w:uiPriority w:val="99"/>
    <w:rPr>
      <w:color w:val="0000FF"/>
      <w:u w:val="single"/>
    </w:rPr>
  </w:style>
  <w:style w:type="character" w:customStyle="1" w:styleId="25">
    <w:name w:val="标题 1 Char"/>
    <w:basedOn w:val="20"/>
    <w:link w:val="4"/>
    <w:qFormat/>
    <w:uiPriority w:val="0"/>
    <w:rPr>
      <w:rFonts w:ascii="Calibri" w:hAnsi="Calibri" w:eastAsia="宋体" w:cs="Times New Roman"/>
      <w:b/>
      <w:bCs/>
      <w:kern w:val="44"/>
      <w:sz w:val="44"/>
      <w:szCs w:val="44"/>
    </w:rPr>
  </w:style>
  <w:style w:type="character" w:customStyle="1" w:styleId="26">
    <w:name w:val="标题 2 Char"/>
    <w:basedOn w:val="20"/>
    <w:link w:val="5"/>
    <w:qFormat/>
    <w:uiPriority w:val="0"/>
    <w:rPr>
      <w:rFonts w:ascii="Arial" w:hAnsi="Arial" w:eastAsia="黑体" w:cs="Times New Roman"/>
      <w:b/>
      <w:bCs/>
      <w:kern w:val="0"/>
      <w:sz w:val="32"/>
      <w:szCs w:val="32"/>
    </w:rPr>
  </w:style>
  <w:style w:type="character" w:customStyle="1" w:styleId="27">
    <w:name w:val="标题 3 Char"/>
    <w:basedOn w:val="20"/>
    <w:link w:val="6"/>
    <w:qFormat/>
    <w:uiPriority w:val="0"/>
    <w:rPr>
      <w:rFonts w:ascii="宋体" w:hAnsi="宋体" w:eastAsia="宋体" w:cs="Times New Roman"/>
      <w:b/>
      <w:color w:val="000000"/>
      <w:kern w:val="0"/>
      <w:sz w:val="24"/>
      <w:szCs w:val="20"/>
      <w:lang w:val="en-GB"/>
    </w:rPr>
  </w:style>
  <w:style w:type="character" w:customStyle="1" w:styleId="28">
    <w:name w:val="标题 4 Char"/>
    <w:basedOn w:val="20"/>
    <w:link w:val="7"/>
    <w:qFormat/>
    <w:uiPriority w:val="0"/>
    <w:rPr>
      <w:rFonts w:ascii="Arial" w:hAnsi="Arial" w:eastAsia="黑体" w:cs="Times New Roman"/>
      <w:b/>
      <w:bCs/>
      <w:kern w:val="0"/>
      <w:sz w:val="28"/>
      <w:szCs w:val="28"/>
    </w:rPr>
  </w:style>
  <w:style w:type="character" w:customStyle="1" w:styleId="29">
    <w:name w:val="纯文本 Char"/>
    <w:basedOn w:val="20"/>
    <w:link w:val="13"/>
    <w:qFormat/>
    <w:uiPriority w:val="0"/>
    <w:rPr>
      <w:rFonts w:eastAsia="宋体"/>
      <w:sz w:val="24"/>
    </w:rPr>
  </w:style>
  <w:style w:type="character" w:customStyle="1" w:styleId="30">
    <w:name w:val="日期 Char"/>
    <w:basedOn w:val="20"/>
    <w:link w:val="14"/>
    <w:qFormat/>
    <w:uiPriority w:val="99"/>
  </w:style>
  <w:style w:type="character" w:customStyle="1" w:styleId="31">
    <w:name w:val="页脚 Char"/>
    <w:basedOn w:val="20"/>
    <w:link w:val="15"/>
    <w:qFormat/>
    <w:uiPriority w:val="99"/>
    <w:rPr>
      <w:sz w:val="18"/>
      <w:szCs w:val="18"/>
    </w:rPr>
  </w:style>
  <w:style w:type="character" w:customStyle="1" w:styleId="32">
    <w:name w:val="页眉 Char"/>
    <w:basedOn w:val="20"/>
    <w:link w:val="16"/>
    <w:qFormat/>
    <w:uiPriority w:val="99"/>
    <w:rPr>
      <w:sz w:val="18"/>
      <w:szCs w:val="18"/>
    </w:rPr>
  </w:style>
  <w:style w:type="character" w:customStyle="1" w:styleId="33">
    <w:name w:val="纯文本 Char1"/>
    <w:qFormat/>
    <w:uiPriority w:val="0"/>
    <w:rPr>
      <w:rFonts w:eastAsia="宋体"/>
      <w:sz w:val="24"/>
    </w:rPr>
  </w:style>
  <w:style w:type="paragraph" w:customStyle="1" w:styleId="34">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5">
    <w:name w:val="列出段落1"/>
    <w:basedOn w:val="1"/>
    <w:qFormat/>
    <w:uiPriority w:val="34"/>
    <w:pPr>
      <w:ind w:firstLine="420" w:firstLineChars="200"/>
    </w:pPr>
  </w:style>
  <w:style w:type="paragraph" w:styleId="36">
    <w:name w:val="List Paragraph"/>
    <w:basedOn w:val="1"/>
    <w:unhideWhenUsed/>
    <w:qFormat/>
    <w:uiPriority w:val="99"/>
    <w:pPr>
      <w:ind w:firstLine="420" w:firstLineChars="200"/>
    </w:pPr>
  </w:style>
  <w:style w:type="character" w:customStyle="1" w:styleId="37">
    <w:name w:val="正文文本缩进 Char Char"/>
    <w:link w:val="38"/>
    <w:qFormat/>
    <w:uiPriority w:val="0"/>
    <w:rPr>
      <w:rFonts w:ascii="宋体"/>
      <w:sz w:val="24"/>
    </w:rPr>
  </w:style>
  <w:style w:type="paragraph" w:customStyle="1" w:styleId="38">
    <w:name w:val="正文文本缩进1"/>
    <w:basedOn w:val="1"/>
    <w:link w:val="37"/>
    <w:qFormat/>
    <w:uiPriority w:val="0"/>
    <w:pPr>
      <w:spacing w:line="360" w:lineRule="auto"/>
      <w:ind w:firstLine="480" w:firstLineChars="200"/>
    </w:pPr>
    <w:rPr>
      <w:rFonts w:ascii="宋体"/>
      <w:sz w:val="24"/>
    </w:rPr>
  </w:style>
  <w:style w:type="character" w:customStyle="1" w:styleId="39">
    <w:name w:val="日期 Char Char"/>
    <w:link w:val="40"/>
    <w:qFormat/>
    <w:uiPriority w:val="0"/>
    <w:rPr>
      <w:sz w:val="24"/>
    </w:rPr>
  </w:style>
  <w:style w:type="paragraph" w:customStyle="1" w:styleId="40">
    <w:name w:val="日期1"/>
    <w:basedOn w:val="1"/>
    <w:next w:val="1"/>
    <w:link w:val="39"/>
    <w:qFormat/>
    <w:uiPriority w:val="0"/>
    <w:rPr>
      <w:sz w:val="24"/>
    </w:rPr>
  </w:style>
  <w:style w:type="paragraph" w:customStyle="1" w:styleId="4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2">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4">
    <w:name w:val="正文文本 3 Char"/>
    <w:basedOn w:val="20"/>
    <w:link w:val="10"/>
    <w:qFormat/>
    <w:uiPriority w:val="0"/>
    <w:rPr>
      <w:rFonts w:ascii="Times New Roman" w:hAnsi="Times New Roman" w:eastAsia="宋体" w:cs="Times New Roman"/>
      <w:color w:val="FF0000"/>
      <w:sz w:val="24"/>
      <w:szCs w:val="24"/>
    </w:rPr>
  </w:style>
  <w:style w:type="character" w:customStyle="1" w:styleId="45">
    <w:name w:val="edittexttarea"/>
    <w:basedOn w:val="20"/>
    <w:qFormat/>
    <w:uiPriority w:val="0"/>
  </w:style>
  <w:style w:type="paragraph" w:customStyle="1" w:styleId="46">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4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8">
    <w:name w:val="正文文本 Char"/>
    <w:basedOn w:val="20"/>
    <w:link w:val="3"/>
    <w:semiHidden/>
    <w:qFormat/>
    <w:uiPriority w:val="99"/>
  </w:style>
  <w:style w:type="character" w:customStyle="1" w:styleId="49">
    <w:name w:val="正文首行缩进 Char"/>
    <w:basedOn w:val="48"/>
    <w:link w:val="2"/>
    <w:qFormat/>
    <w:uiPriority w:val="0"/>
    <w:rPr>
      <w:rFonts w:ascii="宋体" w:hAnsi="Times New Roman" w:eastAsia="宋体" w:cs="Times New Roman"/>
      <w:kern w:val="0"/>
      <w:sz w:val="34"/>
      <w:szCs w:val="20"/>
    </w:rPr>
  </w:style>
  <w:style w:type="character" w:customStyle="1" w:styleId="50">
    <w:name w:val="HTML 预设格式 Char"/>
    <w:basedOn w:val="20"/>
    <w:link w:val="18"/>
    <w:semiHidden/>
    <w:qFormat/>
    <w:uiPriority w:val="99"/>
    <w:rPr>
      <w:rFonts w:ascii="宋体" w:hAnsi="宋体" w:eastAsia="宋体" w:cs="宋体"/>
      <w:kern w:val="0"/>
      <w:sz w:val="24"/>
      <w:szCs w:val="24"/>
    </w:rPr>
  </w:style>
  <w:style w:type="paragraph" w:customStyle="1" w:styleId="51">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52">
    <w:name w:val="列出段落2"/>
    <w:basedOn w:val="1"/>
    <w:qFormat/>
    <w:uiPriority w:val="34"/>
    <w:pPr>
      <w:ind w:firstLine="420" w:firstLineChars="200"/>
    </w:pPr>
    <w:rPr>
      <w:rFonts w:ascii="Calibri" w:hAnsi="Calibri"/>
    </w:rPr>
  </w:style>
  <w:style w:type="paragraph" w:customStyle="1" w:styleId="53">
    <w:name w:val="表格文本"/>
    <w:basedOn w:val="1"/>
    <w:qFormat/>
    <w:uiPriority w:val="99"/>
    <w:pPr>
      <w:jc w:val="center"/>
    </w:pPr>
    <w:rPr>
      <w:rFonts w:ascii="宋体" w:hAnsi="宋体" w:cs="宋体"/>
    </w:rPr>
  </w:style>
  <w:style w:type="paragraph" w:customStyle="1" w:styleId="54">
    <w:name w:val="CZG正文"/>
    <w:basedOn w:val="1"/>
    <w:qFormat/>
    <w:uiPriority w:val="99"/>
    <w:pPr>
      <w:spacing w:line="440" w:lineRule="exact"/>
    </w:pPr>
    <w:rPr>
      <w:rFonts w:ascii="幼圆" w:eastAsia="幼圆" w:cs="幼圆"/>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5493</Words>
  <Characters>31313</Characters>
  <Lines>260</Lines>
  <Paragraphs>73</Paragraphs>
  <TotalTime>10</TotalTime>
  <ScaleCrop>false</ScaleCrop>
  <LinksUpToDate>false</LinksUpToDate>
  <CharactersWithSpaces>36733</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2018-05-04T06:11:00Z</dcterms:created>
  <dc:creator>许昌市公共资源交易中心:孟莉</dc:creator>
  <cp:lastModifiedBy>王亚</cp:lastModifiedBy>
  <cp:lastPrinted>2018-05-18T09:36:16Z</cp:lastPrinted>
  <dcterms:modified xsi:type="dcterms:W3CDTF">2018-05-18T10:02:08Z</dcterms:modified>
  <cp:revision>197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