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color w:val="000000"/>
          <w:sz w:val="24"/>
        </w:rPr>
      </w:pPr>
      <w:r>
        <w:rPr>
          <w:rFonts w:hint="eastAsia" w:ascii="仿宋" w:hAnsi="仿宋" w:eastAsia="仿宋" w:cs="仿宋"/>
          <w:color w:val="000000"/>
          <w:sz w:val="24"/>
        </w:rPr>
        <w:t>3.5评分标准</w:t>
      </w:r>
    </w:p>
    <w:p>
      <w:pPr>
        <w:rPr>
          <w:rFonts w:hint="eastAsia" w:ascii="仿宋" w:hAnsi="仿宋" w:eastAsia="仿宋" w:cs="仿宋"/>
        </w:rPr>
      </w:pPr>
    </w:p>
    <w:tbl>
      <w:tblPr>
        <w:tblStyle w:val="5"/>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894" w:type="dxa"/>
            <w:gridSpan w:val="2"/>
            <w:vAlign w:val="center"/>
          </w:tcPr>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一、投标报价（50分）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jc w:val="center"/>
        </w:trPr>
        <w:tc>
          <w:tcPr>
            <w:tcW w:w="9894" w:type="dxa"/>
            <w:gridSpan w:val="2"/>
            <w:vAlign w:val="center"/>
          </w:tcPr>
          <w:p>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价格得分=（评标基准价/投标报价）×50（评标基准价指满足招标文件要求且投标价格最低的投标报价为评标基准价）。</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9894" w:type="dxa"/>
            <w:gridSpan w:val="2"/>
            <w:vAlign w:val="center"/>
          </w:tcPr>
          <w:p>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二、商务技术评分（50分）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0" w:hRule="atLeast"/>
          <w:jc w:val="center"/>
        </w:trPr>
        <w:tc>
          <w:tcPr>
            <w:tcW w:w="1408" w:type="dxa"/>
            <w:tcMar>
              <w:left w:w="57" w:type="dxa"/>
              <w:right w:w="57" w:type="dxa"/>
            </w:tcMar>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货物成品抽检报告（满分6分）</w:t>
            </w:r>
          </w:p>
        </w:tc>
        <w:tc>
          <w:tcPr>
            <w:tcW w:w="8486" w:type="dxa"/>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投标人须提供以下货物成品的抽检报告（6分）</w:t>
            </w:r>
          </w:p>
          <w:p>
            <w:pPr>
              <w:spacing w:line="480" w:lineRule="exact"/>
              <w:rPr>
                <w:rFonts w:hint="eastAsia" w:ascii="仿宋" w:hAnsi="仿宋" w:eastAsia="仿宋" w:cs="仿宋"/>
                <w:b/>
                <w:bCs/>
                <w:color w:val="000000"/>
                <w:sz w:val="24"/>
              </w:rPr>
            </w:pPr>
            <w:r>
              <w:rPr>
                <w:rFonts w:hint="eastAsia" w:ascii="仿宋" w:hAnsi="仿宋" w:eastAsia="仿宋" w:cs="仿宋"/>
                <w:bCs/>
                <w:color w:val="000000"/>
                <w:sz w:val="24"/>
              </w:rPr>
              <w:t>提供国家级质量监督检验机构出具的2017年至今符合国家标准的产品抽样检验报告，包括：胶板办公台、主席台、屏风工作位、会议台、办公台、茶水柜、活动柜、胶合板文件柜、茶几、文件柜、布沙发、皮沙发、大班椅、会议椅、折叠椅、主席椅、弹簧软床垫、餐椅、餐桌、床、床头柜、书桌、衣柜、钢制柜、排椅、铁架床、课桌椅、礼堂椅。缺一项扣1分，扣完为止。标书里提供检验报告复印件及网上真伪查询截图、检验费发票复印件，开标时须提供检验报告原件和检测部门开出的检验费发票原件，否则不计分(检验日期必须是本项目公告日期之前)。</w:t>
            </w:r>
          </w:p>
          <w:p>
            <w:pPr>
              <w:spacing w:line="360" w:lineRule="auto"/>
              <w:jc w:val="lef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408" w:type="dxa"/>
            <w:tcMar>
              <w:left w:w="57" w:type="dxa"/>
              <w:right w:w="57" w:type="dxa"/>
            </w:tcMar>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主要原材料抽检报告（满分6分）</w:t>
            </w:r>
          </w:p>
        </w:tc>
        <w:tc>
          <w:tcPr>
            <w:tcW w:w="8486" w:type="dxa"/>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投标人须提供以下主要原材料的抽检报告（6分）：</w:t>
            </w:r>
          </w:p>
          <w:p>
            <w:pPr>
              <w:spacing w:line="360" w:lineRule="auto"/>
              <w:jc w:val="left"/>
              <w:rPr>
                <w:rFonts w:hint="eastAsia" w:ascii="仿宋" w:hAnsi="仿宋" w:eastAsia="仿宋" w:cs="仿宋"/>
                <w:color w:val="000000"/>
                <w:sz w:val="24"/>
              </w:rPr>
            </w:pPr>
            <w:r>
              <w:rPr>
                <w:rFonts w:hint="eastAsia" w:ascii="仿宋" w:hAnsi="仿宋" w:eastAsia="仿宋" w:cs="仿宋"/>
                <w:bCs/>
                <w:color w:val="000000"/>
                <w:sz w:val="24"/>
              </w:rPr>
              <w:t>提供由省级及以上质量监督检验机构出具的2017年至今符合国家标准的原材料抽样检验报告，包括：橡胶木块、中密度纤维板、高密度纤维板、实木多层板、胶合板、生态夹板、刨花板、合成革、皮革、网布、铝材、喷塑钢板、人造革、绒布、防水布、木皮、PP塑料、海绵、封边条、脚轮、玻璃、弹簧、气压棒、三合一连接件、锁具、铰链、阻尼导轨。缺一项扣1分，扣完为止。标书里提供检验报告复印件及网上真伪查询截图、检验费发票复印件，开标时须提供检验报告原件和检测部门开出的检验费发票原件，否则不计分(检验日期必须是本项目公告日期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08" w:type="dxa"/>
            <w:vAlign w:val="center"/>
          </w:tcPr>
          <w:p>
            <w:pPr>
              <w:spacing w:line="360" w:lineRule="auto"/>
              <w:ind w:firstLine="241" w:firstLineChars="100"/>
              <w:jc w:val="left"/>
              <w:rPr>
                <w:rFonts w:hint="eastAsia" w:ascii="仿宋" w:hAnsi="仿宋" w:eastAsia="仿宋" w:cs="仿宋"/>
                <w:color w:val="000000"/>
                <w:sz w:val="24"/>
              </w:rPr>
            </w:pPr>
            <w:r>
              <w:rPr>
                <w:rFonts w:hint="eastAsia" w:ascii="仿宋" w:hAnsi="仿宋" w:eastAsia="仿宋" w:cs="仿宋"/>
                <w:b/>
                <w:color w:val="000000"/>
                <w:sz w:val="24"/>
              </w:rPr>
              <w:t>资信、资质、技术</w:t>
            </w:r>
            <w:r>
              <w:rPr>
                <w:rFonts w:hint="eastAsia" w:ascii="仿宋" w:hAnsi="仿宋" w:eastAsia="仿宋" w:cs="仿宋"/>
                <w:color w:val="000000"/>
                <w:sz w:val="24"/>
              </w:rPr>
              <w:br w:type="textWrapping"/>
            </w:r>
            <w:r>
              <w:rPr>
                <w:rFonts w:hint="eastAsia" w:ascii="仿宋" w:hAnsi="仿宋" w:eastAsia="仿宋" w:cs="仿宋"/>
                <w:color w:val="000000"/>
                <w:sz w:val="24"/>
              </w:rPr>
              <w:t>（7分）</w:t>
            </w:r>
          </w:p>
        </w:tc>
        <w:tc>
          <w:tcPr>
            <w:tcW w:w="8486" w:type="dxa"/>
            <w:vAlign w:val="center"/>
          </w:tcPr>
          <w:p>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1、投标企业获得FSC森林认证的得2分。 </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2、投标企业获得采用国际标准产品标志证书的得1分。</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3、投标企业获得国家标准（商品售后服务评价体系）GB/T27922-20118的得1分。</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 投标企业获得标准化良好行为AAAA证书的得1分。</w:t>
            </w:r>
          </w:p>
          <w:p>
            <w:pPr>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5、投标人企业获得创新型先进企业的得1分。</w:t>
            </w:r>
          </w:p>
          <w:p>
            <w:pPr>
              <w:spacing w:line="500" w:lineRule="exact"/>
              <w:ind w:firstLine="480" w:firstLineChars="200"/>
              <w:rPr>
                <w:rFonts w:hint="eastAsia" w:ascii="仿宋" w:hAnsi="仿宋" w:eastAsia="仿宋" w:cs="仿宋"/>
                <w:b/>
                <w:color w:val="000000"/>
                <w:sz w:val="24"/>
              </w:rPr>
            </w:pPr>
            <w:r>
              <w:rPr>
                <w:rFonts w:hint="eastAsia" w:ascii="仿宋" w:hAnsi="仿宋" w:eastAsia="仿宋" w:cs="仿宋"/>
                <w:color w:val="000000"/>
                <w:sz w:val="24"/>
              </w:rPr>
              <w:t>6、投标人所投产品获得ISO14025环境标志国际标准III型环境标志证书的得1分。</w:t>
            </w:r>
          </w:p>
          <w:p>
            <w:pPr>
              <w:spacing w:line="480" w:lineRule="exact"/>
              <w:rPr>
                <w:rFonts w:hint="eastAsia" w:ascii="仿宋" w:hAnsi="仿宋" w:eastAsia="仿宋" w:cs="仿宋"/>
                <w:color w:val="000000"/>
                <w:sz w:val="24"/>
              </w:rPr>
            </w:pPr>
            <w:r>
              <w:rPr>
                <w:rFonts w:hint="eastAsia" w:ascii="仿宋" w:hAnsi="仿宋" w:eastAsia="仿宋" w:cs="仿宋"/>
                <w:b/>
                <w:color w:val="000000"/>
                <w:sz w:val="24"/>
              </w:rPr>
              <w:t>（原件必须在开标截止时间前带至开标现场，以备核实，无原件可用公证件代替，否则该项不得分）。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408" w:type="dxa"/>
            <w:vAlign w:val="center"/>
          </w:tcPr>
          <w:p>
            <w:pPr>
              <w:spacing w:line="360" w:lineRule="auto"/>
              <w:ind w:firstLine="241" w:firstLineChars="100"/>
              <w:jc w:val="left"/>
              <w:rPr>
                <w:rFonts w:hint="eastAsia" w:ascii="仿宋" w:hAnsi="仿宋" w:eastAsia="仿宋" w:cs="仿宋"/>
                <w:b/>
                <w:color w:val="000000"/>
                <w:sz w:val="24"/>
              </w:rPr>
            </w:pPr>
            <w:r>
              <w:rPr>
                <w:rFonts w:hint="eastAsia" w:ascii="仿宋" w:hAnsi="仿宋" w:eastAsia="仿宋" w:cs="仿宋"/>
                <w:b/>
                <w:bCs/>
                <w:color w:val="000000"/>
                <w:sz w:val="24"/>
              </w:rPr>
              <w:t>样品</w:t>
            </w:r>
            <w:r>
              <w:rPr>
                <w:rFonts w:hint="eastAsia" w:ascii="仿宋" w:hAnsi="仿宋" w:eastAsia="仿宋" w:cs="仿宋"/>
                <w:b/>
                <w:bCs/>
                <w:color w:val="000000"/>
                <w:sz w:val="24"/>
              </w:rPr>
              <w:br w:type="textWrapping"/>
            </w:r>
            <w:r>
              <w:rPr>
                <w:rFonts w:hint="eastAsia" w:ascii="仿宋" w:hAnsi="仿宋" w:eastAsia="仿宋" w:cs="仿宋"/>
                <w:b/>
                <w:bCs/>
                <w:color w:val="000000"/>
                <w:sz w:val="24"/>
              </w:rPr>
              <w:t>（0-8分）</w:t>
            </w:r>
          </w:p>
        </w:tc>
        <w:tc>
          <w:tcPr>
            <w:tcW w:w="8486" w:type="dxa"/>
            <w:vAlign w:val="center"/>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根据投标人提供的成品样品及小样数量是否齐全、所用原材料是否与招标文件的要求一致，对样品的尺寸、质量、工艺、外观、整体性能、环保等综合排名（0-8分）（精确到小数点后2位数）。</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样品：清单中带“*”须提供成品样品。</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材料小样：中纤板，三胺板、木皮、真皮面料，网布面料，海绵，弹簧，实木，沙发绷带，锁具、门铰、L型屏风工作位。</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注：少送、错送不得分；投标人成品样品和材料小样必须在开标当日送至指定地点。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408" w:type="dxa"/>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b/>
                <w:bCs/>
                <w:color w:val="000000"/>
                <w:sz w:val="24"/>
              </w:rPr>
              <w:t>信誉及荣誉（0-3分）</w:t>
            </w:r>
          </w:p>
        </w:tc>
        <w:tc>
          <w:tcPr>
            <w:tcW w:w="8486" w:type="dxa"/>
            <w:vAlign w:val="center"/>
          </w:tcPr>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1、投标人业绩情况：提供2016年1月1日以来完成类似项目业绩每份得1分，最多得2分，提供的业绩必须为单项项目业绩的复印件，需提供中标通知</w:t>
            </w:r>
            <w:bookmarkStart w:id="0" w:name="_GoBack"/>
            <w:bookmarkEnd w:id="0"/>
            <w:r>
              <w:rPr>
                <w:rFonts w:hint="eastAsia" w:ascii="仿宋" w:hAnsi="仿宋" w:eastAsia="仿宋" w:cs="仿宋"/>
                <w:color w:val="000000"/>
                <w:sz w:val="24"/>
              </w:rPr>
              <w:t>书和合同</w:t>
            </w:r>
            <w:r>
              <w:rPr>
                <w:rFonts w:hint="eastAsia" w:ascii="仿宋" w:hAnsi="仿宋" w:eastAsia="仿宋" w:cs="仿宋"/>
                <w:color w:val="000000"/>
                <w:sz w:val="24"/>
                <w:lang w:eastAsia="zh-CN"/>
              </w:rPr>
              <w:t>，需提供</w:t>
            </w:r>
            <w:r>
              <w:rPr>
                <w:rFonts w:hint="eastAsia" w:ascii="仿宋" w:hAnsi="仿宋" w:eastAsia="仿宋" w:cs="仿宋"/>
                <w:color w:val="000000"/>
                <w:sz w:val="24"/>
              </w:rPr>
              <w:t>原件，开标时提供原件备查，提供不足或未提供不得分。</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2、投标人提供单个项目货物交货完成后的用方委托市级以上权威质量监督检验机构对所供的产品或材料的送检报告，提供一份得0.5分，最多得1分（</w:t>
            </w:r>
            <w:r>
              <w:rPr>
                <w:rFonts w:hint="eastAsia" w:ascii="仿宋" w:hAnsi="仿宋" w:eastAsia="仿宋" w:cs="仿宋"/>
                <w:bCs/>
                <w:color w:val="000000"/>
                <w:sz w:val="24"/>
              </w:rPr>
              <w:t>标书里提供检验报告复印件及网上真伪查询截图</w:t>
            </w:r>
            <w:r>
              <w:rPr>
                <w:rFonts w:hint="eastAsia" w:ascii="仿宋" w:hAnsi="仿宋" w:eastAsia="仿宋" w:cs="仿宋"/>
                <w:color w:val="000000"/>
                <w:sz w:val="24"/>
              </w:rPr>
              <w:t>、开标原件查验）。</w:t>
            </w:r>
          </w:p>
          <w:p>
            <w:pPr>
              <w:spacing w:line="360" w:lineRule="auto"/>
              <w:rPr>
                <w:rFonts w:hint="eastAsia" w:ascii="仿宋" w:hAnsi="仿宋" w:eastAsia="仿宋" w:cs="仿宋"/>
                <w:color w:val="000000"/>
                <w:sz w:val="24"/>
              </w:rPr>
            </w:pPr>
            <w:r>
              <w:rPr>
                <w:rFonts w:hint="eastAsia" w:ascii="仿宋" w:hAnsi="仿宋" w:eastAsia="仿宋" w:cs="仿宋"/>
                <w:b/>
                <w:color w:val="000000"/>
                <w:sz w:val="24"/>
              </w:rPr>
              <w:t>（原件必须在开标截止时间前带至开标现场，以备核实，无原件可用公证件代替，否则该项不得分）。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1408" w:type="dxa"/>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售后服务（20分）</w:t>
            </w:r>
          </w:p>
        </w:tc>
        <w:tc>
          <w:tcPr>
            <w:tcW w:w="8486" w:type="dxa"/>
            <w:vAlign w:val="center"/>
          </w:tcPr>
          <w:p>
            <w:pPr>
              <w:tabs>
                <w:tab w:val="left" w:pos="630"/>
                <w:tab w:val="left" w:pos="3060"/>
              </w:tabs>
              <w:spacing w:line="520" w:lineRule="exact"/>
              <w:rPr>
                <w:rFonts w:hint="eastAsia" w:ascii="仿宋" w:hAnsi="仿宋" w:eastAsia="仿宋" w:cs="仿宋"/>
                <w:color w:val="000000"/>
                <w:sz w:val="24"/>
              </w:rPr>
            </w:pPr>
            <w:r>
              <w:rPr>
                <w:rFonts w:hint="eastAsia" w:ascii="仿宋" w:hAnsi="仿宋" w:eastAsia="仿宋" w:cs="仿宋"/>
                <w:color w:val="000000"/>
                <w:sz w:val="24"/>
              </w:rPr>
              <w:t>根据投标人提供的售后服务承诺（包括质保期，响应时间等），方案考虑全面周到，技术手段多，服务响应快，能充分满足用户要求等，由评标委员酌情分三个档次打分：一般：0</w:t>
            </w:r>
            <w:r>
              <w:rPr>
                <w:rFonts w:hint="eastAsia" w:ascii="仿宋" w:hAnsi="仿宋" w:eastAsia="仿宋" w:cs="仿宋"/>
                <w:color w:val="000000"/>
                <w:sz w:val="24"/>
              </w:rPr>
              <w:t>—</w:t>
            </w:r>
            <w:r>
              <w:rPr>
                <w:rFonts w:hint="eastAsia" w:ascii="仿宋" w:hAnsi="仿宋" w:eastAsia="仿宋" w:cs="仿宋"/>
                <w:color w:val="000000"/>
                <w:sz w:val="24"/>
              </w:rPr>
              <w:t>8  良：8</w:t>
            </w:r>
            <w:r>
              <w:rPr>
                <w:rFonts w:hint="eastAsia" w:ascii="仿宋" w:hAnsi="仿宋" w:eastAsia="仿宋" w:cs="仿宋"/>
                <w:color w:val="000000"/>
                <w:sz w:val="24"/>
              </w:rPr>
              <w:t>—</w:t>
            </w:r>
            <w:r>
              <w:rPr>
                <w:rFonts w:hint="eastAsia" w:ascii="仿宋" w:hAnsi="仿宋" w:eastAsia="仿宋" w:cs="仿宋"/>
                <w:color w:val="000000"/>
                <w:sz w:val="24"/>
              </w:rPr>
              <w:t>12  优：12</w:t>
            </w:r>
            <w:r>
              <w:rPr>
                <w:rFonts w:hint="eastAsia" w:ascii="仿宋" w:hAnsi="仿宋" w:eastAsia="仿宋" w:cs="仿宋"/>
                <w:color w:val="000000"/>
                <w:sz w:val="24"/>
              </w:rPr>
              <w:t>—</w:t>
            </w:r>
            <w:r>
              <w:rPr>
                <w:rFonts w:hint="eastAsia" w:ascii="仿宋" w:hAnsi="仿宋" w:eastAsia="仿宋" w:cs="仿宋"/>
                <w:color w:val="000000"/>
                <w:sz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894" w:type="dxa"/>
            <w:gridSpan w:val="2"/>
            <w:vAlign w:val="center"/>
          </w:tcPr>
          <w:p>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注：以上评分表中所涉及到的证件投标人在开标时候均须携带原件，未提供原件者不得分，投标人所提供的证书和原件，根据评委和招标人的要求，投标人有义务提供辨别证书真伪的依据，如发现有造假行为，作废标处理。</w:t>
            </w:r>
          </w:p>
        </w:tc>
      </w:tr>
    </w:tbl>
    <w:p>
      <w:pPr>
        <w:rPr>
          <w:rFonts w:hint="eastAsia" w:ascii="仿宋" w:hAnsi="仿宋" w:eastAsia="仿宋" w:cs="仿宋"/>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F7353"/>
    <w:rsid w:val="03852337"/>
    <w:rsid w:val="2D293031"/>
    <w:rsid w:val="43D05A2E"/>
    <w:rsid w:val="5CED48FA"/>
    <w:rsid w:val="69FF7353"/>
    <w:rsid w:val="6D535020"/>
    <w:rsid w:val="731D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kern w:val="0"/>
      <w:sz w:val="24"/>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2018-05-10T00:13:00Z</dcterms:created>
  <dc:creator>Administrator</dc:creator>
  <cp:lastModifiedBy>Administrator</cp:lastModifiedBy>
  <dcterms:modified xsi:type="dcterms:W3CDTF">2018-05-10T04:00:36Z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