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cs="宋体" w:asciiTheme="minorEastAsia" w:hAnsiTheme="minorEastAsia"/>
          <w:b/>
          <w:bCs/>
          <w:color w:val="000000"/>
          <w:kern w:val="0"/>
          <w:sz w:val="28"/>
          <w:szCs w:val="28"/>
        </w:rPr>
      </w:pPr>
      <w:r>
        <w:rPr>
          <w:rFonts w:hint="eastAsia" w:cs="宋体" w:asciiTheme="minorEastAsia" w:hAnsiTheme="minorEastAsia" w:eastAsiaTheme="minorEastAsia"/>
          <w:b/>
          <w:bCs/>
          <w:i w:val="0"/>
          <w:iCs w:val="0"/>
          <w:color w:val="000000"/>
          <w:kern w:val="0"/>
          <w:sz w:val="28"/>
          <w:szCs w:val="28"/>
          <w:lang w:val="en-US" w:eastAsia="zh-CN" w:bidi="ar-SA"/>
        </w:rPr>
        <w:t>XCGC-F2018076</w:t>
      </w:r>
      <w:r>
        <w:rPr>
          <w:rFonts w:hint="eastAsia" w:cs="宋体" w:asciiTheme="minorEastAsia" w:hAnsiTheme="minorEastAsia" w:eastAsiaTheme="minorEastAsia"/>
          <w:b/>
          <w:bCs/>
          <w:i w:val="0"/>
          <w:iCs w:val="0"/>
          <w:color w:val="000000"/>
          <w:kern w:val="0"/>
          <w:sz w:val="28"/>
          <w:szCs w:val="28"/>
          <w:lang w:val="en-US" w:eastAsia="zh-CN" w:bidi="ar-SA"/>
        </w:rPr>
        <w:t>许昌市建设投资有限责任公司</w:t>
      </w:r>
      <w:r>
        <w:rPr>
          <w:rFonts w:hint="default" w:cs="宋体" w:asciiTheme="minorEastAsia" w:hAnsiTheme="minorEastAsia" w:eastAsiaTheme="minorEastAsia"/>
          <w:b/>
          <w:bCs/>
          <w:i w:val="0"/>
          <w:iCs w:val="0"/>
          <w:color w:val="000000"/>
          <w:kern w:val="0"/>
          <w:sz w:val="28"/>
          <w:szCs w:val="28"/>
          <w:lang w:val="en-US" w:eastAsia="zh-CN" w:bidi="ar-SA"/>
        </w:rPr>
        <w:t>“</w:t>
      </w:r>
      <w:r>
        <w:rPr>
          <w:rFonts w:hint="eastAsia" w:cs="宋体" w:asciiTheme="minorEastAsia" w:hAnsiTheme="minorEastAsia" w:eastAsiaTheme="minorEastAsia"/>
          <w:b/>
          <w:bCs/>
          <w:i w:val="0"/>
          <w:iCs w:val="0"/>
          <w:color w:val="000000"/>
          <w:kern w:val="0"/>
          <w:sz w:val="28"/>
          <w:szCs w:val="28"/>
          <w:lang w:val="en-US" w:eastAsia="zh-CN" w:bidi="ar-SA"/>
        </w:rPr>
        <w:t>郑州机场至许昌市域铁路工程许昌段第三方监测、第三方质量检测、控制测量检测（含工后监测）项目</w:t>
      </w:r>
      <w:r>
        <w:rPr>
          <w:rFonts w:hint="default" w:cs="宋体" w:asciiTheme="minorEastAsia" w:hAnsiTheme="minorEastAsia" w:eastAsiaTheme="minorEastAsia"/>
          <w:b/>
          <w:bCs/>
          <w:i w:val="0"/>
          <w:iCs w:val="0"/>
          <w:color w:val="000000"/>
          <w:kern w:val="0"/>
          <w:sz w:val="28"/>
          <w:szCs w:val="28"/>
          <w:lang w:val="en-US" w:eastAsia="zh-CN" w:bidi="ar-SA"/>
        </w:rPr>
        <w:t>”</w:t>
      </w:r>
      <w:r>
        <w:rPr>
          <w:rFonts w:hint="eastAsia" w:cs="宋体" w:asciiTheme="minorEastAsia" w:hAnsiTheme="minorEastAsia" w:eastAsiaTheme="minorEastAsia"/>
          <w:b/>
          <w:bCs/>
          <w:i w:val="0"/>
          <w:iCs w:val="0"/>
          <w:color w:val="000000"/>
          <w:kern w:val="0"/>
          <w:sz w:val="28"/>
          <w:szCs w:val="28"/>
          <w:lang w:val="en-US" w:eastAsia="zh-CN" w:bidi="ar-SA"/>
        </w:rPr>
        <w:t>评标结果公示</w:t>
      </w:r>
    </w:p>
    <w:p>
      <w:pPr>
        <w:widowControl/>
        <w:shd w:val="clear" w:color="auto" w:fill="FFFFFF"/>
        <w:spacing w:line="360" w:lineRule="auto"/>
        <w:jc w:val="left"/>
        <w:rPr>
          <w:rFonts w:cs="宋体" w:asciiTheme="minorEastAsia" w:hAnsiTheme="minorEastAsia"/>
          <w:b/>
          <w:bCs/>
          <w:color w:val="000000"/>
          <w:kern w:val="0"/>
          <w:szCs w:val="21"/>
        </w:rPr>
      </w:pP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b/>
          <w:bCs/>
          <w:color w:val="000000"/>
          <w:kern w:val="0"/>
          <w:szCs w:val="21"/>
        </w:rPr>
        <w:t>一、项目概况及招标情况  </w:t>
      </w: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 项目概况</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1、建设地点：许昌市境内。</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2、建设规模：</w:t>
      </w:r>
      <w:r>
        <w:rPr>
          <w:rFonts w:cs="宋体" w:asciiTheme="minorEastAsia" w:hAnsiTheme="minorEastAsia"/>
          <w:color w:val="000000"/>
          <w:kern w:val="0"/>
          <w:szCs w:val="21"/>
        </w:rPr>
        <w:t>郑州机场至许昌市域铁路工程许昌段北起郑州、许昌市界</w:t>
      </w:r>
      <w:r>
        <w:rPr>
          <w:rFonts w:hint="eastAsia" w:cs="宋体" w:asciiTheme="minorEastAsia" w:hAnsiTheme="minorEastAsia"/>
          <w:color w:val="000000"/>
          <w:kern w:val="0"/>
          <w:szCs w:val="21"/>
        </w:rPr>
        <w:t>，</w:t>
      </w:r>
      <w:r>
        <w:rPr>
          <w:rFonts w:cs="宋体" w:asciiTheme="minorEastAsia" w:hAnsiTheme="minorEastAsia"/>
          <w:color w:val="000000"/>
          <w:kern w:val="0"/>
          <w:szCs w:val="21"/>
        </w:rPr>
        <w:t>经华夏幸福城站，向南至许昌东站，线路全长</w:t>
      </w:r>
      <w:r>
        <w:rPr>
          <w:rFonts w:hint="eastAsia" w:cs="宋体" w:asciiTheme="minorEastAsia" w:hAnsiTheme="minorEastAsia"/>
          <w:color w:val="000000"/>
          <w:kern w:val="0"/>
          <w:szCs w:val="21"/>
        </w:rPr>
        <w:t>33.78km，</w:t>
      </w:r>
      <w:r>
        <w:rPr>
          <w:rFonts w:cs="宋体" w:asciiTheme="minorEastAsia" w:hAnsiTheme="minorEastAsia"/>
          <w:color w:val="000000"/>
          <w:kern w:val="0"/>
          <w:szCs w:val="21"/>
        </w:rPr>
        <w:t>设站</w:t>
      </w:r>
      <w:r>
        <w:rPr>
          <w:rFonts w:hint="eastAsia" w:cs="宋体" w:asciiTheme="minorEastAsia" w:hAnsiTheme="minorEastAsia"/>
          <w:color w:val="000000"/>
          <w:kern w:val="0"/>
          <w:szCs w:val="21"/>
        </w:rPr>
        <w:t>11</w:t>
      </w:r>
      <w:r>
        <w:rPr>
          <w:rFonts w:cs="宋体" w:asciiTheme="minorEastAsia" w:hAnsiTheme="minorEastAsia"/>
          <w:color w:val="000000"/>
          <w:kern w:val="0"/>
          <w:szCs w:val="21"/>
        </w:rPr>
        <w:t>座</w:t>
      </w:r>
      <w:r>
        <w:rPr>
          <w:rFonts w:hint="eastAsia" w:cs="宋体" w:asciiTheme="minorEastAsia" w:hAnsiTheme="minorEastAsia"/>
          <w:color w:val="000000"/>
          <w:kern w:val="0"/>
          <w:szCs w:val="21"/>
        </w:rPr>
        <w:t>。</w:t>
      </w:r>
      <w:r>
        <w:rPr>
          <w:rFonts w:cs="宋体" w:asciiTheme="minorEastAsia" w:hAnsiTheme="minorEastAsia"/>
          <w:color w:val="000000"/>
          <w:kern w:val="0"/>
          <w:szCs w:val="21"/>
        </w:rPr>
        <w:t>其中高架站</w:t>
      </w:r>
      <w:r>
        <w:rPr>
          <w:rFonts w:hint="eastAsia" w:cs="宋体" w:asciiTheme="minorEastAsia" w:hAnsiTheme="minorEastAsia"/>
          <w:color w:val="000000"/>
          <w:kern w:val="0"/>
          <w:szCs w:val="21"/>
        </w:rPr>
        <w:t>9</w:t>
      </w:r>
      <w:r>
        <w:rPr>
          <w:rFonts w:cs="宋体" w:asciiTheme="minorEastAsia" w:hAnsiTheme="minorEastAsia"/>
          <w:color w:val="000000"/>
          <w:kern w:val="0"/>
          <w:szCs w:val="21"/>
        </w:rPr>
        <w:t>座，地下站</w:t>
      </w:r>
      <w:r>
        <w:rPr>
          <w:rFonts w:hint="eastAsia" w:cs="宋体" w:asciiTheme="minorEastAsia" w:hAnsiTheme="minorEastAsia"/>
          <w:color w:val="000000"/>
          <w:kern w:val="0"/>
          <w:szCs w:val="21"/>
        </w:rPr>
        <w:t>2</w:t>
      </w:r>
      <w:r>
        <w:rPr>
          <w:rFonts w:cs="宋体" w:asciiTheme="minorEastAsia" w:hAnsiTheme="minorEastAsia"/>
          <w:color w:val="000000"/>
          <w:kern w:val="0"/>
          <w:szCs w:val="21"/>
        </w:rPr>
        <w:t>站，平均站间距约</w:t>
      </w:r>
      <w:r>
        <w:rPr>
          <w:rFonts w:hint="eastAsia" w:cs="宋体" w:asciiTheme="minorEastAsia" w:hAnsiTheme="minorEastAsia"/>
          <w:color w:val="000000"/>
          <w:kern w:val="0"/>
          <w:szCs w:val="21"/>
        </w:rPr>
        <w:t>3.6km</w:t>
      </w:r>
      <w:r>
        <w:rPr>
          <w:rFonts w:cs="宋体" w:asciiTheme="minorEastAsia" w:hAnsiTheme="minorEastAsia"/>
          <w:color w:val="000000"/>
          <w:kern w:val="0"/>
          <w:szCs w:val="21"/>
        </w:rPr>
        <w:t>，设梅庄停车场</w:t>
      </w:r>
      <w:r>
        <w:rPr>
          <w:rFonts w:hint="eastAsia" w:cs="宋体" w:asciiTheme="minorEastAsia" w:hAnsiTheme="minorEastAsia"/>
          <w:color w:val="000000"/>
          <w:kern w:val="0"/>
          <w:szCs w:val="21"/>
        </w:rPr>
        <w:t>1</w:t>
      </w:r>
      <w:r>
        <w:rPr>
          <w:rFonts w:cs="宋体" w:asciiTheme="minorEastAsia" w:hAnsiTheme="minorEastAsia"/>
          <w:color w:val="000000"/>
          <w:kern w:val="0"/>
          <w:szCs w:val="21"/>
        </w:rPr>
        <w:t>座，在颍川大道站、永兴东路站附近设主变</w:t>
      </w:r>
      <w:r>
        <w:rPr>
          <w:rFonts w:hint="eastAsia" w:cs="宋体" w:asciiTheme="minorEastAsia" w:hAnsiTheme="minorEastAsia"/>
          <w:color w:val="000000"/>
          <w:kern w:val="0"/>
          <w:szCs w:val="21"/>
        </w:rPr>
        <w:t>2</w:t>
      </w:r>
      <w:r>
        <w:rPr>
          <w:rFonts w:cs="宋体" w:asciiTheme="minorEastAsia" w:hAnsiTheme="minorEastAsia"/>
          <w:color w:val="000000"/>
          <w:kern w:val="0"/>
          <w:szCs w:val="21"/>
        </w:rPr>
        <w:t>座。本段线路初、近期采用</w:t>
      </w:r>
      <w:r>
        <w:rPr>
          <w:rFonts w:hint="eastAsia" w:cs="宋体" w:asciiTheme="minorEastAsia" w:hAnsiTheme="minorEastAsia"/>
          <w:color w:val="000000"/>
          <w:kern w:val="0"/>
          <w:szCs w:val="21"/>
        </w:rPr>
        <w:t>B</w:t>
      </w:r>
      <w:r>
        <w:rPr>
          <w:rFonts w:cs="宋体" w:asciiTheme="minorEastAsia" w:hAnsiTheme="minorEastAsia"/>
          <w:color w:val="000000"/>
          <w:kern w:val="0"/>
          <w:szCs w:val="21"/>
        </w:rPr>
        <w:t>型车</w:t>
      </w:r>
      <w:r>
        <w:rPr>
          <w:rFonts w:hint="eastAsia" w:cs="宋体" w:asciiTheme="minorEastAsia" w:hAnsiTheme="minorEastAsia"/>
          <w:color w:val="000000"/>
          <w:kern w:val="0"/>
          <w:szCs w:val="21"/>
        </w:rPr>
        <w:t>4</w:t>
      </w:r>
      <w:r>
        <w:rPr>
          <w:rFonts w:cs="宋体" w:asciiTheme="minorEastAsia" w:hAnsiTheme="minorEastAsia"/>
          <w:color w:val="000000"/>
          <w:kern w:val="0"/>
          <w:szCs w:val="21"/>
        </w:rPr>
        <w:t>辆编组，远期采用</w:t>
      </w:r>
      <w:r>
        <w:rPr>
          <w:rFonts w:hint="eastAsia" w:cs="宋体" w:asciiTheme="minorEastAsia" w:hAnsiTheme="minorEastAsia"/>
          <w:color w:val="000000"/>
          <w:kern w:val="0"/>
          <w:szCs w:val="21"/>
        </w:rPr>
        <w:t>B</w:t>
      </w:r>
      <w:r>
        <w:rPr>
          <w:rFonts w:cs="宋体" w:asciiTheme="minorEastAsia" w:hAnsiTheme="minorEastAsia"/>
          <w:color w:val="000000"/>
          <w:kern w:val="0"/>
          <w:szCs w:val="21"/>
        </w:rPr>
        <w:t>型车</w:t>
      </w:r>
      <w:r>
        <w:rPr>
          <w:rFonts w:hint="eastAsia" w:cs="宋体" w:asciiTheme="minorEastAsia" w:hAnsiTheme="minorEastAsia"/>
          <w:color w:val="000000"/>
          <w:kern w:val="0"/>
          <w:szCs w:val="21"/>
        </w:rPr>
        <w:t>6</w:t>
      </w:r>
      <w:r>
        <w:rPr>
          <w:rFonts w:cs="宋体" w:asciiTheme="minorEastAsia" w:hAnsiTheme="minorEastAsia"/>
          <w:color w:val="000000"/>
          <w:kern w:val="0"/>
          <w:szCs w:val="21"/>
        </w:rPr>
        <w:t>辆编组，设计时速为</w:t>
      </w:r>
      <w:r>
        <w:rPr>
          <w:rFonts w:hint="eastAsia" w:cs="宋体" w:asciiTheme="minorEastAsia" w:hAnsiTheme="minorEastAsia"/>
          <w:color w:val="000000"/>
          <w:kern w:val="0"/>
          <w:szCs w:val="21"/>
        </w:rPr>
        <w:t>120km/h。</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3、招标控制价：01标段：903万元；02标段：371万元；03标段：1465万元。</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4、质量要求：</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01标段：第三方监测服务及其成果应符合国家、河南省、许昌市现行规范的相关规定和合同约定，并能满足工程需要。</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02标段：</w:t>
      </w:r>
      <w:r>
        <w:rPr>
          <w:rFonts w:cs="宋体" w:asciiTheme="minorEastAsia" w:hAnsiTheme="minorEastAsia"/>
          <w:color w:val="000000"/>
          <w:kern w:val="0"/>
          <w:szCs w:val="21"/>
        </w:rPr>
        <w:t>符合国家规定要求</w:t>
      </w:r>
      <w:r>
        <w:rPr>
          <w:rFonts w:hint="eastAsia" w:cs="宋体" w:asciiTheme="minorEastAsia" w:hAnsiTheme="minorEastAsia"/>
          <w:color w:val="000000"/>
          <w:kern w:val="0"/>
          <w:szCs w:val="21"/>
        </w:rPr>
        <w:t>。</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03标段：服务及其文件应符合国家现行规范的相关规定和合同约定，并能满足项目需要。服务应充分考虑与设计、施工、产权等单位的配合工作，满足设计需要。</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5、计划服务周期：</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01标段：各监测项目应在施工开始前取得初始值，提供周边环境初始状况报告，施工开始后按要求的频率进行监测，当工程施工结束，施工影响安全的因素消除，监测对象变形趋于稳定后，第三方监测单位可向招标人提交停测申请，经批准后方可停止相应的监测工作。 </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02标段：</w:t>
      </w:r>
      <w:r>
        <w:rPr>
          <w:rFonts w:cs="宋体" w:asciiTheme="minorEastAsia" w:hAnsiTheme="minorEastAsia"/>
          <w:color w:val="000000"/>
          <w:kern w:val="0"/>
          <w:szCs w:val="21"/>
        </w:rPr>
        <w:t>质量检测工作完成及提交报告时间满足发包人对本工程进度的要求，至通车试运营开始之日止</w:t>
      </w:r>
      <w:r>
        <w:rPr>
          <w:rFonts w:hint="eastAsia" w:cs="宋体" w:asciiTheme="minorEastAsia" w:hAnsiTheme="minorEastAsia"/>
          <w:color w:val="000000"/>
          <w:kern w:val="0"/>
          <w:szCs w:val="21"/>
        </w:rPr>
        <w:t>。</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03标段：全部工作完成（含工后监测）及提交报告时间满足发包人对本工程进度的要求。</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6、评标办法：综合评估法。</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7、资格审查方式：资格后审。</w:t>
      </w: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（二）招标过程</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本工程招标采用公开招标方式进行，按照法定公开招标程序和要求，于2018年 4月13日至2018年 5月4日在《全国公共资源交易平台(河南省</w:t>
      </w:r>
      <w:r>
        <w:rPr>
          <w:rFonts w:hint="eastAsia" w:hAnsi="MS Mincho" w:eastAsia="MS Mincho" w:cs="MS Mincho" w:asciiTheme="minorEastAsia"/>
          <w:color w:val="000000"/>
          <w:kern w:val="0"/>
          <w:szCs w:val="21"/>
        </w:rPr>
        <w:t>▪</w:t>
      </w:r>
      <w:r>
        <w:rPr>
          <w:rFonts w:hint="eastAsia" w:cs="仿宋" w:asciiTheme="minorEastAsia" w:hAnsiTheme="minorEastAsia"/>
          <w:color w:val="000000"/>
          <w:kern w:val="0"/>
          <w:szCs w:val="21"/>
        </w:rPr>
        <w:t>许昌市</w:t>
      </w:r>
      <w:r>
        <w:rPr>
          <w:rFonts w:hint="eastAsia" w:cs="宋体" w:asciiTheme="minorEastAsia" w:hAnsiTheme="minorEastAsia"/>
          <w:color w:val="000000"/>
          <w:kern w:val="0"/>
          <w:szCs w:val="21"/>
        </w:rPr>
        <w:t>)》、《河南省电子招标投标公共服务平台》上公开发布招标信息，于投标截止时间递交投标文件及投标保证金的投标单位一标段有</w:t>
      </w:r>
      <w:r>
        <w:rPr>
          <w:rFonts w:hint="eastAsia" w:cs="宋体" w:asciiTheme="minorEastAsia" w:hAnsiTheme="minorEastAsia"/>
          <w:color w:val="000000"/>
          <w:kern w:val="0"/>
          <w:szCs w:val="21"/>
          <w:u w:val="single"/>
        </w:rPr>
        <w:t>6</w:t>
      </w:r>
      <w:r>
        <w:rPr>
          <w:rFonts w:hint="eastAsia" w:cs="宋体" w:asciiTheme="minorEastAsia" w:hAnsiTheme="minorEastAsia"/>
          <w:color w:val="000000"/>
          <w:kern w:val="0"/>
          <w:szCs w:val="21"/>
        </w:rPr>
        <w:t>家，二标段</w:t>
      </w:r>
      <w:r>
        <w:rPr>
          <w:rFonts w:hint="eastAsia" w:cs="宋体" w:asciiTheme="minorEastAsia" w:hAnsiTheme="minorEastAsia"/>
          <w:color w:val="000000"/>
          <w:kern w:val="0"/>
          <w:szCs w:val="21"/>
          <w:u w:val="single"/>
        </w:rPr>
        <w:t>1</w:t>
      </w:r>
      <w:r>
        <w:rPr>
          <w:rFonts w:hint="eastAsia" w:cs="宋体" w:asciiTheme="minorEastAsia" w:hAnsiTheme="minorEastAsia"/>
          <w:color w:val="000000"/>
          <w:kern w:val="0"/>
          <w:szCs w:val="21"/>
        </w:rPr>
        <w:t>家，三标段</w:t>
      </w:r>
      <w:r>
        <w:rPr>
          <w:rFonts w:hint="eastAsia" w:cs="宋体" w:asciiTheme="minorEastAsia" w:hAnsiTheme="minorEastAsia"/>
          <w:color w:val="000000"/>
          <w:kern w:val="0"/>
          <w:szCs w:val="21"/>
          <w:u w:val="single"/>
        </w:rPr>
        <w:t>7</w:t>
      </w:r>
      <w:r>
        <w:rPr>
          <w:rFonts w:hint="eastAsia" w:cs="宋体" w:asciiTheme="minorEastAsia" w:hAnsiTheme="minorEastAsia"/>
          <w:color w:val="000000"/>
          <w:kern w:val="0"/>
          <w:szCs w:val="21"/>
        </w:rPr>
        <w:t>家。</w:t>
      </w: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（三）项目开标数据表</w:t>
      </w:r>
    </w:p>
    <w:tbl>
      <w:tblPr>
        <w:tblStyle w:val="16"/>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92"/>
        <w:gridCol w:w="2303"/>
        <w:gridCol w:w="1208"/>
        <w:gridCol w:w="28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1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招标人名称</w:t>
            </w:r>
          </w:p>
        </w:tc>
        <w:tc>
          <w:tcPr>
            <w:tcW w:w="633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ind w:firstLine="56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许昌市建设投资有限责任公司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8" w:hRule="atLeast"/>
          <w:jc w:val="center"/>
        </w:trPr>
        <w:tc>
          <w:tcPr>
            <w:tcW w:w="21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招标代理机构名称</w:t>
            </w:r>
          </w:p>
        </w:tc>
        <w:tc>
          <w:tcPr>
            <w:tcW w:w="63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56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河南省机电设备国际招标有限公司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工程名称</w:t>
            </w:r>
          </w:p>
        </w:tc>
        <w:tc>
          <w:tcPr>
            <w:tcW w:w="63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560"/>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郑州机场至许昌市域铁路工程许昌段第三方监测、第三方质量检测、控制测量检测（含工后监测）项目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9" w:hRule="atLeast"/>
          <w:jc w:val="center"/>
        </w:trPr>
        <w:tc>
          <w:tcPr>
            <w:tcW w:w="21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开标时间</w:t>
            </w: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2018年5月4日</w:t>
            </w:r>
          </w:p>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09时30分</w:t>
            </w: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开标地点</w:t>
            </w:r>
          </w:p>
        </w:tc>
        <w:tc>
          <w:tcPr>
            <w:tcW w:w="2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许昌市公共资源交易中心开标四室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评标时间</w:t>
            </w:r>
          </w:p>
        </w:tc>
        <w:tc>
          <w:tcPr>
            <w:tcW w:w="23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2018年5月4日</w:t>
            </w:r>
          </w:p>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12时10分</w:t>
            </w:r>
          </w:p>
        </w:tc>
        <w:tc>
          <w:tcPr>
            <w:tcW w:w="12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评标地点</w:t>
            </w:r>
          </w:p>
        </w:tc>
        <w:tc>
          <w:tcPr>
            <w:tcW w:w="28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许昌市公共资源交易中心评标六室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3" w:hRule="atLeast"/>
          <w:jc w:val="center"/>
        </w:trPr>
        <w:tc>
          <w:tcPr>
            <w:tcW w:w="21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投标人名单</w:t>
            </w:r>
          </w:p>
          <w:p>
            <w:pPr>
              <w:widowControl/>
              <w:spacing w:line="400" w:lineRule="atLeas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（分标段填写）</w:t>
            </w:r>
          </w:p>
        </w:tc>
        <w:tc>
          <w:tcPr>
            <w:tcW w:w="633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一标段：</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1.北京城建勘测设计研究院有限责任公司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2.中铁第六勘察设计院集团有限公司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3.中国电建集团华东勘测设计研究院有限公司</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4.河北建设勘察研究院有限公司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5.甘肃铁道综合工程勘察院有限公司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6.中铁第五勘察设计院集团有限公司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二标段：</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1.河南豫美建设工程检测有限公司</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三标段：</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1.北京城建勘测设计研究院有限责任公司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2.中铁第六勘察设计院集团有限公司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3.郑州中核岩土工程有限公司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4.中铁工程设计咨询集团有限公司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5.中铁二院工程集团有限责任公司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6.甘肃铁道综合工程勘察院有限公司 </w:t>
            </w:r>
          </w:p>
          <w:p>
            <w:pPr>
              <w:widowControl/>
              <w:spacing w:line="400" w:lineRule="atLeas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7.中铁第五勘察设计院集团有限公司</w:t>
            </w:r>
          </w:p>
        </w:tc>
      </w:tr>
    </w:tbl>
    <w:p>
      <w:pPr>
        <w:rPr>
          <w:rFonts w:asciiTheme="minorEastAsia" w:hAnsiTheme="minorEastAsia"/>
          <w:b/>
          <w:szCs w:val="21"/>
        </w:rPr>
      </w:pPr>
      <w:r>
        <w:rPr>
          <w:rFonts w:hint="eastAsia" w:asciiTheme="minorEastAsia" w:hAnsiTheme="minorEastAsia"/>
          <w:b/>
          <w:szCs w:val="21"/>
        </w:rPr>
        <w:t>二、开标记录</w:t>
      </w:r>
    </w:p>
    <w:p>
      <w:pPr>
        <w:pStyle w:val="11"/>
        <w:widowControl/>
        <w:spacing w:before="226" w:beforeAutospacing="0" w:afterAutospacing="0"/>
        <w:rPr>
          <w:rFonts w:cs="宋体" w:asciiTheme="minorEastAsia" w:hAnsiTheme="minorEastAsia" w:eastAsiaTheme="minorEastAsia"/>
          <w:b/>
          <w:color w:val="000000"/>
          <w:sz w:val="21"/>
          <w:szCs w:val="21"/>
          <w:shd w:val="clear" w:color="auto" w:fill="FFFFFF"/>
        </w:rPr>
      </w:pPr>
      <w:r>
        <w:rPr>
          <w:rFonts w:hint="eastAsia" w:cs="宋体" w:asciiTheme="minorEastAsia" w:hAnsiTheme="minorEastAsia" w:eastAsiaTheme="minorEastAsia"/>
          <w:b/>
          <w:color w:val="000000"/>
          <w:sz w:val="21"/>
          <w:szCs w:val="21"/>
          <w:shd w:val="clear" w:color="auto" w:fill="FFFFFF"/>
        </w:rPr>
        <w:t>一标段：</w:t>
      </w:r>
    </w:p>
    <w:tbl>
      <w:tblPr>
        <w:tblStyle w:val="16"/>
        <w:tblW w:w="8295" w:type="dxa"/>
        <w:jc w:val="center"/>
        <w:tblInd w:w="0" w:type="dxa"/>
        <w:tblLayout w:type="fixed"/>
        <w:tblCellMar>
          <w:top w:w="0" w:type="dxa"/>
          <w:left w:w="0" w:type="dxa"/>
          <w:bottom w:w="0" w:type="dxa"/>
          <w:right w:w="0" w:type="dxa"/>
        </w:tblCellMar>
      </w:tblPr>
      <w:tblGrid>
        <w:gridCol w:w="704"/>
        <w:gridCol w:w="2410"/>
        <w:gridCol w:w="1984"/>
        <w:gridCol w:w="640"/>
        <w:gridCol w:w="795"/>
        <w:gridCol w:w="795"/>
        <w:gridCol w:w="967"/>
      </w:tblGrid>
      <w:tr>
        <w:tblPrEx>
          <w:tblLayout w:type="fixed"/>
          <w:tblCellMar>
            <w:top w:w="0" w:type="dxa"/>
            <w:left w:w="0" w:type="dxa"/>
            <w:bottom w:w="0" w:type="dxa"/>
            <w:right w:w="0" w:type="dxa"/>
          </w:tblCellMar>
        </w:tblPrEx>
        <w:trPr>
          <w:trHeight w:val="1398" w:hRule="atLeast"/>
          <w:jc w:val="center"/>
        </w:trPr>
        <w:tc>
          <w:tcPr>
            <w:tcW w:w="7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序号</w:t>
            </w:r>
          </w:p>
        </w:tc>
        <w:tc>
          <w:tcPr>
            <w:tcW w:w="2410"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投标单位</w:t>
            </w:r>
          </w:p>
        </w:tc>
        <w:tc>
          <w:tcPr>
            <w:tcW w:w="1984"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投标报价（元）</w:t>
            </w:r>
          </w:p>
        </w:tc>
        <w:tc>
          <w:tcPr>
            <w:tcW w:w="1435" w:type="dxa"/>
            <w:gridSpan w:val="2"/>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项目负责人</w:t>
            </w:r>
          </w:p>
        </w:tc>
        <w:tc>
          <w:tcPr>
            <w:tcW w:w="795"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密封情况</w:t>
            </w:r>
          </w:p>
        </w:tc>
        <w:tc>
          <w:tcPr>
            <w:tcW w:w="967"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对本次开标过程是否有异议</w:t>
            </w:r>
          </w:p>
        </w:tc>
      </w:tr>
      <w:tr>
        <w:tblPrEx>
          <w:tblLayout w:type="fixed"/>
          <w:tblCellMar>
            <w:top w:w="0" w:type="dxa"/>
            <w:left w:w="0" w:type="dxa"/>
            <w:bottom w:w="0" w:type="dxa"/>
            <w:right w:w="0" w:type="dxa"/>
          </w:tblCellMar>
        </w:tblPrEx>
        <w:trPr>
          <w:trHeight w:val="553"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1</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北京城建勘测设计研究院有限责任公司 </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7273153.00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刘志强</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1030"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2</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中铁第六勘察设计院集团有限公司 </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7096285.00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李明</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832"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3</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中国电建集团华东勘测设计研究院有限公司</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8702305.38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周治祥</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844"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4</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 河北建设勘察研究院有限公司  </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7114855.00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张鹏飞</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672"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5</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 甘肃铁道综合工程勘察院有限公司  </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7131230.00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郭志浩</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838" w:hRule="atLeast"/>
          <w:jc w:val="center"/>
        </w:trPr>
        <w:tc>
          <w:tcPr>
            <w:tcW w:w="704"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6</w:t>
            </w:r>
          </w:p>
        </w:tc>
        <w:tc>
          <w:tcPr>
            <w:tcW w:w="2410"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 中铁第五勘察设计院集团有限公司  </w:t>
            </w:r>
          </w:p>
        </w:tc>
        <w:tc>
          <w:tcPr>
            <w:tcW w:w="1984"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7298865.00 </w:t>
            </w:r>
          </w:p>
        </w:tc>
        <w:tc>
          <w:tcPr>
            <w:tcW w:w="1435"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温向东</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无</w:t>
            </w:r>
          </w:p>
        </w:tc>
      </w:tr>
      <w:tr>
        <w:tblPrEx>
          <w:tblLayout w:type="fixed"/>
          <w:tblCellMar>
            <w:top w:w="0" w:type="dxa"/>
            <w:left w:w="0" w:type="dxa"/>
            <w:bottom w:w="0" w:type="dxa"/>
            <w:right w:w="0" w:type="dxa"/>
          </w:tblCellMar>
        </w:tblPrEx>
        <w:trPr>
          <w:trHeight w:val="540" w:hRule="atLeast"/>
          <w:jc w:val="center"/>
        </w:trPr>
        <w:tc>
          <w:tcPr>
            <w:tcW w:w="3114"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招标控制价</w:t>
            </w:r>
          </w:p>
        </w:tc>
        <w:tc>
          <w:tcPr>
            <w:tcW w:w="1984"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shd w:val="clear" w:color="auto" w:fill="FFFFFF"/>
              </w:rPr>
              <w:t>903万元</w:t>
            </w:r>
          </w:p>
        </w:tc>
        <w:tc>
          <w:tcPr>
            <w:tcW w:w="640"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K值</w:t>
            </w:r>
          </w:p>
        </w:tc>
        <w:tc>
          <w:tcPr>
            <w:tcW w:w="2557" w:type="dxa"/>
            <w:gridSpan w:val="3"/>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540" w:hRule="atLeast"/>
          <w:jc w:val="center"/>
        </w:trPr>
        <w:tc>
          <w:tcPr>
            <w:tcW w:w="3114"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服务周期</w:t>
            </w:r>
          </w:p>
        </w:tc>
        <w:tc>
          <w:tcPr>
            <w:tcW w:w="1984"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shd w:val="clear" w:color="auto" w:fill="FFFFFF"/>
              </w:rPr>
              <w:t>各监测项目应在施工开始前取得初始值，提供周边环境初始状况报告，施工开始后按要求的频率进行监测，当工程施工结束，施工影响安全的因素消除，监测对象变形趋于稳定后，第三方监测单位可向招标人提交停测申请，经批准后方可停止相应的监测工作。</w:t>
            </w:r>
          </w:p>
        </w:tc>
        <w:tc>
          <w:tcPr>
            <w:tcW w:w="640"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质量</w:t>
            </w:r>
          </w:p>
        </w:tc>
        <w:tc>
          <w:tcPr>
            <w:tcW w:w="2557" w:type="dxa"/>
            <w:gridSpan w:val="3"/>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shd w:val="clear" w:color="auto" w:fill="FFFFFF"/>
              </w:rPr>
              <w:t>第三方监测服务及其成果应符合国家、河南省、许昌市现行规范的相关规定和合同约定，并能满足工程需要。</w:t>
            </w:r>
          </w:p>
        </w:tc>
      </w:tr>
      <w:tr>
        <w:tblPrEx>
          <w:tblLayout w:type="fixed"/>
          <w:tblCellMar>
            <w:top w:w="0" w:type="dxa"/>
            <w:left w:w="0" w:type="dxa"/>
            <w:bottom w:w="0" w:type="dxa"/>
            <w:right w:w="0" w:type="dxa"/>
          </w:tblCellMar>
        </w:tblPrEx>
        <w:trPr>
          <w:trHeight w:val="540" w:hRule="atLeast"/>
          <w:jc w:val="center"/>
        </w:trPr>
        <w:tc>
          <w:tcPr>
            <w:tcW w:w="3114"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报价修正情况</w:t>
            </w:r>
          </w:p>
        </w:tc>
        <w:tc>
          <w:tcPr>
            <w:tcW w:w="5181" w:type="dxa"/>
            <w:gridSpan w:val="5"/>
            <w:tcBorders>
              <w:top w:val="nil"/>
              <w:left w:val="nil"/>
              <w:bottom w:val="single" w:color="auto" w:sz="8" w:space="0"/>
              <w:right w:val="single" w:color="auto" w:sz="8" w:space="0"/>
            </w:tcBorders>
            <w:shd w:val="clear" w:color="auto" w:fill="FFFFFF"/>
            <w:vAlign w:val="center"/>
          </w:tcPr>
          <w:p>
            <w:pPr>
              <w:widowControl/>
              <w:rPr>
                <w:rFonts w:asciiTheme="minorEastAsia" w:hAnsiTheme="minorEastAsia"/>
                <w:szCs w:val="21"/>
              </w:rPr>
            </w:pPr>
            <w:r>
              <w:rPr>
                <w:rFonts w:hint="eastAsia" w:cs="宋体" w:asciiTheme="minorEastAsia" w:hAnsiTheme="minorEastAsia"/>
                <w:szCs w:val="21"/>
              </w:rPr>
              <w:t>无</w:t>
            </w:r>
          </w:p>
        </w:tc>
      </w:tr>
    </w:tbl>
    <w:p>
      <w:pPr>
        <w:pStyle w:val="11"/>
        <w:widowControl/>
        <w:spacing w:before="226" w:beforeAutospacing="0" w:afterAutospacing="0"/>
        <w:rPr>
          <w:rFonts w:cs="宋体" w:asciiTheme="minorEastAsia" w:hAnsiTheme="minorEastAsia" w:eastAsiaTheme="minorEastAsia"/>
          <w:b/>
          <w:color w:val="000000"/>
          <w:sz w:val="21"/>
          <w:szCs w:val="21"/>
          <w:shd w:val="clear" w:color="auto" w:fill="FFFFFF"/>
        </w:rPr>
      </w:pPr>
      <w:r>
        <w:rPr>
          <w:rFonts w:hint="eastAsia" w:cs="宋体" w:asciiTheme="minorEastAsia" w:hAnsiTheme="minorEastAsia" w:eastAsiaTheme="minorEastAsia"/>
          <w:b/>
          <w:color w:val="000000"/>
          <w:sz w:val="21"/>
          <w:szCs w:val="21"/>
          <w:shd w:val="clear" w:color="auto" w:fill="FFFFFF"/>
        </w:rPr>
        <w:t>二标段：投标人数不满足法定开标数量，未进入开标程序。</w:t>
      </w:r>
    </w:p>
    <w:p>
      <w:pPr>
        <w:pStyle w:val="11"/>
        <w:widowControl/>
        <w:spacing w:before="226" w:beforeAutospacing="0" w:afterAutospacing="0"/>
        <w:rPr>
          <w:rFonts w:cs="宋体" w:asciiTheme="minorEastAsia" w:hAnsiTheme="minorEastAsia" w:eastAsiaTheme="minorEastAsia"/>
          <w:b/>
          <w:color w:val="000000"/>
          <w:sz w:val="21"/>
          <w:szCs w:val="21"/>
          <w:shd w:val="clear" w:color="auto" w:fill="FFFFFF"/>
        </w:rPr>
      </w:pPr>
      <w:r>
        <w:rPr>
          <w:rFonts w:hint="eastAsia" w:cs="宋体" w:asciiTheme="minorEastAsia" w:hAnsiTheme="minorEastAsia" w:eastAsiaTheme="minorEastAsia"/>
          <w:b/>
          <w:color w:val="000000"/>
          <w:sz w:val="21"/>
          <w:szCs w:val="21"/>
          <w:shd w:val="clear" w:color="auto" w:fill="FFFFFF"/>
        </w:rPr>
        <w:t>三标段：</w:t>
      </w:r>
    </w:p>
    <w:tbl>
      <w:tblPr>
        <w:tblStyle w:val="16"/>
        <w:tblW w:w="8295" w:type="dxa"/>
        <w:jc w:val="center"/>
        <w:tblInd w:w="0" w:type="dxa"/>
        <w:tblLayout w:type="fixed"/>
        <w:tblCellMar>
          <w:top w:w="0" w:type="dxa"/>
          <w:left w:w="0" w:type="dxa"/>
          <w:bottom w:w="0" w:type="dxa"/>
          <w:right w:w="0" w:type="dxa"/>
        </w:tblCellMar>
      </w:tblPr>
      <w:tblGrid>
        <w:gridCol w:w="592"/>
        <w:gridCol w:w="1541"/>
        <w:gridCol w:w="2501"/>
        <w:gridCol w:w="1104"/>
        <w:gridCol w:w="795"/>
        <w:gridCol w:w="795"/>
        <w:gridCol w:w="967"/>
      </w:tblGrid>
      <w:tr>
        <w:tblPrEx>
          <w:tblLayout w:type="fixed"/>
          <w:tblCellMar>
            <w:top w:w="0" w:type="dxa"/>
            <w:left w:w="0" w:type="dxa"/>
            <w:bottom w:w="0" w:type="dxa"/>
            <w:right w:w="0" w:type="dxa"/>
          </w:tblCellMar>
        </w:tblPrEx>
        <w:trPr>
          <w:trHeight w:val="1010" w:hRule="atLeast"/>
          <w:jc w:val="center"/>
        </w:trPr>
        <w:tc>
          <w:tcPr>
            <w:tcW w:w="5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序号</w:t>
            </w:r>
          </w:p>
        </w:tc>
        <w:tc>
          <w:tcPr>
            <w:tcW w:w="1541"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投标单位</w:t>
            </w:r>
          </w:p>
        </w:tc>
        <w:tc>
          <w:tcPr>
            <w:tcW w:w="2501"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投标报价（元）</w:t>
            </w:r>
          </w:p>
        </w:tc>
        <w:tc>
          <w:tcPr>
            <w:tcW w:w="1899" w:type="dxa"/>
            <w:gridSpan w:val="2"/>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项目负责人</w:t>
            </w:r>
          </w:p>
        </w:tc>
        <w:tc>
          <w:tcPr>
            <w:tcW w:w="795"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密封情况</w:t>
            </w:r>
          </w:p>
        </w:tc>
        <w:tc>
          <w:tcPr>
            <w:tcW w:w="967" w:type="dxa"/>
            <w:tcBorders>
              <w:top w:val="single" w:color="auto" w:sz="8" w:space="0"/>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对本次开标过程是否有异议</w:t>
            </w:r>
          </w:p>
        </w:tc>
      </w:tr>
      <w:tr>
        <w:tblPrEx>
          <w:tblLayout w:type="fixed"/>
          <w:tblCellMar>
            <w:top w:w="0" w:type="dxa"/>
            <w:left w:w="0" w:type="dxa"/>
            <w:bottom w:w="0" w:type="dxa"/>
            <w:right w:w="0" w:type="dxa"/>
          </w:tblCellMar>
        </w:tblPrEx>
        <w:trPr>
          <w:trHeight w:val="840"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1</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北京城建勘测设计研究院有限责任公司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11942540.00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p>
          <w:p>
            <w:pPr>
              <w:snapToGrid w:val="0"/>
              <w:jc w:val="center"/>
              <w:rPr>
                <w:rFonts w:cs="宋体" w:asciiTheme="minorEastAsia" w:hAnsiTheme="minorEastAsia"/>
                <w:szCs w:val="21"/>
              </w:rPr>
            </w:pPr>
            <w:r>
              <w:rPr>
                <w:rFonts w:hint="eastAsia" w:cs="宋体" w:asciiTheme="minorEastAsia" w:hAnsiTheme="minorEastAsia"/>
                <w:szCs w:val="21"/>
              </w:rPr>
              <w:t>马尧成</w:t>
            </w:r>
          </w:p>
        </w:tc>
        <w:tc>
          <w:tcPr>
            <w:tcW w:w="795"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snapToGrid w:val="0"/>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1009"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2</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中铁第六勘察设计院集团有限公司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11700000.00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王磊</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840"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3</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郑州中核岩土工程有限公司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12156180.00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董建军</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824"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4</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中铁工程设计咨询集团有限公司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12153990.00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陈以军</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822"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p>
          <w:p>
            <w:pPr>
              <w:pStyle w:val="6"/>
              <w:ind w:firstLine="210"/>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中铁二院工程集团有限责任公司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11976173.58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刘凯</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848"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6</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甘肃铁道综合工程勘察院有限公司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11573500.00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郭志浩</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889" w:hRule="atLeast"/>
          <w:jc w:val="center"/>
        </w:trPr>
        <w:tc>
          <w:tcPr>
            <w:tcW w:w="592"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7</w:t>
            </w:r>
          </w:p>
        </w:tc>
        <w:tc>
          <w:tcPr>
            <w:tcW w:w="1541"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 xml:space="preserve">中铁第五勘察设计院集团有限公司 </w:t>
            </w:r>
          </w:p>
        </w:tc>
        <w:tc>
          <w:tcPr>
            <w:tcW w:w="250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12457882.00 </w:t>
            </w:r>
          </w:p>
        </w:tc>
        <w:tc>
          <w:tcPr>
            <w:tcW w:w="1899" w:type="dxa"/>
            <w:gridSpan w:val="2"/>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高磊</w:t>
            </w:r>
          </w:p>
        </w:tc>
        <w:tc>
          <w:tcPr>
            <w:tcW w:w="795"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完好</w:t>
            </w:r>
          </w:p>
        </w:tc>
        <w:tc>
          <w:tcPr>
            <w:tcW w:w="967" w:type="dxa"/>
            <w:tcBorders>
              <w:top w:val="nil"/>
              <w:left w:val="nil"/>
              <w:bottom w:val="single" w:color="auto" w:sz="8" w:space="0"/>
              <w:right w:val="single" w:color="auto" w:sz="8" w:space="0"/>
            </w:tcBorders>
            <w:shd w:val="clear" w:color="auto" w:fill="FFFFFF"/>
            <w:vAlign w:val="center"/>
          </w:tcPr>
          <w:p>
            <w:pPr>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540" w:hRule="atLeast"/>
          <w:jc w:val="center"/>
        </w:trPr>
        <w:tc>
          <w:tcPr>
            <w:tcW w:w="2133"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招标控制价</w:t>
            </w:r>
          </w:p>
        </w:tc>
        <w:tc>
          <w:tcPr>
            <w:tcW w:w="2501"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1465万元</w:t>
            </w:r>
          </w:p>
        </w:tc>
        <w:tc>
          <w:tcPr>
            <w:tcW w:w="1104"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K值</w:t>
            </w:r>
          </w:p>
        </w:tc>
        <w:tc>
          <w:tcPr>
            <w:tcW w:w="2557" w:type="dxa"/>
            <w:gridSpan w:val="3"/>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asciiTheme="minorEastAsia" w:hAnsiTheme="minorEastAsia"/>
                <w:szCs w:val="21"/>
              </w:rPr>
              <w:t>无</w:t>
            </w:r>
          </w:p>
        </w:tc>
      </w:tr>
      <w:tr>
        <w:tblPrEx>
          <w:tblLayout w:type="fixed"/>
          <w:tblCellMar>
            <w:top w:w="0" w:type="dxa"/>
            <w:left w:w="0" w:type="dxa"/>
            <w:bottom w:w="0" w:type="dxa"/>
            <w:right w:w="0" w:type="dxa"/>
          </w:tblCellMar>
        </w:tblPrEx>
        <w:trPr>
          <w:trHeight w:val="540" w:hRule="atLeast"/>
          <w:jc w:val="center"/>
        </w:trPr>
        <w:tc>
          <w:tcPr>
            <w:tcW w:w="2133"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服务周期</w:t>
            </w:r>
          </w:p>
        </w:tc>
        <w:tc>
          <w:tcPr>
            <w:tcW w:w="2501"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shd w:val="clear" w:color="auto" w:fill="FFFFFF"/>
              </w:rPr>
              <w:t>全部工作完成（含工后监测）及提交报告时间满足发包人对本工程进度的要求。</w:t>
            </w:r>
          </w:p>
        </w:tc>
        <w:tc>
          <w:tcPr>
            <w:tcW w:w="1104"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质量</w:t>
            </w:r>
          </w:p>
        </w:tc>
        <w:tc>
          <w:tcPr>
            <w:tcW w:w="2557" w:type="dxa"/>
            <w:gridSpan w:val="3"/>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shd w:val="clear" w:color="auto" w:fill="FFFFFF"/>
              </w:rPr>
              <w:t>服务及其文件应符合国家现行规范的相关规定和合同约定，并能满足项目需要。服务应充分考虑与设计、施工、产权等单位的配合工作，满足设计需要。</w:t>
            </w:r>
          </w:p>
        </w:tc>
      </w:tr>
      <w:tr>
        <w:tblPrEx>
          <w:tblLayout w:type="fixed"/>
          <w:tblCellMar>
            <w:top w:w="0" w:type="dxa"/>
            <w:left w:w="0" w:type="dxa"/>
            <w:bottom w:w="0" w:type="dxa"/>
            <w:right w:w="0" w:type="dxa"/>
          </w:tblCellMar>
        </w:tblPrEx>
        <w:trPr>
          <w:trHeight w:val="540" w:hRule="atLeast"/>
          <w:jc w:val="center"/>
        </w:trPr>
        <w:tc>
          <w:tcPr>
            <w:tcW w:w="2133"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报价修正情况</w:t>
            </w:r>
          </w:p>
        </w:tc>
        <w:tc>
          <w:tcPr>
            <w:tcW w:w="6162" w:type="dxa"/>
            <w:gridSpan w:val="5"/>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无</w:t>
            </w:r>
          </w:p>
        </w:tc>
      </w:tr>
    </w:tbl>
    <w:p>
      <w:pPr>
        <w:rPr>
          <w:rFonts w:asciiTheme="minorEastAsia" w:hAnsiTheme="minorEastAsia"/>
          <w:szCs w:val="21"/>
        </w:rPr>
      </w:pP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b/>
          <w:bCs/>
          <w:color w:val="000000"/>
          <w:kern w:val="0"/>
          <w:szCs w:val="21"/>
        </w:rPr>
        <w:t>三、评标标准、评标办法或者评标因素一览表</w:t>
      </w:r>
    </w:p>
    <w:p>
      <w:pPr>
        <w:widowControl/>
        <w:shd w:val="clear" w:color="auto" w:fill="FFFFFF"/>
        <w:spacing w:line="360" w:lineRule="auto"/>
        <w:ind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详见招标文件</w:t>
      </w:r>
    </w:p>
    <w:p>
      <w:pPr>
        <w:rPr>
          <w:rFonts w:asciiTheme="minorEastAsia" w:hAnsiTheme="minorEastAsia"/>
          <w:szCs w:val="21"/>
        </w:rPr>
      </w:pPr>
      <w:r>
        <w:rPr>
          <w:rFonts w:hint="eastAsia" w:asciiTheme="minorEastAsia" w:hAnsiTheme="minorEastAsia"/>
          <w:b/>
          <w:bCs/>
          <w:color w:val="000000"/>
          <w:szCs w:val="21"/>
        </w:rPr>
        <w:t>四、评审情况</w:t>
      </w:r>
    </w:p>
    <w:p>
      <w:pPr>
        <w:widowControl/>
        <w:spacing w:before="226"/>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初步评审</w:t>
      </w:r>
    </w:p>
    <w:p>
      <w:pPr>
        <w:pStyle w:val="6"/>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一标段：</w:t>
      </w:r>
    </w:p>
    <w:tbl>
      <w:tblPr>
        <w:tblStyle w:val="16"/>
        <w:tblW w:w="8299" w:type="dxa"/>
        <w:jc w:val="center"/>
        <w:tblInd w:w="0" w:type="dxa"/>
        <w:tblLayout w:type="fixed"/>
        <w:tblCellMar>
          <w:top w:w="0" w:type="dxa"/>
          <w:left w:w="0" w:type="dxa"/>
          <w:bottom w:w="0" w:type="dxa"/>
          <w:right w:w="0" w:type="dxa"/>
        </w:tblCellMar>
      </w:tblPr>
      <w:tblGrid>
        <w:gridCol w:w="618"/>
        <w:gridCol w:w="7681"/>
      </w:tblGrid>
      <w:tr>
        <w:tblPrEx>
          <w:tblLayout w:type="fixed"/>
        </w:tblPrEx>
        <w:trPr>
          <w:trHeight w:val="540" w:hRule="atLeast"/>
          <w:jc w:val="center"/>
        </w:trPr>
        <w:tc>
          <w:tcPr>
            <w:tcW w:w="82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通过初步评审的投标人</w:t>
            </w:r>
          </w:p>
        </w:tc>
      </w:tr>
      <w:tr>
        <w:tblPrEx>
          <w:tblLayout w:type="fixed"/>
        </w:tblPrEx>
        <w:trPr>
          <w:trHeight w:val="47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序号</w:t>
            </w:r>
          </w:p>
        </w:tc>
        <w:tc>
          <w:tcPr>
            <w:tcW w:w="7681"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投标人名称</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1</w:t>
            </w:r>
          </w:p>
        </w:tc>
        <w:tc>
          <w:tcPr>
            <w:tcW w:w="768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中铁第六勘察设计院集团有限公司</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2</w:t>
            </w:r>
          </w:p>
        </w:tc>
        <w:tc>
          <w:tcPr>
            <w:tcW w:w="768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中国电建集团华东勘测设计研究院有限公司</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3</w:t>
            </w:r>
          </w:p>
        </w:tc>
        <w:tc>
          <w:tcPr>
            <w:tcW w:w="768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河北建设勘察研究院有限公司  </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4</w:t>
            </w:r>
          </w:p>
        </w:tc>
        <w:tc>
          <w:tcPr>
            <w:tcW w:w="7681" w:type="dxa"/>
            <w:tcBorders>
              <w:top w:val="nil"/>
              <w:left w:val="nil"/>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 xml:space="preserve">中铁第五勘察设计院集团有限公司  </w:t>
            </w:r>
          </w:p>
        </w:tc>
      </w:tr>
      <w:tr>
        <w:tblPrEx>
          <w:tblLayout w:type="fixed"/>
          <w:tblCellMar>
            <w:top w:w="0" w:type="dxa"/>
            <w:left w:w="0" w:type="dxa"/>
            <w:bottom w:w="0" w:type="dxa"/>
            <w:right w:w="0" w:type="dxa"/>
          </w:tblCellMar>
        </w:tblPrEx>
        <w:trPr>
          <w:trHeight w:val="540" w:hRule="atLeast"/>
          <w:jc w:val="center"/>
        </w:trPr>
        <w:tc>
          <w:tcPr>
            <w:tcW w:w="8299" w:type="dxa"/>
            <w:gridSpan w:val="2"/>
            <w:tcBorders>
              <w:top w:val="nil"/>
              <w:left w:val="single" w:color="auto" w:sz="8" w:space="0"/>
              <w:bottom w:val="single" w:color="auto" w:sz="8" w:space="0"/>
              <w:right w:val="single" w:color="auto" w:sz="8" w:space="0"/>
            </w:tcBorders>
            <w:shd w:val="clear" w:color="auto" w:fill="FFFFFF"/>
            <w:vAlign w:val="center"/>
          </w:tcPr>
          <w:p>
            <w:pPr>
              <w:snapToGrid w:val="0"/>
              <w:jc w:val="center"/>
              <w:rPr>
                <w:rFonts w:asciiTheme="minorEastAsia" w:hAnsiTheme="minorEastAsia"/>
                <w:szCs w:val="21"/>
              </w:rPr>
            </w:pPr>
            <w:r>
              <w:rPr>
                <w:rFonts w:hint="eastAsia" w:cs="宋体" w:asciiTheme="minorEastAsia" w:hAnsiTheme="minorEastAsia"/>
                <w:szCs w:val="21"/>
              </w:rPr>
              <w:t>未通过初步评审的投标人及原因</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1</w:t>
            </w:r>
          </w:p>
        </w:tc>
        <w:tc>
          <w:tcPr>
            <w:tcW w:w="7681" w:type="dxa"/>
            <w:tcBorders>
              <w:top w:val="nil"/>
              <w:left w:val="nil"/>
              <w:bottom w:val="single" w:color="auto" w:sz="8" w:space="0"/>
              <w:right w:val="single" w:color="auto" w:sz="8" w:space="0"/>
            </w:tcBorders>
            <w:shd w:val="clear" w:color="auto" w:fill="FFFFFF"/>
            <w:vAlign w:val="center"/>
          </w:tcPr>
          <w:p>
            <w:pPr>
              <w:snapToGrid w:val="0"/>
              <w:jc w:val="left"/>
              <w:rPr>
                <w:rFonts w:cs="宋体" w:asciiTheme="minorEastAsia" w:hAnsiTheme="minorEastAsia"/>
                <w:szCs w:val="21"/>
              </w:rPr>
            </w:pPr>
            <w:r>
              <w:rPr>
                <w:rFonts w:hint="eastAsia" w:cs="宋体" w:asciiTheme="minorEastAsia" w:hAnsiTheme="minorEastAsia"/>
                <w:szCs w:val="21"/>
              </w:rPr>
              <w:t xml:space="preserve">北京城建勘测设计研究院有限责任公司    </w:t>
            </w:r>
          </w:p>
          <w:p>
            <w:pPr>
              <w:snapToGrid w:val="0"/>
              <w:jc w:val="left"/>
              <w:rPr>
                <w:rFonts w:cs="宋体" w:asciiTheme="minorEastAsia" w:hAnsiTheme="minorEastAsia"/>
                <w:szCs w:val="21"/>
              </w:rPr>
            </w:pPr>
            <w:r>
              <w:rPr>
                <w:rFonts w:hint="eastAsia" w:cs="宋体" w:asciiTheme="minorEastAsia" w:hAnsiTheme="minorEastAsia"/>
                <w:szCs w:val="21"/>
              </w:rPr>
              <w:t>原因：不符合评标办法2.1.1，信用承诺书无法定代表人或其委托代理人签字或盖章也未加盖单位公章，不通过形式评审</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2</w:t>
            </w:r>
          </w:p>
        </w:tc>
        <w:tc>
          <w:tcPr>
            <w:tcW w:w="7681" w:type="dxa"/>
            <w:tcBorders>
              <w:top w:val="nil"/>
              <w:left w:val="nil"/>
              <w:bottom w:val="single" w:color="auto" w:sz="8" w:space="0"/>
              <w:right w:val="single" w:color="auto" w:sz="8" w:space="0"/>
            </w:tcBorders>
            <w:shd w:val="clear" w:color="auto" w:fill="FFFFFF"/>
            <w:vAlign w:val="center"/>
          </w:tcPr>
          <w:p>
            <w:pPr>
              <w:snapToGrid w:val="0"/>
              <w:jc w:val="left"/>
              <w:rPr>
                <w:rFonts w:cs="宋体" w:asciiTheme="minorEastAsia" w:hAnsiTheme="minorEastAsia"/>
                <w:szCs w:val="21"/>
              </w:rPr>
            </w:pPr>
            <w:r>
              <w:rPr>
                <w:rFonts w:hint="eastAsia" w:cs="宋体" w:asciiTheme="minorEastAsia" w:hAnsiTheme="minorEastAsia"/>
                <w:szCs w:val="21"/>
              </w:rPr>
              <w:t xml:space="preserve">甘肃铁道综合工程勘察院有限公司     </w:t>
            </w:r>
          </w:p>
          <w:p>
            <w:pPr>
              <w:snapToGrid w:val="0"/>
              <w:jc w:val="left"/>
              <w:rPr>
                <w:rFonts w:cs="宋体" w:asciiTheme="minorEastAsia" w:hAnsiTheme="minorEastAsia"/>
                <w:szCs w:val="21"/>
              </w:rPr>
            </w:pPr>
            <w:r>
              <w:rPr>
                <w:rFonts w:hint="eastAsia" w:cs="宋体" w:asciiTheme="minorEastAsia" w:hAnsiTheme="minorEastAsia"/>
                <w:szCs w:val="21"/>
              </w:rPr>
              <w:t>原因：不符合评标办法第2.1.1条款：授权委托书中其委托代理人未签字或盖章，不通过形式评审</w:t>
            </w:r>
          </w:p>
        </w:tc>
      </w:tr>
    </w:tbl>
    <w:p>
      <w:pPr>
        <w:pStyle w:val="6"/>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三标段：</w:t>
      </w:r>
    </w:p>
    <w:tbl>
      <w:tblPr>
        <w:tblStyle w:val="16"/>
        <w:tblW w:w="8299" w:type="dxa"/>
        <w:jc w:val="center"/>
        <w:tblInd w:w="0" w:type="dxa"/>
        <w:tblLayout w:type="fixed"/>
        <w:tblCellMar>
          <w:top w:w="0" w:type="dxa"/>
          <w:left w:w="0" w:type="dxa"/>
          <w:bottom w:w="0" w:type="dxa"/>
          <w:right w:w="0" w:type="dxa"/>
        </w:tblCellMar>
      </w:tblPr>
      <w:tblGrid>
        <w:gridCol w:w="618"/>
        <w:gridCol w:w="7681"/>
      </w:tblGrid>
      <w:tr>
        <w:tblPrEx>
          <w:tblLayout w:type="fixed"/>
          <w:tblCellMar>
            <w:top w:w="0" w:type="dxa"/>
            <w:left w:w="0" w:type="dxa"/>
            <w:bottom w:w="0" w:type="dxa"/>
            <w:right w:w="0" w:type="dxa"/>
          </w:tblCellMar>
        </w:tblPrEx>
        <w:trPr>
          <w:trHeight w:val="540" w:hRule="atLeast"/>
          <w:jc w:val="center"/>
        </w:trPr>
        <w:tc>
          <w:tcPr>
            <w:tcW w:w="82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通过初步评审的投标人</w:t>
            </w:r>
          </w:p>
        </w:tc>
      </w:tr>
      <w:tr>
        <w:tblPrEx>
          <w:tblLayout w:type="fixed"/>
          <w:tblCellMar>
            <w:top w:w="0" w:type="dxa"/>
            <w:left w:w="0" w:type="dxa"/>
            <w:bottom w:w="0" w:type="dxa"/>
            <w:right w:w="0" w:type="dxa"/>
          </w:tblCellMar>
        </w:tblPrEx>
        <w:trPr>
          <w:trHeight w:val="461"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序号</w:t>
            </w:r>
          </w:p>
        </w:tc>
        <w:tc>
          <w:tcPr>
            <w:tcW w:w="7681" w:type="dxa"/>
            <w:tcBorders>
              <w:top w:val="nil"/>
              <w:left w:val="nil"/>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投标人名称</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1</w:t>
            </w:r>
          </w:p>
        </w:tc>
        <w:tc>
          <w:tcPr>
            <w:tcW w:w="7681"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中铁工程设计咨询集团有限公司</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2</w:t>
            </w:r>
          </w:p>
        </w:tc>
        <w:tc>
          <w:tcPr>
            <w:tcW w:w="7681"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中铁二院工程集团有限责任公司</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3</w:t>
            </w:r>
          </w:p>
        </w:tc>
        <w:tc>
          <w:tcPr>
            <w:tcW w:w="7681"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中铁第六勘察设计院集团有限公司</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4</w:t>
            </w:r>
          </w:p>
        </w:tc>
        <w:tc>
          <w:tcPr>
            <w:tcW w:w="7681"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北京城建勘测设计研究院有限责任公司</w:t>
            </w:r>
          </w:p>
        </w:tc>
      </w:tr>
      <w:tr>
        <w:tblPrEx>
          <w:tblLayout w:type="fixed"/>
          <w:tblCellMar>
            <w:top w:w="0" w:type="dxa"/>
            <w:left w:w="0" w:type="dxa"/>
            <w:bottom w:w="0" w:type="dxa"/>
            <w:right w:w="0" w:type="dxa"/>
          </w:tblCellMar>
        </w:tblPrEx>
        <w:trPr>
          <w:trHeight w:val="728"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widowControl/>
              <w:jc w:val="center"/>
              <w:rPr>
                <w:rFonts w:cs="宋体" w:asciiTheme="minorEastAsia" w:hAnsiTheme="minorEastAsia"/>
                <w:szCs w:val="21"/>
              </w:rPr>
            </w:pPr>
            <w:r>
              <w:rPr>
                <w:rFonts w:hint="eastAsia" w:cs="宋体" w:asciiTheme="minorEastAsia" w:hAnsiTheme="minorEastAsia"/>
                <w:szCs w:val="21"/>
              </w:rPr>
              <w:t>5</w:t>
            </w:r>
          </w:p>
        </w:tc>
        <w:tc>
          <w:tcPr>
            <w:tcW w:w="7681"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郑州中核岩土工程有限公司</w:t>
            </w:r>
          </w:p>
        </w:tc>
      </w:tr>
      <w:tr>
        <w:tblPrEx>
          <w:tblLayout w:type="fixed"/>
          <w:tblCellMar>
            <w:top w:w="0" w:type="dxa"/>
            <w:left w:w="0" w:type="dxa"/>
            <w:bottom w:w="0" w:type="dxa"/>
            <w:right w:w="0" w:type="dxa"/>
          </w:tblCellMar>
        </w:tblPrEx>
        <w:trPr>
          <w:trHeight w:val="540" w:hRule="atLeast"/>
          <w:jc w:val="center"/>
        </w:trPr>
        <w:tc>
          <w:tcPr>
            <w:tcW w:w="8299" w:type="dxa"/>
            <w:gridSpan w:val="2"/>
            <w:tcBorders>
              <w:top w:val="nil"/>
              <w:left w:val="single" w:color="auto" w:sz="8" w:space="0"/>
              <w:bottom w:val="single" w:color="auto" w:sz="8" w:space="0"/>
              <w:right w:val="single" w:color="auto" w:sz="8" w:space="0"/>
            </w:tcBorders>
            <w:shd w:val="clear" w:color="auto" w:fill="FFFFFF"/>
            <w:vAlign w:val="center"/>
          </w:tcPr>
          <w:p>
            <w:pPr>
              <w:widowControl/>
              <w:jc w:val="center"/>
              <w:rPr>
                <w:rFonts w:asciiTheme="minorEastAsia" w:hAnsiTheme="minorEastAsia"/>
                <w:szCs w:val="21"/>
              </w:rPr>
            </w:pPr>
            <w:r>
              <w:rPr>
                <w:rFonts w:hint="eastAsia" w:cs="宋体" w:asciiTheme="minorEastAsia" w:hAnsiTheme="minorEastAsia"/>
                <w:szCs w:val="21"/>
              </w:rPr>
              <w:t>未通过初步评审的投标人及原因</w:t>
            </w:r>
          </w:p>
        </w:tc>
      </w:tr>
      <w:tr>
        <w:tblPrEx>
          <w:tblLayout w:type="fixed"/>
          <w:tblCellMar>
            <w:top w:w="0" w:type="dxa"/>
            <w:left w:w="0" w:type="dxa"/>
            <w:bottom w:w="0" w:type="dxa"/>
            <w:right w:w="0" w:type="dxa"/>
          </w:tblCellMar>
        </w:tblPrEx>
        <w:trPr>
          <w:trHeight w:val="846"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1</w:t>
            </w:r>
          </w:p>
        </w:tc>
        <w:tc>
          <w:tcPr>
            <w:tcW w:w="7681" w:type="dxa"/>
            <w:tcBorders>
              <w:top w:val="nil"/>
              <w:left w:val="nil"/>
              <w:bottom w:val="single" w:color="auto" w:sz="8" w:space="0"/>
              <w:right w:val="single" w:color="auto" w:sz="8" w:space="0"/>
            </w:tcBorders>
            <w:shd w:val="clear" w:color="auto" w:fill="FFFFFF"/>
            <w:vAlign w:val="center"/>
          </w:tcPr>
          <w:p>
            <w:pPr>
              <w:snapToGrid w:val="0"/>
              <w:jc w:val="left"/>
              <w:rPr>
                <w:rFonts w:cs="宋体" w:asciiTheme="minorEastAsia" w:hAnsiTheme="minorEastAsia"/>
                <w:szCs w:val="21"/>
              </w:rPr>
            </w:pPr>
            <w:r>
              <w:rPr>
                <w:rFonts w:hint="eastAsia" w:cs="宋体" w:asciiTheme="minorEastAsia" w:hAnsiTheme="minorEastAsia"/>
                <w:szCs w:val="21"/>
              </w:rPr>
              <w:t xml:space="preserve">中铁第五勘察设计院集团有限公司   </w:t>
            </w:r>
          </w:p>
          <w:p>
            <w:pPr>
              <w:snapToGrid w:val="0"/>
              <w:jc w:val="left"/>
              <w:rPr>
                <w:rFonts w:cs="宋体" w:asciiTheme="minorEastAsia" w:hAnsiTheme="minorEastAsia"/>
                <w:szCs w:val="21"/>
              </w:rPr>
            </w:pPr>
            <w:r>
              <w:rPr>
                <w:rFonts w:hint="eastAsia" w:cs="宋体" w:asciiTheme="minorEastAsia" w:hAnsiTheme="minorEastAsia"/>
                <w:szCs w:val="21"/>
              </w:rPr>
              <w:t>原因：投标人擅自修改《投标报价表》中内容，其投标文件做否决投标处理</w:t>
            </w:r>
          </w:p>
        </w:tc>
      </w:tr>
      <w:tr>
        <w:tblPrEx>
          <w:tblLayout w:type="fixed"/>
          <w:tblCellMar>
            <w:top w:w="0" w:type="dxa"/>
            <w:left w:w="0" w:type="dxa"/>
            <w:bottom w:w="0" w:type="dxa"/>
            <w:right w:w="0" w:type="dxa"/>
          </w:tblCellMar>
        </w:tblPrEx>
        <w:trPr>
          <w:trHeight w:val="540" w:hRule="atLeast"/>
          <w:jc w:val="center"/>
        </w:trPr>
        <w:tc>
          <w:tcPr>
            <w:tcW w:w="618" w:type="dxa"/>
            <w:tcBorders>
              <w:top w:val="nil"/>
              <w:left w:val="single" w:color="auto" w:sz="8" w:space="0"/>
              <w:bottom w:val="single" w:color="auto" w:sz="8" w:space="0"/>
              <w:right w:val="single" w:color="auto" w:sz="8" w:space="0"/>
            </w:tcBorders>
            <w:shd w:val="clear" w:color="auto" w:fill="FFFFFF"/>
            <w:vAlign w:val="center"/>
          </w:tcPr>
          <w:p>
            <w:pPr>
              <w:snapToGrid w:val="0"/>
              <w:jc w:val="center"/>
              <w:rPr>
                <w:rFonts w:cs="宋体" w:asciiTheme="minorEastAsia" w:hAnsiTheme="minorEastAsia"/>
                <w:szCs w:val="21"/>
              </w:rPr>
            </w:pPr>
            <w:r>
              <w:rPr>
                <w:rFonts w:hint="eastAsia" w:cs="宋体" w:asciiTheme="minorEastAsia" w:hAnsiTheme="minorEastAsia"/>
                <w:szCs w:val="21"/>
              </w:rPr>
              <w:t>2</w:t>
            </w:r>
          </w:p>
        </w:tc>
        <w:tc>
          <w:tcPr>
            <w:tcW w:w="7681" w:type="dxa"/>
            <w:tcBorders>
              <w:top w:val="nil"/>
              <w:left w:val="nil"/>
              <w:bottom w:val="single" w:color="auto" w:sz="8" w:space="0"/>
              <w:right w:val="single" w:color="auto" w:sz="8" w:space="0"/>
            </w:tcBorders>
            <w:shd w:val="clear" w:color="auto" w:fill="FFFFFF"/>
            <w:vAlign w:val="center"/>
          </w:tcPr>
          <w:p>
            <w:pPr>
              <w:snapToGrid w:val="0"/>
              <w:jc w:val="left"/>
              <w:rPr>
                <w:rFonts w:cs="宋体" w:asciiTheme="minorEastAsia" w:hAnsiTheme="minorEastAsia"/>
                <w:szCs w:val="21"/>
              </w:rPr>
            </w:pPr>
            <w:r>
              <w:rPr>
                <w:rFonts w:hint="eastAsia" w:cs="宋体" w:asciiTheme="minorEastAsia" w:hAnsiTheme="minorEastAsia"/>
                <w:szCs w:val="21"/>
              </w:rPr>
              <w:t xml:space="preserve">甘肃铁道综合工程勘察院有限公司    </w:t>
            </w:r>
          </w:p>
          <w:p>
            <w:pPr>
              <w:snapToGrid w:val="0"/>
              <w:jc w:val="left"/>
              <w:rPr>
                <w:rFonts w:cs="宋体" w:asciiTheme="minorEastAsia" w:hAnsiTheme="minorEastAsia"/>
                <w:szCs w:val="21"/>
              </w:rPr>
            </w:pPr>
            <w:r>
              <w:rPr>
                <w:rFonts w:hint="eastAsia" w:cs="宋体" w:asciiTheme="minorEastAsia" w:hAnsiTheme="minorEastAsia"/>
                <w:szCs w:val="21"/>
              </w:rPr>
              <w:t>原因：不符合评标办法第2.1.1条款：授权委托书中其委托代理人未签字或盖章，不通过形式评审</w:t>
            </w:r>
          </w:p>
        </w:tc>
      </w:tr>
    </w:tbl>
    <w:p>
      <w:pPr>
        <w:ind w:firstLine="420" w:firstLineChars="200"/>
        <w:rPr>
          <w:rFonts w:asciiTheme="minorEastAsia" w:hAnsiTheme="minorEastAsia"/>
          <w:szCs w:val="21"/>
        </w:rPr>
      </w:pPr>
    </w:p>
    <w:p>
      <w:pPr>
        <w:rPr>
          <w:rFonts w:cs="宋体" w:asciiTheme="minorEastAsia" w:hAnsiTheme="minorEastAsia"/>
          <w:b/>
          <w:bCs/>
          <w:szCs w:val="21"/>
        </w:rPr>
      </w:pPr>
      <w:r>
        <w:rPr>
          <w:rFonts w:hint="eastAsia" w:cs="宋体" w:asciiTheme="minorEastAsia" w:hAnsiTheme="minorEastAsia"/>
          <w:b/>
          <w:bCs/>
          <w:szCs w:val="21"/>
        </w:rPr>
        <w:t>五、经评审的投标人排序</w:t>
      </w:r>
    </w:p>
    <w:p>
      <w:pPr>
        <w:rPr>
          <w:rFonts w:cs="宋体" w:asciiTheme="minorEastAsia" w:hAnsiTheme="minorEastAsia"/>
          <w:szCs w:val="21"/>
        </w:rPr>
      </w:pPr>
      <w:r>
        <w:rPr>
          <w:rFonts w:hint="eastAsia" w:cs="宋体" w:asciiTheme="minorEastAsia" w:hAnsiTheme="minorEastAsia"/>
          <w:szCs w:val="21"/>
        </w:rPr>
        <w:t>根据招标文件的规定，评标委员会按综合得分由高到低排序如下：</w:t>
      </w:r>
    </w:p>
    <w:p>
      <w:pPr>
        <w:pStyle w:val="6"/>
        <w:ind w:firstLine="210"/>
        <w:rPr>
          <w:rFonts w:asciiTheme="minorEastAsia" w:hAnsiTheme="minorEastAsia" w:eastAsiaTheme="minorEastAsia"/>
          <w:sz w:val="21"/>
          <w:szCs w:val="21"/>
        </w:rPr>
      </w:pPr>
      <w:r>
        <w:rPr>
          <w:rFonts w:hint="eastAsia" w:cs="宋体" w:asciiTheme="minorEastAsia" w:hAnsiTheme="minorEastAsia" w:eastAsiaTheme="minorEastAsia"/>
          <w:sz w:val="21"/>
          <w:szCs w:val="21"/>
        </w:rPr>
        <w:t>一标段：</w:t>
      </w:r>
    </w:p>
    <w:tbl>
      <w:tblPr>
        <w:tblStyle w:val="16"/>
        <w:tblW w:w="8211"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93"/>
        <w:gridCol w:w="1440"/>
        <w:gridCol w:w="1391"/>
        <w:gridCol w:w="1372"/>
        <w:gridCol w:w="13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6" w:hRule="atLeast"/>
          <w:jc w:val="center"/>
        </w:trPr>
        <w:tc>
          <w:tcPr>
            <w:tcW w:w="2693"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11"/>
              <w:widowControl/>
              <w:spacing w:beforeAutospacing="0" w:afterAutospacing="0"/>
              <w:ind w:firstLine="28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投标人</w:t>
            </w:r>
          </w:p>
        </w:tc>
        <w:tc>
          <w:tcPr>
            <w:tcW w:w="1440"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bCs/>
                <w:color w:val="000000"/>
                <w:sz w:val="21"/>
                <w:szCs w:val="21"/>
              </w:rPr>
              <w:t>综合（含商务、报价）标</w:t>
            </w:r>
            <w:r>
              <w:rPr>
                <w:rFonts w:hint="eastAsia" w:cs="宋体" w:asciiTheme="minorEastAsia" w:hAnsiTheme="minorEastAsia" w:eastAsiaTheme="minorEastAsia"/>
                <w:color w:val="000000"/>
                <w:sz w:val="21"/>
                <w:szCs w:val="21"/>
              </w:rPr>
              <w:t>得分</w:t>
            </w:r>
          </w:p>
        </w:tc>
        <w:tc>
          <w:tcPr>
            <w:tcW w:w="1391"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技术标得分</w:t>
            </w:r>
          </w:p>
        </w:tc>
        <w:tc>
          <w:tcPr>
            <w:tcW w:w="1372"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最终得分</w:t>
            </w:r>
          </w:p>
        </w:tc>
        <w:tc>
          <w:tcPr>
            <w:tcW w:w="1315"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9" w:hRule="atLeast"/>
          <w:jc w:val="center"/>
        </w:trPr>
        <w:tc>
          <w:tcPr>
            <w:tcW w:w="2693" w:type="dxa"/>
            <w:tcBorders>
              <w:top w:val="nil"/>
              <w:left w:val="single" w:color="auto" w:sz="8" w:space="0"/>
              <w:bottom w:val="single" w:color="auto" w:sz="4" w:space="0"/>
              <w:right w:val="single" w:color="auto" w:sz="8"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中铁第六勘察设计院集团有限公司</w:t>
            </w:r>
          </w:p>
        </w:tc>
        <w:tc>
          <w:tcPr>
            <w:tcW w:w="1440" w:type="dxa"/>
            <w:tcBorders>
              <w:top w:val="nil"/>
              <w:left w:val="nil"/>
              <w:bottom w:val="single" w:color="auto" w:sz="4" w:space="0"/>
              <w:right w:val="single" w:color="auto" w:sz="8"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58.73</w:t>
            </w:r>
          </w:p>
        </w:tc>
        <w:tc>
          <w:tcPr>
            <w:tcW w:w="1391" w:type="dxa"/>
            <w:tcBorders>
              <w:top w:val="nil"/>
              <w:left w:val="nil"/>
              <w:bottom w:val="single" w:color="auto" w:sz="4" w:space="0"/>
              <w:right w:val="single" w:color="auto" w:sz="8" w:space="0"/>
            </w:tcBorders>
            <w:tcMar>
              <w:left w:w="108" w:type="dxa"/>
              <w:right w:w="108" w:type="dxa"/>
            </w:tcMar>
            <w:vAlign w:val="center"/>
          </w:tcPr>
          <w:p>
            <w:pPr>
              <w:pStyle w:val="11"/>
              <w:widowControl/>
              <w:spacing w:beforeAutospacing="0" w:afterAutospacing="0"/>
              <w:ind w:firstLine="3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27.74</w:t>
            </w:r>
          </w:p>
        </w:tc>
        <w:tc>
          <w:tcPr>
            <w:tcW w:w="1372" w:type="dxa"/>
            <w:tcBorders>
              <w:top w:val="nil"/>
              <w:left w:val="nil"/>
              <w:bottom w:val="single" w:color="auto" w:sz="4" w:space="0"/>
              <w:right w:val="single" w:color="auto" w:sz="8"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86.47</w:t>
            </w:r>
          </w:p>
        </w:tc>
        <w:tc>
          <w:tcPr>
            <w:tcW w:w="1315" w:type="dxa"/>
            <w:tcBorders>
              <w:top w:val="nil"/>
              <w:left w:val="nil"/>
              <w:bottom w:val="single" w:color="auto" w:sz="4" w:space="0"/>
              <w:right w:val="single" w:color="auto" w:sz="8"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1" w:hRule="atLeast"/>
          <w:jc w:val="center"/>
        </w:trPr>
        <w:tc>
          <w:tcPr>
            <w:tcW w:w="26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河北建设勘察研究院有限公司</w:t>
            </w:r>
          </w:p>
        </w:tc>
        <w:tc>
          <w:tcPr>
            <w:tcW w:w="14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61.47</w:t>
            </w:r>
          </w:p>
        </w:tc>
        <w:tc>
          <w:tcPr>
            <w:tcW w:w="13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ind w:firstLine="3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24.90</w:t>
            </w:r>
          </w:p>
        </w:tc>
        <w:tc>
          <w:tcPr>
            <w:tcW w:w="13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86.37</w:t>
            </w:r>
          </w:p>
        </w:tc>
        <w:tc>
          <w:tcPr>
            <w:tcW w:w="13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1" w:hRule="atLeast"/>
          <w:jc w:val="center"/>
        </w:trPr>
        <w:tc>
          <w:tcPr>
            <w:tcW w:w="26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中铁第五勘察设计院集团有限公司</w:t>
            </w:r>
          </w:p>
        </w:tc>
        <w:tc>
          <w:tcPr>
            <w:tcW w:w="14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50.46</w:t>
            </w:r>
          </w:p>
        </w:tc>
        <w:tc>
          <w:tcPr>
            <w:tcW w:w="13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ind w:firstLine="3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21.63</w:t>
            </w:r>
          </w:p>
        </w:tc>
        <w:tc>
          <w:tcPr>
            <w:tcW w:w="13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72.09</w:t>
            </w:r>
          </w:p>
        </w:tc>
        <w:tc>
          <w:tcPr>
            <w:tcW w:w="13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1" w:hRule="atLeast"/>
          <w:jc w:val="center"/>
        </w:trPr>
        <w:tc>
          <w:tcPr>
            <w:tcW w:w="26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中国电建集团华东勘测设计研究院有限公司</w:t>
            </w:r>
          </w:p>
        </w:tc>
        <w:tc>
          <w:tcPr>
            <w:tcW w:w="14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47.51</w:t>
            </w:r>
          </w:p>
        </w:tc>
        <w:tc>
          <w:tcPr>
            <w:tcW w:w="13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ind w:firstLine="3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23.76</w:t>
            </w:r>
          </w:p>
        </w:tc>
        <w:tc>
          <w:tcPr>
            <w:tcW w:w="13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71.27</w:t>
            </w:r>
          </w:p>
        </w:tc>
        <w:tc>
          <w:tcPr>
            <w:tcW w:w="13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1"/>
              <w:widowControl/>
              <w:spacing w:beforeAutospacing="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r>
    </w:tbl>
    <w:p>
      <w:pPr>
        <w:pStyle w:val="6"/>
        <w:ind w:firstLine="210"/>
        <w:rPr>
          <w:rFonts w:asciiTheme="minorEastAsia" w:hAnsiTheme="minorEastAsia" w:eastAsiaTheme="minorEastAsia"/>
          <w:sz w:val="21"/>
          <w:szCs w:val="21"/>
        </w:rPr>
      </w:pPr>
      <w:r>
        <w:rPr>
          <w:rFonts w:hint="eastAsia" w:cs="宋体" w:asciiTheme="minorEastAsia" w:hAnsiTheme="minorEastAsia" w:eastAsiaTheme="minorEastAsia"/>
          <w:sz w:val="21"/>
          <w:szCs w:val="21"/>
        </w:rPr>
        <w:t>三标段：</w:t>
      </w:r>
    </w:p>
    <w:tbl>
      <w:tblPr>
        <w:tblStyle w:val="16"/>
        <w:tblW w:w="8131" w:type="dxa"/>
        <w:jc w:val="center"/>
        <w:tblInd w:w="-17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783"/>
        <w:gridCol w:w="1396"/>
        <w:gridCol w:w="1348"/>
        <w:gridCol w:w="1330"/>
        <w:gridCol w:w="1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7" w:hRule="atLeast"/>
          <w:jc w:val="center"/>
        </w:trPr>
        <w:tc>
          <w:tcPr>
            <w:tcW w:w="2783" w:type="dxa"/>
            <w:tcBorders>
              <w:top w:val="single" w:color="auto" w:sz="8" w:space="0"/>
              <w:left w:val="single" w:color="auto" w:sz="8" w:space="0"/>
              <w:bottom w:val="single" w:color="auto" w:sz="8" w:space="0"/>
              <w:right w:val="single" w:color="auto" w:sz="8" w:space="0"/>
            </w:tcBorders>
            <w:tcMar>
              <w:left w:w="108" w:type="dxa"/>
              <w:right w:w="108" w:type="dxa"/>
            </w:tcMar>
          </w:tcPr>
          <w:p>
            <w:pPr>
              <w:pStyle w:val="11"/>
              <w:widowControl/>
              <w:spacing w:beforeAutospacing="0" w:afterAutospacing="0"/>
              <w:ind w:firstLine="28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投标人</w:t>
            </w:r>
          </w:p>
        </w:tc>
        <w:tc>
          <w:tcPr>
            <w:tcW w:w="1396"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bCs/>
                <w:color w:val="000000"/>
                <w:sz w:val="21"/>
                <w:szCs w:val="21"/>
              </w:rPr>
              <w:t>综合（含商务、报价）标</w:t>
            </w:r>
            <w:r>
              <w:rPr>
                <w:rFonts w:hint="eastAsia" w:cs="宋体" w:asciiTheme="minorEastAsia" w:hAnsiTheme="minorEastAsia" w:eastAsiaTheme="minorEastAsia"/>
                <w:color w:val="000000"/>
                <w:sz w:val="21"/>
                <w:szCs w:val="21"/>
              </w:rPr>
              <w:t>得分</w:t>
            </w:r>
          </w:p>
        </w:tc>
        <w:tc>
          <w:tcPr>
            <w:tcW w:w="1348"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技术标得分</w:t>
            </w:r>
          </w:p>
        </w:tc>
        <w:tc>
          <w:tcPr>
            <w:tcW w:w="1330"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最终得分</w:t>
            </w:r>
          </w:p>
        </w:tc>
        <w:tc>
          <w:tcPr>
            <w:tcW w:w="1274" w:type="dxa"/>
            <w:tcBorders>
              <w:top w:val="single" w:color="auto" w:sz="8" w:space="0"/>
              <w:left w:val="nil"/>
              <w:bottom w:val="single" w:color="auto" w:sz="8" w:space="0"/>
              <w:right w:val="single" w:color="auto" w:sz="8" w:space="0"/>
            </w:tcBorders>
            <w:tcMar>
              <w:left w:w="108" w:type="dxa"/>
              <w:right w:w="108" w:type="dxa"/>
            </w:tcMar>
          </w:tcPr>
          <w:p>
            <w:pPr>
              <w:pStyle w:val="11"/>
              <w:widowControl/>
              <w:spacing w:beforeAutospacing="0" w:afterAutospacing="0"/>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7" w:hRule="atLeast"/>
          <w:jc w:val="center"/>
        </w:trPr>
        <w:tc>
          <w:tcPr>
            <w:tcW w:w="2783" w:type="dxa"/>
            <w:tcBorders>
              <w:top w:val="nil"/>
              <w:left w:val="single" w:color="auto" w:sz="8" w:space="0"/>
              <w:bottom w:val="single" w:color="auto" w:sz="4" w:space="0"/>
              <w:right w:val="single" w:color="auto" w:sz="8" w:space="0"/>
            </w:tcBorders>
            <w:tcMar>
              <w:left w:w="108" w:type="dxa"/>
              <w:right w:w="108" w:type="dxa"/>
            </w:tcMar>
            <w:vAlign w:val="center"/>
          </w:tcPr>
          <w:p>
            <w:pPr>
              <w:rPr>
                <w:rFonts w:cs="宋体" w:asciiTheme="minorEastAsia" w:hAnsiTheme="minorEastAsia"/>
                <w:szCs w:val="21"/>
              </w:rPr>
            </w:pPr>
            <w:r>
              <w:rPr>
                <w:rFonts w:hint="eastAsia" w:cs="宋体" w:asciiTheme="minorEastAsia" w:hAnsiTheme="minorEastAsia"/>
                <w:szCs w:val="21"/>
              </w:rPr>
              <w:t>中铁工程设计咨询集团有限公司</w:t>
            </w:r>
          </w:p>
        </w:tc>
        <w:tc>
          <w:tcPr>
            <w:tcW w:w="1396" w:type="dxa"/>
            <w:tcBorders>
              <w:top w:val="nil"/>
              <w:left w:val="nil"/>
              <w:bottom w:val="single" w:color="auto" w:sz="4" w:space="0"/>
              <w:right w:val="single" w:color="auto" w:sz="8"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59.71</w:t>
            </w:r>
          </w:p>
        </w:tc>
        <w:tc>
          <w:tcPr>
            <w:tcW w:w="1348" w:type="dxa"/>
            <w:tcBorders>
              <w:top w:val="nil"/>
              <w:left w:val="nil"/>
              <w:bottom w:val="single" w:color="auto" w:sz="4" w:space="0"/>
              <w:right w:val="single" w:color="auto" w:sz="8"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24.51</w:t>
            </w:r>
          </w:p>
        </w:tc>
        <w:tc>
          <w:tcPr>
            <w:tcW w:w="1330" w:type="dxa"/>
            <w:tcBorders>
              <w:top w:val="nil"/>
              <w:left w:val="nil"/>
              <w:bottom w:val="single" w:color="auto" w:sz="4" w:space="0"/>
              <w:right w:val="single" w:color="auto" w:sz="8"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84.22</w:t>
            </w:r>
          </w:p>
        </w:tc>
        <w:tc>
          <w:tcPr>
            <w:tcW w:w="1274" w:type="dxa"/>
            <w:tcBorders>
              <w:top w:val="nil"/>
              <w:left w:val="nil"/>
              <w:bottom w:val="single" w:color="auto" w:sz="4" w:space="0"/>
              <w:right w:val="single" w:color="auto" w:sz="8"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27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cs="宋体" w:asciiTheme="minorEastAsia" w:hAnsiTheme="minorEastAsia"/>
                <w:szCs w:val="21"/>
              </w:rPr>
            </w:pPr>
            <w:r>
              <w:rPr>
                <w:rFonts w:hint="eastAsia" w:cs="宋体" w:asciiTheme="minorEastAsia" w:hAnsiTheme="minorEastAsia"/>
                <w:szCs w:val="21"/>
              </w:rPr>
              <w:t>中铁二院工程集团有限责任公司</w:t>
            </w:r>
          </w:p>
        </w:tc>
        <w:tc>
          <w:tcPr>
            <w:tcW w:w="13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58.56</w:t>
            </w:r>
          </w:p>
        </w:tc>
        <w:tc>
          <w:tcPr>
            <w:tcW w:w="13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21.51</w:t>
            </w:r>
          </w:p>
        </w:tc>
        <w:tc>
          <w:tcPr>
            <w:tcW w:w="13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80.07</w:t>
            </w:r>
          </w:p>
        </w:tc>
        <w:tc>
          <w:tcPr>
            <w:tcW w:w="12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27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cs="宋体" w:asciiTheme="minorEastAsia" w:hAnsiTheme="minorEastAsia"/>
                <w:szCs w:val="21"/>
              </w:rPr>
            </w:pPr>
            <w:r>
              <w:rPr>
                <w:rFonts w:hint="eastAsia" w:cs="宋体" w:asciiTheme="minorEastAsia" w:hAnsiTheme="minorEastAsia"/>
                <w:szCs w:val="21"/>
              </w:rPr>
              <w:t>中铁第六勘察设计院集团有限公司</w:t>
            </w:r>
          </w:p>
        </w:tc>
        <w:tc>
          <w:tcPr>
            <w:tcW w:w="13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54.66</w:t>
            </w:r>
          </w:p>
        </w:tc>
        <w:tc>
          <w:tcPr>
            <w:tcW w:w="13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25.21</w:t>
            </w:r>
          </w:p>
        </w:tc>
        <w:tc>
          <w:tcPr>
            <w:tcW w:w="13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79.87</w:t>
            </w:r>
          </w:p>
        </w:tc>
        <w:tc>
          <w:tcPr>
            <w:tcW w:w="12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27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cs="宋体" w:asciiTheme="minorEastAsia" w:hAnsiTheme="minorEastAsia"/>
                <w:szCs w:val="21"/>
              </w:rPr>
            </w:pPr>
            <w:r>
              <w:rPr>
                <w:rFonts w:hint="eastAsia" w:cs="宋体" w:asciiTheme="minorEastAsia" w:hAnsiTheme="minorEastAsia"/>
                <w:szCs w:val="21"/>
              </w:rPr>
              <w:t>北京城建勘测设计研究院有限责任公司</w:t>
            </w:r>
          </w:p>
        </w:tc>
        <w:tc>
          <w:tcPr>
            <w:tcW w:w="13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53.71</w:t>
            </w:r>
          </w:p>
        </w:tc>
        <w:tc>
          <w:tcPr>
            <w:tcW w:w="13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24.71</w:t>
            </w:r>
          </w:p>
        </w:tc>
        <w:tc>
          <w:tcPr>
            <w:tcW w:w="13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78.43</w:t>
            </w:r>
          </w:p>
        </w:tc>
        <w:tc>
          <w:tcPr>
            <w:tcW w:w="12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27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cs="宋体" w:asciiTheme="minorEastAsia" w:hAnsiTheme="minorEastAsia"/>
                <w:szCs w:val="21"/>
              </w:rPr>
            </w:pPr>
            <w:r>
              <w:rPr>
                <w:rFonts w:hint="eastAsia" w:cs="宋体" w:asciiTheme="minorEastAsia" w:hAnsiTheme="minorEastAsia"/>
                <w:szCs w:val="21"/>
              </w:rPr>
              <w:t>郑州中核岩土工程有限公司</w:t>
            </w:r>
          </w:p>
        </w:tc>
        <w:tc>
          <w:tcPr>
            <w:tcW w:w="13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44.29</w:t>
            </w:r>
          </w:p>
        </w:tc>
        <w:tc>
          <w:tcPr>
            <w:tcW w:w="13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22.33</w:t>
            </w:r>
          </w:p>
        </w:tc>
        <w:tc>
          <w:tcPr>
            <w:tcW w:w="13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66.61</w:t>
            </w:r>
          </w:p>
        </w:tc>
        <w:tc>
          <w:tcPr>
            <w:tcW w:w="127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szCs w:val="21"/>
              </w:rPr>
            </w:pPr>
            <w:r>
              <w:rPr>
                <w:rFonts w:hint="eastAsia" w:cs="宋体" w:asciiTheme="minorEastAsia" w:hAnsiTheme="minorEastAsia"/>
                <w:szCs w:val="21"/>
              </w:rPr>
              <w:t>5</w:t>
            </w:r>
          </w:p>
        </w:tc>
      </w:tr>
    </w:tbl>
    <w:p>
      <w:pPr>
        <w:rPr>
          <w:rFonts w:asciiTheme="minorEastAsia" w:hAnsiTheme="minorEastAsia"/>
          <w:szCs w:val="21"/>
        </w:rPr>
      </w:pPr>
    </w:p>
    <w:tbl>
      <w:tblPr>
        <w:tblStyle w:val="16"/>
        <w:tblW w:w="9721" w:type="dxa"/>
        <w:jc w:val="center"/>
        <w:tblInd w:w="-2" w:type="dxa"/>
        <w:tblLayout w:type="fixed"/>
        <w:tblCellMar>
          <w:top w:w="0" w:type="dxa"/>
          <w:left w:w="0" w:type="dxa"/>
          <w:bottom w:w="0" w:type="dxa"/>
          <w:right w:w="0" w:type="dxa"/>
        </w:tblCellMar>
      </w:tblPr>
      <w:tblGrid>
        <w:gridCol w:w="9529"/>
        <w:gridCol w:w="184"/>
        <w:gridCol w:w="8"/>
      </w:tblGrid>
      <w:tr>
        <w:tblPrEx>
          <w:tblLayout w:type="fixed"/>
          <w:tblCellMar>
            <w:top w:w="0" w:type="dxa"/>
            <w:left w:w="0" w:type="dxa"/>
            <w:bottom w:w="0" w:type="dxa"/>
            <w:right w:w="0" w:type="dxa"/>
          </w:tblCellMar>
        </w:tblPrEx>
        <w:trPr>
          <w:gridAfter w:val="2"/>
          <w:wAfter w:w="192" w:type="dxa"/>
          <w:trHeight w:val="540" w:hRule="atLeast"/>
          <w:jc w:val="center"/>
        </w:trPr>
        <w:tc>
          <w:tcPr>
            <w:tcW w:w="9529" w:type="dxa"/>
            <w:tcBorders>
              <w:top w:val="nil"/>
              <w:left w:val="nil"/>
              <w:bottom w:val="nil"/>
              <w:right w:val="nil"/>
            </w:tcBorders>
            <w:shd w:val="clear" w:color="auto" w:fill="FFFFFF"/>
            <w:vAlign w:val="center"/>
          </w:tcPr>
          <w:p>
            <w:pPr>
              <w:rPr>
                <w:rFonts w:cs="宋体" w:asciiTheme="minorEastAsia" w:hAnsiTheme="minorEastAsia"/>
                <w:szCs w:val="21"/>
              </w:rPr>
            </w:pPr>
            <w:r>
              <w:rPr>
                <w:rFonts w:hint="eastAsia" w:cs="宋体" w:asciiTheme="minorEastAsia" w:hAnsiTheme="minorEastAsia"/>
                <w:b/>
                <w:bCs/>
                <w:szCs w:val="21"/>
              </w:rPr>
              <w:t>六、推荐中标候选人得分情况</w:t>
            </w:r>
          </w:p>
        </w:tc>
      </w:tr>
      <w:tr>
        <w:tblPrEx>
          <w:tblLayout w:type="fixed"/>
          <w:tblCellMar>
            <w:top w:w="0" w:type="dxa"/>
            <w:left w:w="0" w:type="dxa"/>
            <w:bottom w:w="0" w:type="dxa"/>
            <w:right w:w="0" w:type="dxa"/>
          </w:tblCellMar>
        </w:tblPrEx>
        <w:trPr>
          <w:gridAfter w:val="2"/>
          <w:wAfter w:w="192" w:type="dxa"/>
          <w:trHeight w:val="540" w:hRule="atLeast"/>
          <w:jc w:val="center"/>
        </w:trPr>
        <w:tc>
          <w:tcPr>
            <w:tcW w:w="9529" w:type="dxa"/>
            <w:tcBorders>
              <w:top w:val="nil"/>
              <w:left w:val="nil"/>
              <w:bottom w:val="nil"/>
              <w:right w:val="nil"/>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第一标段</w:t>
            </w:r>
            <w:r>
              <w:rPr>
                <w:rFonts w:cs="宋体" w:asciiTheme="minorEastAsia" w:hAnsiTheme="minorEastAsia"/>
                <w:szCs w:val="21"/>
              </w:rPr>
              <w:t>:</w:t>
            </w:r>
          </w:p>
        </w:tc>
      </w:tr>
      <w:tr>
        <w:tblPrEx>
          <w:tblLayout w:type="fixed"/>
          <w:tblCellMar>
            <w:top w:w="0" w:type="dxa"/>
            <w:left w:w="0" w:type="dxa"/>
            <w:bottom w:w="0" w:type="dxa"/>
            <w:right w:w="0" w:type="dxa"/>
          </w:tblCellMar>
        </w:tblPrEx>
        <w:trPr>
          <w:gridAfter w:val="2"/>
          <w:wAfter w:w="192" w:type="dxa"/>
          <w:trHeight w:val="1572" w:hRule="atLeast"/>
          <w:jc w:val="center"/>
        </w:trPr>
        <w:tc>
          <w:tcPr>
            <w:tcW w:w="9529" w:type="dxa"/>
            <w:tcBorders>
              <w:top w:val="nil"/>
              <w:left w:val="nil"/>
              <w:bottom w:val="nil"/>
              <w:right w:val="nil"/>
            </w:tcBorders>
            <w:shd w:val="clear" w:color="auto" w:fill="FFFFFF"/>
            <w:vAlign w:val="center"/>
          </w:tcPr>
          <w:tbl>
            <w:tblPr>
              <w:tblStyle w:val="16"/>
              <w:tblW w:w="9385" w:type="dxa"/>
              <w:tblInd w:w="0" w:type="dxa"/>
              <w:tblLayout w:type="fixed"/>
              <w:tblCellMar>
                <w:top w:w="0" w:type="dxa"/>
                <w:left w:w="0" w:type="dxa"/>
                <w:bottom w:w="0" w:type="dxa"/>
                <w:right w:w="0" w:type="dxa"/>
              </w:tblCellMar>
            </w:tblPr>
            <w:tblGrid>
              <w:gridCol w:w="555"/>
              <w:gridCol w:w="154"/>
              <w:gridCol w:w="709"/>
              <w:gridCol w:w="1381"/>
              <w:gridCol w:w="934"/>
              <w:gridCol w:w="934"/>
              <w:gridCol w:w="934"/>
              <w:gridCol w:w="930"/>
              <w:gridCol w:w="709"/>
              <w:gridCol w:w="160"/>
              <w:gridCol w:w="549"/>
              <w:gridCol w:w="443"/>
              <w:gridCol w:w="993"/>
            </w:tblGrid>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第一中标候选人</w:t>
                  </w:r>
                </w:p>
              </w:tc>
              <w:tc>
                <w:tcPr>
                  <w:tcW w:w="6586"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asciiTheme="minorEastAsia" w:hAnsiTheme="minorEastAsia"/>
                      <w:szCs w:val="21"/>
                    </w:rPr>
                  </w:pPr>
                </w:p>
                <w:p>
                  <w:pPr>
                    <w:jc w:val="center"/>
                    <w:rPr>
                      <w:rFonts w:cs="宋体" w:asciiTheme="minorEastAsia" w:hAnsiTheme="minorEastAsia"/>
                      <w:szCs w:val="21"/>
                    </w:rPr>
                  </w:pPr>
                  <w:r>
                    <w:rPr>
                      <w:rFonts w:hint="eastAsia" w:asciiTheme="minorEastAsia" w:hAnsiTheme="minorEastAsia"/>
                      <w:szCs w:val="21"/>
                    </w:rPr>
                    <w:t>中铁第六勘察设计院集团有限公司</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5</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技术标30分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1、现场监测方案及技术措施   5-8分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7.3</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7.5</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2、现场巡查方案1.5-3分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2.8</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3、重点、难点监测体系与措施0-</w:t>
                  </w:r>
                  <w:r>
                    <w:rPr>
                      <w:rFonts w:hint="eastAsia" w:eastAsia="宋体"/>
                      <w:szCs w:val="21"/>
                    </w:rPr>
                    <w:t>3</w:t>
                  </w:r>
                  <w:r>
                    <w:rPr>
                      <w:rFonts w:hint="eastAsia"/>
                      <w:szCs w:val="21"/>
                    </w:rPr>
                    <w:t>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4、质量管理体系与措施1.2-2分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114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5、安全管理体系与措施1.2-2分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6、监测应急预案体系与措施1.2-2分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7、监测设备和仪器仪表配备1.2-2分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r>
            <w:tr>
              <w:tblPrEx>
                <w:tblLayout w:type="fixed"/>
                <w:tblCellMar>
                  <w:top w:w="0" w:type="dxa"/>
                  <w:left w:w="0" w:type="dxa"/>
                  <w:bottom w:w="0" w:type="dxa"/>
                  <w:right w:w="0" w:type="dxa"/>
                </w:tblCellMar>
              </w:tblPrEx>
              <w:trPr>
                <w:trHeight w:val="471"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8、监测服务大纲1.5-2分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r>
            <w:tr>
              <w:tblPrEx>
                <w:tblLayout w:type="fixed"/>
                <w:tblCellMar>
                  <w:top w:w="0" w:type="dxa"/>
                  <w:left w:w="0" w:type="dxa"/>
                  <w:bottom w:w="0" w:type="dxa"/>
                  <w:right w:w="0" w:type="dxa"/>
                </w:tblCellMar>
              </w:tblPrEx>
              <w:trPr>
                <w:trHeight w:val="1117"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9、对施工监测单位的管理措施1.2-2分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r>
            <w:tr>
              <w:tblPrEx>
                <w:tblLayout w:type="fixed"/>
                <w:tblCellMar>
                  <w:top w:w="0" w:type="dxa"/>
                  <w:left w:w="0" w:type="dxa"/>
                  <w:bottom w:w="0" w:type="dxa"/>
                  <w:right w:w="0" w:type="dxa"/>
                </w:tblCellMar>
              </w:tblPrEx>
              <w:trPr>
                <w:trHeight w:val="978"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10、监控信息报送方案1.2-2分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99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11、监测组织1.2-2分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99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b/>
                      <w:szCs w:val="21"/>
                    </w:rPr>
                  </w:pPr>
                  <w:r>
                    <w:rPr>
                      <w:rFonts w:hint="eastAsia" w:asciiTheme="minorEastAsia" w:hAnsiTheme="minorEastAsia"/>
                      <w:b/>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27.5</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29.2</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25.6</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28.1</w:t>
                  </w:r>
                </w:p>
              </w:tc>
              <w:tc>
                <w:tcPr>
                  <w:tcW w:w="9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27.0</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586"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27.74</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1、投标人业绩0-8分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2、项目负责人业绩0-4分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3、技术负责人业绩0-4分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4、监测工程师（测量专业）0-4分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5、监测工程师（岩土专业）0-4分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6、监测工程师（结构专业）0-2分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7、巡查人员（岩土或结构专业）0-2分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8、助理工程师0-2分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9、资料录入及数据管理员0-2分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12、服务承诺及措施0-4分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3.2</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3.5</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2.9</w:t>
                  </w:r>
                </w:p>
              </w:tc>
            </w:tr>
            <w:tr>
              <w:tblPrEx>
                <w:tblLayout w:type="fixed"/>
                <w:tblCellMar>
                  <w:top w:w="0" w:type="dxa"/>
                  <w:left w:w="0" w:type="dxa"/>
                  <w:bottom w:w="0" w:type="dxa"/>
                  <w:right w:w="0" w:type="dxa"/>
                </w:tblCellMar>
              </w:tblPrEx>
              <w:trPr>
                <w:trHeight w:val="2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w:t>
                  </w:r>
                </w:p>
                <w:p>
                  <w:pPr>
                    <w:spacing w:line="400" w:lineRule="exact"/>
                    <w:textAlignment w:val="baseline"/>
                    <w:rPr>
                      <w:rFonts w:asciiTheme="minorEastAsia" w:hAnsiTheme="minorEastAsia"/>
                      <w:szCs w:val="21"/>
                    </w:rPr>
                  </w:pPr>
                  <w:r>
                    <w:rPr>
                      <w:rFonts w:hint="eastAsia" w:asciiTheme="minorEastAsia" w:hAnsiTheme="minorEastAsia"/>
                      <w:szCs w:val="21"/>
                    </w:rPr>
                    <w:t>（1）当有效投标人数量≥5家时：评标基准价=去掉一个有效投标人最高投标报价、去掉一个有效投标人最低投标报价后的算术平均值。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w:t>
                  </w:r>
                </w:p>
                <w:p>
                  <w:pPr>
                    <w:rPr>
                      <w:rFonts w:asciiTheme="minorEastAsia" w:hAnsiTheme="minorEastAsia"/>
                      <w:szCs w:val="21"/>
                    </w:rPr>
                  </w:pPr>
                  <w:r>
                    <w:rPr>
                      <w:rFonts w:asciiTheme="minorEastAsia" w:hAnsiTheme="minorEastAsia"/>
                      <w:szCs w:val="21"/>
                    </w:rPr>
                    <w:t>注：有效投标人：是指通过形式评审、资格评审、响应性评审的投标人。</w:t>
                  </w:r>
                </w:p>
                <w:p>
                  <w:pPr>
                    <w:spacing w:line="400" w:lineRule="exact"/>
                    <w:textAlignment w:val="baseline"/>
                    <w:rPr>
                      <w:rFonts w:asciiTheme="minorEastAsia" w:hAnsiTheme="minorEastAsia"/>
                      <w:szCs w:val="21"/>
                    </w:rPr>
                  </w:pPr>
                  <w:r>
                    <w:rPr>
                      <w:rFonts w:asciiTheme="minorEastAsia" w:hAnsiTheme="minorEastAsia"/>
                      <w:szCs w:val="21"/>
                    </w:rPr>
                    <w:t>偏差率</w:t>
                  </w:r>
                  <w:r>
                    <w:rPr>
                      <w:rFonts w:hint="eastAsia" w:asciiTheme="minorEastAsia" w:hAnsiTheme="minorEastAsia"/>
                      <w:szCs w:val="21"/>
                    </w:rPr>
                    <w:t>δ</w:t>
                  </w:r>
                  <w:r>
                    <w:rPr>
                      <w:rFonts w:asciiTheme="minorEastAsia" w:hAnsiTheme="minorEastAsia"/>
                      <w:szCs w:val="21"/>
                    </w:rPr>
                    <w:t>=100%×（有效投标人投标报价-评标基准价）/评标基准价。</w:t>
                  </w:r>
                  <w:r>
                    <w:rPr>
                      <w:rFonts w:hint="eastAsia" w:asciiTheme="minorEastAsia" w:hAnsiTheme="minorEastAsia"/>
                      <w:szCs w:val="21"/>
                    </w:rPr>
                    <w:t>当-3%≤偏差率δ≤0时，价格得分为满分30分。</w:t>
                  </w:r>
                </w:p>
                <w:p>
                  <w:pPr>
                    <w:spacing w:line="400" w:lineRule="exact"/>
                    <w:textAlignment w:val="baseline"/>
                    <w:rPr>
                      <w:rFonts w:asciiTheme="minorEastAsia" w:hAnsiTheme="minorEastAsia"/>
                      <w:szCs w:val="21"/>
                    </w:rPr>
                  </w:pPr>
                  <w:r>
                    <w:rPr>
                      <w:rFonts w:hint="eastAsia" w:asciiTheme="minorEastAsia" w:hAnsiTheme="minorEastAsia"/>
                      <w:szCs w:val="21"/>
                    </w:rPr>
                    <w:t>当偏差率δ&gt;0时，按照下述公式打分：m＝30-1×100×δ;当偏差率δ&lt;-3%时，按照下述公式打分：m＝30+100×0.5×（3%+δ）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28.47</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59.27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59.27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58.47</w:t>
                  </w:r>
                </w:p>
              </w:tc>
              <w:tc>
                <w:tcPr>
                  <w:tcW w:w="9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59.47</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57.97</w:t>
                  </w:r>
                </w:p>
              </w:tc>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58.67</w:t>
                  </w:r>
                </w:p>
              </w:tc>
              <w:tc>
                <w:tcPr>
                  <w:tcW w:w="14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right"/>
                    <w:rPr>
                      <w:rFonts w:cs="宋体" w:asciiTheme="minorEastAsia" w:hAnsiTheme="minorEastAsia"/>
                      <w:szCs w:val="21"/>
                    </w:rPr>
                  </w:pPr>
                  <w:r>
                    <w:rPr>
                      <w:rFonts w:hint="eastAsia" w:asciiTheme="minorEastAsia" w:hAnsiTheme="minorEastAsia"/>
                      <w:szCs w:val="21"/>
                    </w:rPr>
                    <w:t>57.97</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586"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58.73</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586"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86.47</w:t>
                  </w:r>
                </w:p>
              </w:tc>
            </w:tr>
            <w:tr>
              <w:tblPrEx>
                <w:tblLayout w:type="fixed"/>
                <w:tblCellMar>
                  <w:top w:w="0" w:type="dxa"/>
                  <w:left w:w="0" w:type="dxa"/>
                  <w:bottom w:w="0" w:type="dxa"/>
                  <w:right w:w="0" w:type="dxa"/>
                </w:tblCellMar>
              </w:tblPrEx>
              <w:trPr>
                <w:trHeight w:val="540" w:hRule="atLeast"/>
              </w:trPr>
              <w:tc>
                <w:tcPr>
                  <w:tcW w:w="709" w:type="dxa"/>
                  <w:gridSpan w:val="2"/>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709" w:type="dxa"/>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7967" w:type="dxa"/>
                  <w:gridSpan w:val="10"/>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b/>
                      <w:bCs/>
                      <w:szCs w:val="21"/>
                    </w:rPr>
                    <w:t>备注：</w:t>
                  </w: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bl>
          <w:p>
            <w:pPr>
              <w:rPr>
                <w:rFonts w:cs="宋体" w:asciiTheme="minorEastAsia" w:hAnsiTheme="minorEastAsia"/>
                <w:szCs w:val="21"/>
              </w:rPr>
            </w:pPr>
          </w:p>
        </w:tc>
      </w:tr>
      <w:tr>
        <w:tblPrEx>
          <w:tblLayout w:type="fixed"/>
          <w:tblCellMar>
            <w:top w:w="0" w:type="dxa"/>
            <w:left w:w="0" w:type="dxa"/>
            <w:bottom w:w="0" w:type="dxa"/>
            <w:right w:w="0" w:type="dxa"/>
          </w:tblCellMar>
        </w:tblPrEx>
        <w:trPr>
          <w:gridAfter w:val="1"/>
          <w:wAfter w:w="8" w:type="dxa"/>
          <w:trHeight w:val="540" w:hRule="atLeast"/>
          <w:jc w:val="center"/>
        </w:trPr>
        <w:tc>
          <w:tcPr>
            <w:tcW w:w="9713" w:type="dxa"/>
            <w:gridSpan w:val="2"/>
            <w:tcBorders>
              <w:top w:val="nil"/>
              <w:left w:val="nil"/>
              <w:bottom w:val="nil"/>
              <w:right w:val="nil"/>
            </w:tcBorders>
            <w:shd w:val="clear" w:color="auto" w:fill="FFFFFF"/>
            <w:vAlign w:val="center"/>
          </w:tcPr>
          <w:p>
            <w:pPr>
              <w:rPr>
                <w:rFonts w:cs="宋体" w:asciiTheme="minorEastAsia" w:hAnsiTheme="minorEastAsia"/>
                <w:szCs w:val="21"/>
              </w:rPr>
            </w:pPr>
          </w:p>
        </w:tc>
      </w:tr>
      <w:tr>
        <w:tblPrEx>
          <w:tblLayout w:type="fixed"/>
          <w:tblCellMar>
            <w:top w:w="0" w:type="dxa"/>
            <w:left w:w="0" w:type="dxa"/>
            <w:bottom w:w="0" w:type="dxa"/>
            <w:right w:w="0" w:type="dxa"/>
          </w:tblCellMar>
        </w:tblPrEx>
        <w:trPr>
          <w:gridAfter w:val="1"/>
          <w:wAfter w:w="8" w:type="dxa"/>
          <w:trHeight w:val="1572" w:hRule="atLeast"/>
          <w:jc w:val="center"/>
        </w:trPr>
        <w:tc>
          <w:tcPr>
            <w:tcW w:w="9713" w:type="dxa"/>
            <w:gridSpan w:val="2"/>
            <w:tcBorders>
              <w:top w:val="nil"/>
              <w:left w:val="nil"/>
              <w:bottom w:val="nil"/>
              <w:right w:val="nil"/>
            </w:tcBorders>
            <w:shd w:val="clear" w:color="auto" w:fill="FFFFFF"/>
            <w:vAlign w:val="center"/>
          </w:tcPr>
          <w:tbl>
            <w:tblPr>
              <w:tblStyle w:val="16"/>
              <w:tblW w:w="9347" w:type="dxa"/>
              <w:tblInd w:w="0" w:type="dxa"/>
              <w:tblLayout w:type="fixed"/>
              <w:tblCellMar>
                <w:top w:w="0" w:type="dxa"/>
                <w:left w:w="0" w:type="dxa"/>
                <w:bottom w:w="0" w:type="dxa"/>
                <w:right w:w="0" w:type="dxa"/>
              </w:tblCellMar>
            </w:tblPr>
            <w:tblGrid>
              <w:gridCol w:w="555"/>
              <w:gridCol w:w="295"/>
              <w:gridCol w:w="807"/>
              <w:gridCol w:w="1142"/>
              <w:gridCol w:w="934"/>
              <w:gridCol w:w="1078"/>
              <w:gridCol w:w="851"/>
              <w:gridCol w:w="850"/>
              <w:gridCol w:w="746"/>
              <w:gridCol w:w="105"/>
              <w:gridCol w:w="746"/>
              <w:gridCol w:w="104"/>
              <w:gridCol w:w="1134"/>
            </w:tblGrid>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第二中标候选人</w:t>
                  </w:r>
                </w:p>
              </w:tc>
              <w:tc>
                <w:tcPr>
                  <w:tcW w:w="6548"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asciiTheme="minorEastAsia" w:hAnsiTheme="minorEastAsia"/>
                      <w:szCs w:val="21"/>
                    </w:rPr>
                  </w:pPr>
                </w:p>
                <w:p>
                  <w:pPr>
                    <w:jc w:val="center"/>
                    <w:rPr>
                      <w:rFonts w:cs="宋体" w:asciiTheme="minorEastAsia" w:hAnsiTheme="minorEastAsia"/>
                      <w:szCs w:val="21"/>
                    </w:rPr>
                  </w:pPr>
                  <w:r>
                    <w:rPr>
                      <w:rFonts w:hint="eastAsia" w:asciiTheme="minorEastAsia" w:hAnsiTheme="minorEastAsia"/>
                      <w:szCs w:val="21"/>
                    </w:rPr>
                    <w:t>河北建设勘察研究院有限公司</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5</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技术标30分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1、现场监测方案及技术措施   5-8分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6.6</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2、现场巡查方案1.5-3分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3、重点、难点监测体系与措施0-</w:t>
                  </w:r>
                  <w:r>
                    <w:rPr>
                      <w:rFonts w:hint="eastAsia" w:eastAsia="宋体"/>
                      <w:szCs w:val="21"/>
                    </w:rPr>
                    <w:t>3</w:t>
                  </w:r>
                  <w:r>
                    <w:rPr>
                      <w:rFonts w:hint="eastAsia"/>
                      <w:szCs w:val="21"/>
                    </w:rPr>
                    <w:t>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4、质量管理体系与措施1.2-2分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114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5、安全管理体系与措施1.2-2分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6、监测应急预案体系与措施1.2-2分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7、监测设备和仪器仪表配备1.2-2分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471"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8、监测服务大纲1.5-2分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1117"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9、对施工监测单位的管理措施1.2-2分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978"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10、监控信息报送方案1.2-2分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99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11、监测组织1.2-2分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25.1</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22.7</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26.5</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24.9</w:t>
                  </w:r>
                </w:p>
              </w:tc>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26.2</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22.9</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548"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24.90</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1、投标人业绩0-8分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2、项目负责人业绩0-4分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3、技术负责人业绩0-4分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4、监测工程师（测量专业）0-4分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5、监测工程师（岩土专业）0-4分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6、监测工程师（结构专业）0-2分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7、巡查人员（岩土或结构专业）0-2分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8、助理工程师0-2分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9、资料录入及数据管理员0-2分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12、服务承诺及措施0-4分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3.5</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r>
            <w:tr>
              <w:tblPrEx>
                <w:tblLayout w:type="fixed"/>
                <w:tblCellMar>
                  <w:top w:w="0" w:type="dxa"/>
                  <w:left w:w="0" w:type="dxa"/>
                  <w:bottom w:w="0" w:type="dxa"/>
                  <w:right w:w="0" w:type="dxa"/>
                </w:tblCellMar>
              </w:tblPrEx>
              <w:trPr>
                <w:trHeight w:val="2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w:t>
                  </w:r>
                </w:p>
                <w:p>
                  <w:pPr>
                    <w:spacing w:line="400" w:lineRule="exact"/>
                    <w:textAlignment w:val="baseline"/>
                    <w:rPr>
                      <w:rFonts w:asciiTheme="minorEastAsia" w:hAnsiTheme="minorEastAsia"/>
                      <w:szCs w:val="21"/>
                    </w:rPr>
                  </w:pPr>
                  <w:r>
                    <w:rPr>
                      <w:rFonts w:hint="eastAsia" w:asciiTheme="minorEastAsia" w:hAnsiTheme="minorEastAsia"/>
                      <w:szCs w:val="21"/>
                    </w:rPr>
                    <w:t>（1）当有效投标人数量≥5家时：评标基准价=去掉一个有效投标人最高投标报价、去掉一个有效投标人最低投标报价后的算术平均值。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w:t>
                  </w:r>
                </w:p>
                <w:p>
                  <w:pPr>
                    <w:rPr>
                      <w:rFonts w:asciiTheme="minorEastAsia" w:hAnsiTheme="minorEastAsia"/>
                      <w:szCs w:val="21"/>
                    </w:rPr>
                  </w:pPr>
                  <w:r>
                    <w:rPr>
                      <w:rFonts w:asciiTheme="minorEastAsia" w:hAnsiTheme="minorEastAsia"/>
                      <w:szCs w:val="21"/>
                    </w:rPr>
                    <w:t>注：有效投标人：是指通过形式评审、资格评审、响应性评审的投标人。</w:t>
                  </w:r>
                </w:p>
                <w:p>
                  <w:pPr>
                    <w:spacing w:line="400" w:lineRule="exact"/>
                    <w:textAlignment w:val="baseline"/>
                    <w:rPr>
                      <w:rFonts w:asciiTheme="minorEastAsia" w:hAnsiTheme="minorEastAsia"/>
                      <w:szCs w:val="21"/>
                    </w:rPr>
                  </w:pPr>
                  <w:r>
                    <w:rPr>
                      <w:rFonts w:asciiTheme="minorEastAsia" w:hAnsiTheme="minorEastAsia"/>
                      <w:szCs w:val="21"/>
                    </w:rPr>
                    <w:t>偏差率</w:t>
                  </w:r>
                  <w:r>
                    <w:rPr>
                      <w:rFonts w:hint="eastAsia" w:asciiTheme="minorEastAsia" w:hAnsiTheme="minorEastAsia"/>
                      <w:szCs w:val="21"/>
                    </w:rPr>
                    <w:t>δ</w:t>
                  </w:r>
                  <w:r>
                    <w:rPr>
                      <w:rFonts w:asciiTheme="minorEastAsia" w:hAnsiTheme="minorEastAsia"/>
                      <w:szCs w:val="21"/>
                    </w:rPr>
                    <w:t>=100%×（有效投标人投标报价-评标基准价）/评标基准价。</w:t>
                  </w:r>
                  <w:r>
                    <w:rPr>
                      <w:rFonts w:hint="eastAsia" w:asciiTheme="minorEastAsia" w:hAnsiTheme="minorEastAsia"/>
                      <w:szCs w:val="21"/>
                    </w:rPr>
                    <w:t>当-3%≤偏差率δ≤0时，价格得分为满分30分。</w:t>
                  </w:r>
                </w:p>
                <w:p>
                  <w:pPr>
                    <w:spacing w:line="400" w:lineRule="exact"/>
                    <w:textAlignment w:val="baseline"/>
                    <w:rPr>
                      <w:rFonts w:asciiTheme="minorEastAsia" w:hAnsiTheme="minorEastAsia"/>
                      <w:szCs w:val="21"/>
                    </w:rPr>
                  </w:pPr>
                  <w:r>
                    <w:rPr>
                      <w:rFonts w:hint="eastAsia" w:asciiTheme="minorEastAsia" w:hAnsiTheme="minorEastAsia"/>
                      <w:szCs w:val="21"/>
                    </w:rPr>
                    <w:t>当偏差率δ&gt;0时，按照下述公式打分：m＝30-1×100×δ;当偏差率δ&lt;-3%时，按照下述公式打分：m＝30+100×0.5×（3%+δ）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28.6</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61.3</w:t>
                  </w:r>
                </w:p>
              </w:tc>
              <w:tc>
                <w:tcPr>
                  <w:tcW w:w="1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59.6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62.0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62.7</w:t>
                  </w:r>
                </w:p>
              </w:tc>
              <w:tc>
                <w:tcPr>
                  <w:tcW w:w="7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61.6</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61.9</w:t>
                  </w:r>
                </w:p>
              </w:tc>
              <w:tc>
                <w:tcPr>
                  <w:tcW w:w="123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61.2</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548"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61.47</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548" w:type="dxa"/>
                  <w:gridSpan w:val="9"/>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86.37</w:t>
                  </w:r>
                </w:p>
              </w:tc>
            </w:tr>
            <w:tr>
              <w:tblPrEx>
                <w:tblLayout w:type="fixed"/>
                <w:tblCellMar>
                  <w:top w:w="0" w:type="dxa"/>
                  <w:left w:w="0" w:type="dxa"/>
                  <w:bottom w:w="0" w:type="dxa"/>
                  <w:right w:w="0" w:type="dxa"/>
                </w:tblCellMar>
              </w:tblPrEx>
              <w:trPr>
                <w:trHeight w:val="540" w:hRule="atLeast"/>
              </w:trPr>
              <w:tc>
                <w:tcPr>
                  <w:tcW w:w="850" w:type="dxa"/>
                  <w:gridSpan w:val="2"/>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807" w:type="dxa"/>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7690" w:type="dxa"/>
                  <w:gridSpan w:val="10"/>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b/>
                      <w:bCs/>
                      <w:szCs w:val="21"/>
                    </w:rPr>
                    <w:t>备注：</w:t>
                  </w: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bl>
          <w:p>
            <w:pPr>
              <w:rPr>
                <w:rFonts w:cs="宋体" w:asciiTheme="minorEastAsia" w:hAnsiTheme="minorEastAsia"/>
                <w:szCs w:val="21"/>
              </w:rPr>
            </w:pPr>
          </w:p>
        </w:tc>
      </w:tr>
      <w:tr>
        <w:tblPrEx>
          <w:tblLayout w:type="fixed"/>
          <w:tblCellMar>
            <w:top w:w="0" w:type="dxa"/>
            <w:left w:w="0" w:type="dxa"/>
            <w:bottom w:w="0" w:type="dxa"/>
            <w:right w:w="0" w:type="dxa"/>
          </w:tblCellMar>
        </w:tblPrEx>
        <w:trPr>
          <w:gridAfter w:val="1"/>
          <w:wAfter w:w="8" w:type="dxa"/>
          <w:trHeight w:val="540" w:hRule="atLeast"/>
          <w:jc w:val="center"/>
        </w:trPr>
        <w:tc>
          <w:tcPr>
            <w:tcW w:w="9713" w:type="dxa"/>
            <w:gridSpan w:val="2"/>
            <w:tcBorders>
              <w:top w:val="nil"/>
              <w:left w:val="nil"/>
              <w:bottom w:val="nil"/>
              <w:right w:val="nil"/>
            </w:tcBorders>
            <w:shd w:val="clear" w:color="auto" w:fill="FFFFFF"/>
            <w:vAlign w:val="center"/>
          </w:tcPr>
          <w:p>
            <w:pPr>
              <w:pStyle w:val="11"/>
              <w:widowControl/>
              <w:spacing w:before="226" w:beforeAutospacing="0" w:afterAutospacing="0"/>
              <w:ind w:left="210" w:firstLine="843"/>
              <w:rPr>
                <w:rFonts w:cs="宋体" w:asciiTheme="minorEastAsia" w:hAnsiTheme="minorEastAsia" w:eastAsiaTheme="minorEastAsia"/>
                <w:sz w:val="21"/>
                <w:szCs w:val="21"/>
              </w:rPr>
            </w:pPr>
          </w:p>
        </w:tc>
      </w:tr>
      <w:tr>
        <w:tblPrEx>
          <w:tblLayout w:type="fixed"/>
          <w:tblCellMar>
            <w:top w:w="0" w:type="dxa"/>
            <w:left w:w="0" w:type="dxa"/>
            <w:bottom w:w="0" w:type="dxa"/>
            <w:right w:w="0" w:type="dxa"/>
          </w:tblCellMar>
        </w:tblPrEx>
        <w:trPr>
          <w:trHeight w:val="1572" w:hRule="atLeast"/>
          <w:jc w:val="center"/>
        </w:trPr>
        <w:tc>
          <w:tcPr>
            <w:tcW w:w="9721" w:type="dxa"/>
            <w:gridSpan w:val="3"/>
            <w:tcBorders>
              <w:top w:val="nil"/>
              <w:left w:val="nil"/>
              <w:bottom w:val="nil"/>
              <w:right w:val="nil"/>
            </w:tcBorders>
            <w:shd w:val="clear" w:color="auto" w:fill="FFFFFF"/>
            <w:vAlign w:val="center"/>
          </w:tcPr>
          <w:tbl>
            <w:tblPr>
              <w:tblStyle w:val="16"/>
              <w:tblW w:w="9398" w:type="dxa"/>
              <w:tblInd w:w="0" w:type="dxa"/>
              <w:tblLayout w:type="fixed"/>
              <w:tblCellMar>
                <w:top w:w="0" w:type="dxa"/>
                <w:left w:w="0" w:type="dxa"/>
                <w:bottom w:w="0" w:type="dxa"/>
                <w:right w:w="0" w:type="dxa"/>
              </w:tblCellMar>
            </w:tblPr>
            <w:tblGrid>
              <w:gridCol w:w="555"/>
              <w:gridCol w:w="2244"/>
              <w:gridCol w:w="934"/>
              <w:gridCol w:w="934"/>
              <w:gridCol w:w="934"/>
              <w:gridCol w:w="1232"/>
              <w:gridCol w:w="855"/>
              <w:gridCol w:w="855"/>
              <w:gridCol w:w="855"/>
            </w:tblGrid>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第三中标候选人</w:t>
                  </w:r>
                </w:p>
              </w:tc>
              <w:tc>
                <w:tcPr>
                  <w:tcW w:w="659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asciiTheme="minorEastAsia" w:hAnsiTheme="minorEastAsia"/>
                      <w:szCs w:val="21"/>
                    </w:rPr>
                    <w:t>中铁第五勘察设计院集团有限公司</w:t>
                  </w:r>
                </w:p>
              </w:tc>
            </w:tr>
            <w:tr>
              <w:tblPrEx>
                <w:tblLayout w:type="fixed"/>
                <w:tblCellMar>
                  <w:top w:w="0" w:type="dxa"/>
                  <w:left w:w="0" w:type="dxa"/>
                  <w:bottom w:w="0" w:type="dxa"/>
                  <w:right w:w="0" w:type="dxa"/>
                </w:tblCellMar>
              </w:tblPrEx>
              <w:trPr>
                <w:trHeight w:val="76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技术标30分</w:t>
                  </w: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1、现场监测方案及技术措施   5-8分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2、现场巡查方案1.5-3分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3、重点、难点监测体系与措施1.5-</w:t>
                  </w:r>
                  <w:r>
                    <w:rPr>
                      <w:rFonts w:hint="eastAsia" w:eastAsia="宋体"/>
                      <w:szCs w:val="21"/>
                    </w:rPr>
                    <w:t>3</w:t>
                  </w:r>
                  <w:r>
                    <w:rPr>
                      <w:rFonts w:hint="eastAsia"/>
                      <w:szCs w:val="21"/>
                    </w:rPr>
                    <w:t>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4、质量管理体系与措施1.2-2分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114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5、安全管理体系与措施1.2-2分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6、监测应急预案体系与措施1.2-2分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7、监测设备和仪器仪表配备1.2-2分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471"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8、监测服务大纲1.2-2分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1117"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9、对施工监测单位的管理措施1.2-2分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978"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10、监控信息报送方案1.2-2分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99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11、监测组织1.2-2分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r>
            <w:tr>
              <w:tblPrEx>
                <w:tblLayout w:type="fixed"/>
                <w:tblCellMar>
                  <w:top w:w="0" w:type="dxa"/>
                  <w:left w:w="0" w:type="dxa"/>
                  <w:bottom w:w="0" w:type="dxa"/>
                  <w:right w:w="0" w:type="dxa"/>
                </w:tblCellMar>
              </w:tblPrEx>
              <w:trPr>
                <w:trHeight w:val="99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b/>
                      <w:szCs w:val="21"/>
                    </w:rPr>
                  </w:pPr>
                  <w:r>
                    <w:rPr>
                      <w:rFonts w:hint="eastAsia" w:asciiTheme="minorEastAsia" w:hAnsiTheme="minorEastAsia"/>
                      <w:b/>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23.1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21.7</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24.6</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21.8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18.1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20.2</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59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21.63</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1、投标人业绩0-8分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2、项目负责人业绩0-4分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3、技术负责人业绩0-4分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4、监测工程师（测量专业）0-4分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5、监测工程师（岩土专业）0-4分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6、监测工程师（结构专业）0-2分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7、巡查人员（岩土或结构专业）0-2分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8、助理工程师0-2分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9、资料录入及数据管理员0-2分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10、投标文件格式及签字盖章0或2分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11、投标文件的编制及形式0-2分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asciiTheme="minorEastAsia" w:hAnsiTheme="minorEastAsia"/>
                      <w:szCs w:val="21"/>
                    </w:rPr>
                    <w:t>12、服务承诺及措施0-4分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r>
            <w:tr>
              <w:tblPrEx>
                <w:tblLayout w:type="fixed"/>
                <w:tblCellMar>
                  <w:top w:w="0" w:type="dxa"/>
                  <w:left w:w="0" w:type="dxa"/>
                  <w:bottom w:w="0" w:type="dxa"/>
                  <w:right w:w="0" w:type="dxa"/>
                </w:tblCellMar>
              </w:tblPrEx>
              <w:trPr>
                <w:trHeight w:val="2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w:t>
                  </w:r>
                </w:p>
                <w:p>
                  <w:pPr>
                    <w:spacing w:line="400" w:lineRule="exact"/>
                    <w:textAlignment w:val="baseline"/>
                    <w:rPr>
                      <w:rFonts w:asciiTheme="minorEastAsia" w:hAnsiTheme="minorEastAsia"/>
                      <w:szCs w:val="21"/>
                    </w:rPr>
                  </w:pPr>
                  <w:r>
                    <w:rPr>
                      <w:rFonts w:hint="eastAsia" w:asciiTheme="minorEastAsia" w:hAnsiTheme="minorEastAsia"/>
                      <w:szCs w:val="21"/>
                    </w:rPr>
                    <w:t>（1）当有效投标人数量≥5家时：评标基准价=去掉一个有效投标人最高投标报价、去掉一个有效投标人最低投标报价后的算术平均值。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w:t>
                  </w:r>
                </w:p>
                <w:p>
                  <w:pPr>
                    <w:rPr>
                      <w:rFonts w:asciiTheme="minorEastAsia" w:hAnsiTheme="minorEastAsia"/>
                      <w:szCs w:val="21"/>
                    </w:rPr>
                  </w:pPr>
                  <w:r>
                    <w:rPr>
                      <w:rFonts w:asciiTheme="minorEastAsia" w:hAnsiTheme="minorEastAsia"/>
                      <w:szCs w:val="21"/>
                    </w:rPr>
                    <w:t>注：有效投标人：是指通过形式评审、资格评审、响应性评审的投标人。</w:t>
                  </w:r>
                </w:p>
                <w:p>
                  <w:pPr>
                    <w:spacing w:line="400" w:lineRule="exact"/>
                    <w:textAlignment w:val="baseline"/>
                    <w:rPr>
                      <w:rFonts w:asciiTheme="minorEastAsia" w:hAnsiTheme="minorEastAsia"/>
                      <w:szCs w:val="21"/>
                    </w:rPr>
                  </w:pPr>
                  <w:r>
                    <w:rPr>
                      <w:rFonts w:asciiTheme="minorEastAsia" w:hAnsiTheme="minorEastAsia"/>
                      <w:szCs w:val="21"/>
                    </w:rPr>
                    <w:t>偏差率</w:t>
                  </w:r>
                  <w:r>
                    <w:rPr>
                      <w:rFonts w:hint="eastAsia" w:asciiTheme="minorEastAsia" w:hAnsiTheme="minorEastAsia"/>
                      <w:szCs w:val="21"/>
                    </w:rPr>
                    <w:t>δ</w:t>
                  </w:r>
                  <w:r>
                    <w:rPr>
                      <w:rFonts w:asciiTheme="minorEastAsia" w:hAnsiTheme="minorEastAsia"/>
                      <w:szCs w:val="21"/>
                    </w:rPr>
                    <w:t>=100%×（有效投标人投标报价-评标基准价）/评标基准价。</w:t>
                  </w:r>
                  <w:r>
                    <w:rPr>
                      <w:rFonts w:hint="eastAsia" w:asciiTheme="minorEastAsia" w:hAnsiTheme="minorEastAsia"/>
                      <w:szCs w:val="21"/>
                    </w:rPr>
                    <w:t>当-3%≤偏差率δ≤0时，价格得分为满分30分。</w:t>
                  </w:r>
                </w:p>
                <w:p>
                  <w:pPr>
                    <w:spacing w:line="400" w:lineRule="exact"/>
                    <w:textAlignment w:val="baseline"/>
                    <w:rPr>
                      <w:rFonts w:asciiTheme="minorEastAsia" w:hAnsiTheme="minorEastAsia"/>
                      <w:szCs w:val="21"/>
                    </w:rPr>
                  </w:pPr>
                  <w:r>
                    <w:rPr>
                      <w:rFonts w:hint="eastAsia" w:asciiTheme="minorEastAsia" w:hAnsiTheme="minorEastAsia"/>
                      <w:szCs w:val="21"/>
                    </w:rPr>
                    <w:t>当偏差率δ&gt;0时，按照下述公式打分：m＝30-1×100×δ</w:t>
                  </w:r>
                </w:p>
                <w:p>
                  <w:pPr>
                    <w:pStyle w:val="6"/>
                    <w:ind w:firstLine="210"/>
                    <w:rPr>
                      <w:rFonts w:asciiTheme="minorEastAsia" w:hAnsiTheme="minorEastAsia" w:eastAsiaTheme="minorEastAsia"/>
                      <w:sz w:val="21"/>
                      <w:szCs w:val="21"/>
                    </w:rPr>
                  </w:pPr>
                  <w:r>
                    <w:rPr>
                      <w:rFonts w:hint="eastAsia" w:asciiTheme="minorEastAsia" w:hAnsiTheme="minorEastAsia" w:eastAsiaTheme="minorEastAsia"/>
                      <w:sz w:val="21"/>
                      <w:szCs w:val="21"/>
                    </w:rPr>
                    <w:t>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29.82</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50.82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50.52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50.02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50.32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50.82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50.12</w:t>
                  </w:r>
                </w:p>
              </w:tc>
              <w:tc>
                <w:tcPr>
                  <w:tcW w:w="8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50.62</w:t>
                  </w:r>
                </w:p>
              </w:tc>
            </w:tr>
            <w:tr>
              <w:tblPrEx>
                <w:tblLayout w:type="fixed"/>
                <w:tblCellMar>
                  <w:top w:w="0" w:type="dxa"/>
                  <w:left w:w="0" w:type="dxa"/>
                  <w:bottom w:w="0" w:type="dxa"/>
                  <w:right w:w="0" w:type="dxa"/>
                </w:tblCellMar>
              </w:tblPrEx>
              <w:trPr>
                <w:trHeight w:val="76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59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50.46</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59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72.09</w:t>
                  </w:r>
                </w:p>
              </w:tc>
            </w:tr>
            <w:tr>
              <w:tblPrEx>
                <w:tblLayout w:type="fixed"/>
                <w:tblCellMar>
                  <w:top w:w="0" w:type="dxa"/>
                  <w:left w:w="0" w:type="dxa"/>
                  <w:bottom w:w="0" w:type="dxa"/>
                  <w:right w:w="0" w:type="dxa"/>
                </w:tblCellMar>
              </w:tblPrEx>
              <w:trPr>
                <w:trHeight w:val="540" w:hRule="atLeast"/>
              </w:trPr>
              <w:tc>
                <w:tcPr>
                  <w:tcW w:w="9398" w:type="dxa"/>
                  <w:gridSpan w:val="9"/>
                  <w:tcBorders>
                    <w:top w:val="single" w:color="000000" w:sz="6" w:space="0"/>
                    <w:left w:val="single" w:color="000000" w:sz="6" w:space="0"/>
                    <w:right w:val="single" w:color="000000" w:sz="6" w:space="0"/>
                  </w:tcBorders>
                  <w:shd w:val="clear" w:color="auto" w:fill="FFFFFF"/>
                  <w:vAlign w:val="center"/>
                </w:tcPr>
                <w:p>
                  <w:pPr>
                    <w:rPr>
                      <w:rFonts w:cs="宋体" w:asciiTheme="minorEastAsia" w:hAnsiTheme="minorEastAsia"/>
                      <w:b/>
                      <w:bCs/>
                      <w:szCs w:val="21"/>
                    </w:rPr>
                  </w:pPr>
                  <w:r>
                    <w:rPr>
                      <w:rFonts w:hint="eastAsia" w:cs="宋体" w:asciiTheme="minorEastAsia" w:hAnsiTheme="minorEastAsia"/>
                      <w:b/>
                      <w:bCs/>
                      <w:szCs w:val="21"/>
                    </w:rPr>
                    <w:t>备注：</w:t>
                  </w:r>
                </w:p>
              </w:tc>
            </w:tr>
            <w:tr>
              <w:tblPrEx>
                <w:tblLayout w:type="fixed"/>
                <w:tblCellMar>
                  <w:top w:w="0" w:type="dxa"/>
                  <w:left w:w="0" w:type="dxa"/>
                  <w:bottom w:w="0" w:type="dxa"/>
                  <w:right w:w="0" w:type="dxa"/>
                </w:tblCellMar>
              </w:tblPrEx>
              <w:trPr>
                <w:trHeight w:val="568" w:hRule="atLeast"/>
              </w:trPr>
              <w:tc>
                <w:tcPr>
                  <w:tcW w:w="9398" w:type="dxa"/>
                  <w:gridSpan w:val="9"/>
                  <w:tcBorders>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bl>
          <w:p>
            <w:pPr>
              <w:rPr>
                <w:rFonts w:cs="宋体" w:asciiTheme="minorEastAsia" w:hAnsiTheme="minorEastAsia"/>
                <w:szCs w:val="21"/>
              </w:rPr>
            </w:pPr>
          </w:p>
        </w:tc>
      </w:tr>
      <w:tr>
        <w:tblPrEx>
          <w:tblLayout w:type="fixed"/>
          <w:tblCellMar>
            <w:top w:w="0" w:type="dxa"/>
            <w:left w:w="0" w:type="dxa"/>
            <w:bottom w:w="0" w:type="dxa"/>
            <w:right w:w="0" w:type="dxa"/>
          </w:tblCellMar>
        </w:tblPrEx>
        <w:trPr>
          <w:trHeight w:val="540" w:hRule="atLeast"/>
          <w:jc w:val="center"/>
        </w:trPr>
        <w:tc>
          <w:tcPr>
            <w:tcW w:w="9721" w:type="dxa"/>
            <w:gridSpan w:val="3"/>
            <w:tcBorders>
              <w:top w:val="nil"/>
              <w:left w:val="nil"/>
              <w:bottom w:val="nil"/>
              <w:right w:val="nil"/>
            </w:tcBorders>
            <w:shd w:val="clear" w:color="auto" w:fill="FFFFFF"/>
            <w:vAlign w:val="center"/>
          </w:tcPr>
          <w:p>
            <w:pPr>
              <w:pStyle w:val="11"/>
              <w:widowControl/>
              <w:spacing w:before="226" w:beforeAutospacing="0" w:afterAutospacing="0"/>
              <w:ind w:left="210" w:firstLine="843"/>
              <w:rPr>
                <w:rFonts w:cs="宋体" w:asciiTheme="minorEastAsia" w:hAnsiTheme="minorEastAsia" w:eastAsiaTheme="minorEastAsia"/>
                <w:sz w:val="21"/>
                <w:szCs w:val="21"/>
              </w:rPr>
            </w:pPr>
          </w:p>
        </w:tc>
      </w:tr>
      <w:tr>
        <w:tblPrEx>
          <w:tblLayout w:type="fixed"/>
          <w:tblCellMar>
            <w:top w:w="0" w:type="dxa"/>
            <w:left w:w="0" w:type="dxa"/>
            <w:bottom w:w="0" w:type="dxa"/>
            <w:right w:w="0" w:type="dxa"/>
          </w:tblCellMar>
        </w:tblPrEx>
        <w:trPr>
          <w:gridAfter w:val="1"/>
          <w:wAfter w:w="8" w:type="dxa"/>
          <w:trHeight w:val="540" w:hRule="atLeast"/>
          <w:jc w:val="center"/>
        </w:trPr>
        <w:tc>
          <w:tcPr>
            <w:tcW w:w="9713" w:type="dxa"/>
            <w:gridSpan w:val="2"/>
            <w:tcBorders>
              <w:top w:val="nil"/>
              <w:left w:val="nil"/>
              <w:bottom w:val="nil"/>
              <w:right w:val="nil"/>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第三标段</w:t>
            </w:r>
            <w:r>
              <w:rPr>
                <w:rFonts w:cs="宋体" w:asciiTheme="minorEastAsia" w:hAnsiTheme="minorEastAsia"/>
                <w:szCs w:val="21"/>
              </w:rPr>
              <w:t>:</w:t>
            </w:r>
          </w:p>
        </w:tc>
      </w:tr>
      <w:tr>
        <w:tblPrEx>
          <w:tblLayout w:type="fixed"/>
          <w:tblCellMar>
            <w:top w:w="0" w:type="dxa"/>
            <w:left w:w="0" w:type="dxa"/>
            <w:bottom w:w="0" w:type="dxa"/>
            <w:right w:w="0" w:type="dxa"/>
          </w:tblCellMar>
        </w:tblPrEx>
        <w:trPr>
          <w:gridAfter w:val="1"/>
          <w:wAfter w:w="8" w:type="dxa"/>
          <w:trHeight w:val="1180" w:hRule="atLeast"/>
          <w:jc w:val="center"/>
        </w:trPr>
        <w:tc>
          <w:tcPr>
            <w:tcW w:w="9713" w:type="dxa"/>
            <w:gridSpan w:val="2"/>
            <w:tcBorders>
              <w:top w:val="nil"/>
              <w:left w:val="nil"/>
              <w:bottom w:val="nil"/>
              <w:right w:val="nil"/>
            </w:tcBorders>
            <w:shd w:val="clear" w:color="auto" w:fill="FFFFFF"/>
            <w:vAlign w:val="center"/>
          </w:tcPr>
          <w:tbl>
            <w:tblPr>
              <w:tblStyle w:val="16"/>
              <w:tblW w:w="9386" w:type="dxa"/>
              <w:tblInd w:w="0" w:type="dxa"/>
              <w:tblLayout w:type="fixed"/>
              <w:tblCellMar>
                <w:top w:w="0" w:type="dxa"/>
                <w:left w:w="0" w:type="dxa"/>
                <w:bottom w:w="0" w:type="dxa"/>
                <w:right w:w="0" w:type="dxa"/>
              </w:tblCellMar>
            </w:tblPr>
            <w:tblGrid>
              <w:gridCol w:w="555"/>
              <w:gridCol w:w="2244"/>
              <w:gridCol w:w="934"/>
              <w:gridCol w:w="934"/>
              <w:gridCol w:w="934"/>
              <w:gridCol w:w="1232"/>
              <w:gridCol w:w="851"/>
              <w:gridCol w:w="851"/>
              <w:gridCol w:w="851"/>
            </w:tblGrid>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第一中标候选人</w:t>
                  </w:r>
                </w:p>
              </w:tc>
              <w:tc>
                <w:tcPr>
                  <w:tcW w:w="658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中铁工程设计咨询集团有限公司</w:t>
                  </w:r>
                </w:p>
              </w:tc>
            </w:tr>
            <w:tr>
              <w:tblPrEx>
                <w:tblLayout w:type="fixed"/>
                <w:tblCellMar>
                  <w:top w:w="0" w:type="dxa"/>
                  <w:left w:w="0" w:type="dxa"/>
                  <w:bottom w:w="0" w:type="dxa"/>
                  <w:right w:w="0" w:type="dxa"/>
                </w:tblCellMar>
              </w:tblPrEx>
              <w:trPr>
                <w:trHeight w:val="76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b/>
                      <w:bCs/>
                      <w:szCs w:val="21"/>
                    </w:rPr>
                    <w:t>技术标30分</w:t>
                  </w: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1、全线控制测量检测方案</w:t>
                  </w:r>
                  <w:r>
                    <w:rPr>
                      <w:rFonts w:hint="eastAsia" w:hAnsi="宋体" w:eastAsia="宋体" w:cs="宋体"/>
                      <w:szCs w:val="21"/>
                    </w:rPr>
                    <w:t>6</w:t>
                  </w:r>
                  <w:r>
                    <w:rPr>
                      <w:rFonts w:hint="eastAsia" w:hAnsi="宋体" w:cs="宋体"/>
                      <w:szCs w:val="21"/>
                    </w:rPr>
                    <w:t>-</w:t>
                  </w:r>
                  <w:r>
                    <w:rPr>
                      <w:rFonts w:hint="eastAsia" w:hAnsi="宋体" w:eastAsia="宋体" w:cs="宋体"/>
                      <w:szCs w:val="21"/>
                    </w:rPr>
                    <w:t>10分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2、质量保证措施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3、安全保证措施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4、控制测量检测作业</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r>
            <w:tr>
              <w:tblPrEx>
                <w:tblLayout w:type="fixed"/>
                <w:tblCellMar>
                  <w:top w:w="0" w:type="dxa"/>
                  <w:left w:w="0" w:type="dxa"/>
                  <w:bottom w:w="0" w:type="dxa"/>
                  <w:right w:w="0" w:type="dxa"/>
                </w:tblCellMar>
              </w:tblPrEx>
              <w:trPr>
                <w:trHeight w:val="114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5、控制测量检测服务大纲0.5-2分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6、成果文件组成1.5-3分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7、重点、难点分析0.5-2分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r>
            <w:tr>
              <w:tblPrEx>
                <w:tblLayout w:type="fixed"/>
                <w:tblCellMar>
                  <w:top w:w="0" w:type="dxa"/>
                  <w:left w:w="0" w:type="dxa"/>
                  <w:bottom w:w="0" w:type="dxa"/>
                  <w:right w:w="0" w:type="dxa"/>
                </w:tblCellMar>
              </w:tblPrEx>
              <w:trPr>
                <w:trHeight w:val="471"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8、合理化建议0.5-1分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0.6</w:t>
                  </w:r>
                </w:p>
              </w:tc>
            </w:tr>
            <w:tr>
              <w:tblPrEx>
                <w:tblLayout w:type="fixed"/>
                <w:tblCellMar>
                  <w:top w:w="0" w:type="dxa"/>
                  <w:left w:w="0" w:type="dxa"/>
                  <w:bottom w:w="0" w:type="dxa"/>
                  <w:right w:w="0" w:type="dxa"/>
                </w:tblCellMar>
              </w:tblPrEx>
              <w:trPr>
                <w:trHeight w:val="1117"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9、拟配备本项目的试验和测量仪器设备1.5-3分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25.6</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24.7</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24.1</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58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24.51</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cs="宋体" w:asciiTheme="minorEastAsia" w:hAnsiTheme="minorEastAsia"/>
                      <w:szCs w:val="21"/>
                    </w:rPr>
                  </w:pPr>
                </w:p>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项目负责人业绩0-6分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技术负责人业绩0-6分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测量工程师2-6分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助理工程师0-6分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资料录入及数据管理员0-4分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计量认证证书0或2分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r>
            <w:tr>
              <w:tblPrEx>
                <w:tblLayout w:type="fixed"/>
                <w:tblCellMar>
                  <w:top w:w="0" w:type="dxa"/>
                  <w:left w:w="0" w:type="dxa"/>
                  <w:bottom w:w="0" w:type="dxa"/>
                  <w:right w:w="0" w:type="dxa"/>
                </w:tblCellMar>
              </w:tblPrEx>
              <w:trPr>
                <w:trHeight w:val="2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（2）当有效投标人数量＜5家时：评标基准价=所有有效投标人投标报价的算术平均值。注：有效投标人：是指通过形式评审、资格评审、响应性评审的投标人。</w:t>
                  </w:r>
                  <w:r>
                    <w:rPr>
                      <w:rFonts w:asciiTheme="minorEastAsia" w:hAnsiTheme="minorEastAsia"/>
                      <w:szCs w:val="21"/>
                    </w:rPr>
                    <w:t>偏差率</w:t>
                  </w:r>
                  <w:r>
                    <w:rPr>
                      <w:rFonts w:hint="eastAsia" w:asciiTheme="minorEastAsia" w:hAnsiTheme="minorEastAsia"/>
                      <w:szCs w:val="21"/>
                    </w:rPr>
                    <w:t>δ</w:t>
                  </w:r>
                  <w:r>
                    <w:rPr>
                      <w:rFonts w:asciiTheme="minorEastAsia" w:hAnsiTheme="minorEastAsia"/>
                      <w:szCs w:val="21"/>
                    </w:rPr>
                    <w:t>=100%×（有效投标人投标报价-评标基准价）/评标基准价。</w:t>
                  </w:r>
                  <w:r>
                    <w:rPr>
                      <w:rFonts w:hint="eastAsia" w:asciiTheme="minorEastAsia" w:hAnsiTheme="minorEastAsia"/>
                      <w:szCs w:val="21"/>
                    </w:rPr>
                    <w:t>当-3%≤偏差率δ≤0时，价格得分为满分30分。当偏差率δ&gt;0时，按照下述公式打分：m＝30-1×100×δ</w:t>
                  </w:r>
                </w:p>
                <w:p>
                  <w:pPr>
                    <w:pStyle w:val="6"/>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28.92</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59.92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59.92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59.72</w:t>
                  </w:r>
                </w:p>
              </w:tc>
              <w:tc>
                <w:tcPr>
                  <w:tcW w:w="123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59.92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59.72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58.92</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59.82</w:t>
                  </w:r>
                </w:p>
              </w:tc>
            </w:tr>
            <w:tr>
              <w:tblPrEx>
                <w:tblLayout w:type="fixed"/>
                <w:tblCellMar>
                  <w:top w:w="0" w:type="dxa"/>
                  <w:left w:w="0" w:type="dxa"/>
                  <w:bottom w:w="0" w:type="dxa"/>
                  <w:right w:w="0" w:type="dxa"/>
                </w:tblCellMar>
              </w:tblPrEx>
              <w:trPr>
                <w:trHeight w:val="76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58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59.71</w:t>
                  </w:r>
                </w:p>
              </w:tc>
            </w:tr>
            <w:tr>
              <w:tblPrEx>
                <w:tblLayout w:type="fixed"/>
                <w:tblCellMar>
                  <w:top w:w="0" w:type="dxa"/>
                  <w:left w:w="0" w:type="dxa"/>
                  <w:bottom w:w="0" w:type="dxa"/>
                  <w:right w:w="0" w:type="dxa"/>
                </w:tblCellMar>
              </w:tblPrEx>
              <w:trPr>
                <w:trHeight w:val="540" w:hRule="atLeast"/>
              </w:trPr>
              <w:tc>
                <w:tcPr>
                  <w:tcW w:w="279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58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84.22</w:t>
                  </w:r>
                </w:p>
              </w:tc>
            </w:tr>
            <w:tr>
              <w:tblPrEx>
                <w:tblLayout w:type="fixed"/>
                <w:tblCellMar>
                  <w:top w:w="0" w:type="dxa"/>
                  <w:left w:w="0" w:type="dxa"/>
                  <w:bottom w:w="0" w:type="dxa"/>
                  <w:right w:w="0" w:type="dxa"/>
                </w:tblCellMar>
              </w:tblPrEx>
              <w:trPr>
                <w:trHeight w:val="540" w:hRule="atLeast"/>
              </w:trPr>
              <w:tc>
                <w:tcPr>
                  <w:tcW w:w="9386" w:type="dxa"/>
                  <w:gridSpan w:val="9"/>
                  <w:tcBorders>
                    <w:top w:val="single" w:color="000000" w:sz="6" w:space="0"/>
                    <w:left w:val="single" w:color="000000" w:sz="6" w:space="0"/>
                    <w:right w:val="single" w:color="000000" w:sz="6" w:space="0"/>
                  </w:tcBorders>
                  <w:shd w:val="clear" w:color="auto" w:fill="FFFFFF"/>
                  <w:vAlign w:val="center"/>
                </w:tcPr>
                <w:p>
                  <w:pPr>
                    <w:rPr>
                      <w:rFonts w:cs="宋体" w:asciiTheme="minorEastAsia" w:hAnsiTheme="minorEastAsia"/>
                      <w:b/>
                      <w:bCs/>
                      <w:szCs w:val="21"/>
                    </w:rPr>
                  </w:pPr>
                  <w:r>
                    <w:rPr>
                      <w:rFonts w:hint="eastAsia" w:cs="宋体" w:asciiTheme="minorEastAsia" w:hAnsiTheme="minorEastAsia"/>
                      <w:b/>
                      <w:bCs/>
                      <w:szCs w:val="21"/>
                    </w:rPr>
                    <w:t>备注：</w:t>
                  </w:r>
                </w:p>
              </w:tc>
            </w:tr>
            <w:tr>
              <w:tblPrEx>
                <w:tblLayout w:type="fixed"/>
                <w:tblCellMar>
                  <w:top w:w="0" w:type="dxa"/>
                  <w:left w:w="0" w:type="dxa"/>
                  <w:bottom w:w="0" w:type="dxa"/>
                  <w:right w:w="0" w:type="dxa"/>
                </w:tblCellMar>
              </w:tblPrEx>
              <w:trPr>
                <w:trHeight w:val="413" w:hRule="atLeast"/>
              </w:trPr>
              <w:tc>
                <w:tcPr>
                  <w:tcW w:w="9386" w:type="dxa"/>
                  <w:gridSpan w:val="9"/>
                  <w:tcBorders>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bl>
          <w:p>
            <w:pPr>
              <w:rPr>
                <w:rFonts w:cs="宋体" w:asciiTheme="minorEastAsia" w:hAnsiTheme="minorEastAsia"/>
                <w:szCs w:val="21"/>
              </w:rPr>
            </w:pPr>
          </w:p>
        </w:tc>
      </w:tr>
    </w:tbl>
    <w:p>
      <w:pPr>
        <w:rPr>
          <w:rFonts w:asciiTheme="minorEastAsia" w:hAnsiTheme="minorEastAsia"/>
          <w:szCs w:val="21"/>
        </w:rPr>
      </w:pPr>
    </w:p>
    <w:p>
      <w:pPr>
        <w:pStyle w:val="6"/>
        <w:ind w:firstLine="210"/>
        <w:rPr>
          <w:rFonts w:asciiTheme="minorEastAsia" w:hAnsiTheme="minorEastAsia" w:eastAsiaTheme="minorEastAsia"/>
          <w:sz w:val="21"/>
          <w:szCs w:val="21"/>
        </w:rPr>
      </w:pPr>
    </w:p>
    <w:tbl>
      <w:tblPr>
        <w:tblStyle w:val="16"/>
        <w:tblW w:w="10564" w:type="dxa"/>
        <w:tblInd w:w="-701" w:type="dxa"/>
        <w:tblLayout w:type="fixed"/>
        <w:tblCellMar>
          <w:top w:w="0" w:type="dxa"/>
          <w:left w:w="0" w:type="dxa"/>
          <w:bottom w:w="0" w:type="dxa"/>
          <w:right w:w="0" w:type="dxa"/>
        </w:tblCellMar>
      </w:tblPr>
      <w:tblGrid>
        <w:gridCol w:w="491"/>
        <w:gridCol w:w="173"/>
        <w:gridCol w:w="45"/>
        <w:gridCol w:w="2198"/>
        <w:gridCol w:w="934"/>
        <w:gridCol w:w="934"/>
        <w:gridCol w:w="934"/>
        <w:gridCol w:w="954"/>
        <w:gridCol w:w="990"/>
        <w:gridCol w:w="853"/>
        <w:gridCol w:w="850"/>
        <w:gridCol w:w="882"/>
        <w:gridCol w:w="182"/>
        <w:gridCol w:w="144"/>
      </w:tblGrid>
      <w:tr>
        <w:tblPrEx>
          <w:tblLayout w:type="fixed"/>
          <w:tblCellMar>
            <w:top w:w="0" w:type="dxa"/>
            <w:left w:w="0" w:type="dxa"/>
            <w:bottom w:w="0" w:type="dxa"/>
            <w:right w:w="0" w:type="dxa"/>
          </w:tblCellMar>
        </w:tblPrEx>
        <w:trPr>
          <w:gridAfter w:val="3"/>
          <w:wAfter w:w="1208" w:type="dxa"/>
          <w:trHeight w:val="54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第二中标候选人</w:t>
            </w:r>
          </w:p>
        </w:tc>
        <w:tc>
          <w:tcPr>
            <w:tcW w:w="6449"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中铁二院工程集团有限责任公司</w:t>
            </w:r>
          </w:p>
        </w:tc>
      </w:tr>
      <w:tr>
        <w:tblPrEx>
          <w:tblLayout w:type="fixed"/>
          <w:tblCellMar>
            <w:top w:w="0" w:type="dxa"/>
            <w:left w:w="0" w:type="dxa"/>
            <w:bottom w:w="0" w:type="dxa"/>
            <w:right w:w="0" w:type="dxa"/>
          </w:tblCellMar>
        </w:tblPrEx>
        <w:trPr>
          <w:gridAfter w:val="3"/>
          <w:wAfter w:w="1208" w:type="dxa"/>
          <w:trHeight w:val="76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技术标30分</w:t>
            </w: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1、全线控制测量检测方案</w:t>
            </w:r>
            <w:r>
              <w:rPr>
                <w:rFonts w:hint="eastAsia" w:hAnsi="宋体" w:eastAsia="宋体" w:cs="宋体"/>
                <w:szCs w:val="21"/>
              </w:rPr>
              <w:t>6</w:t>
            </w:r>
            <w:r>
              <w:rPr>
                <w:rFonts w:hint="eastAsia" w:hAnsi="宋体" w:cs="宋体"/>
                <w:szCs w:val="21"/>
              </w:rPr>
              <w:t>-</w:t>
            </w:r>
            <w:r>
              <w:rPr>
                <w:rFonts w:hint="eastAsia" w:hAnsi="宋体" w:eastAsia="宋体" w:cs="宋体"/>
                <w:szCs w:val="21"/>
              </w:rPr>
              <w:t>10分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7.5</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7.1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2、质量保证措施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3、安全保证措施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4、控制测量检测作业</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r>
      <w:tr>
        <w:tblPrEx>
          <w:tblLayout w:type="fixed"/>
          <w:tblCellMar>
            <w:top w:w="0" w:type="dxa"/>
            <w:left w:w="0" w:type="dxa"/>
            <w:bottom w:w="0" w:type="dxa"/>
            <w:right w:w="0" w:type="dxa"/>
          </w:tblCellMar>
        </w:tblPrEx>
        <w:trPr>
          <w:gridAfter w:val="3"/>
          <w:wAfter w:w="1208" w:type="dxa"/>
          <w:trHeight w:val="114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5、控制测量检测服务大纲0.5-2分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6、成果文件组成1.5-3分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7、重点、难点分析0.5-2分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gridAfter w:val="3"/>
          <w:wAfter w:w="1208" w:type="dxa"/>
          <w:trHeight w:val="471"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8、合理化建议0.5-1分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0.7</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0.6</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r>
      <w:tr>
        <w:tblPrEx>
          <w:tblLayout w:type="fixed"/>
          <w:tblCellMar>
            <w:top w:w="0" w:type="dxa"/>
            <w:left w:w="0" w:type="dxa"/>
            <w:bottom w:w="0" w:type="dxa"/>
            <w:right w:w="0" w:type="dxa"/>
          </w:tblCellMar>
        </w:tblPrEx>
        <w:trPr>
          <w:gridAfter w:val="3"/>
          <w:wAfter w:w="1208" w:type="dxa"/>
          <w:trHeight w:val="1117"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9、拟配备本项目的试验和测量仪器设备1.5-3分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trHeight w:val="54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20.2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23.9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21.5</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22.3</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19.2</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20.4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23.1</w:t>
            </w:r>
          </w:p>
        </w:tc>
        <w:tc>
          <w:tcPr>
            <w:tcW w:w="1208" w:type="dxa"/>
            <w:gridSpan w:val="3"/>
            <w:vAlign w:val="center"/>
          </w:tcPr>
          <w:p>
            <w:pPr>
              <w:jc w:val="center"/>
              <w:rPr>
                <w:rFonts w:cs="宋体" w:asciiTheme="minorEastAsia" w:hAnsiTheme="minorEastAsia"/>
                <w:szCs w:val="21"/>
              </w:rPr>
            </w:pPr>
          </w:p>
        </w:tc>
      </w:tr>
      <w:tr>
        <w:tblPrEx>
          <w:tblLayout w:type="fixed"/>
          <w:tblCellMar>
            <w:top w:w="0" w:type="dxa"/>
            <w:left w:w="0" w:type="dxa"/>
            <w:bottom w:w="0" w:type="dxa"/>
            <w:right w:w="0" w:type="dxa"/>
          </w:tblCellMar>
        </w:tblPrEx>
        <w:trPr>
          <w:gridAfter w:val="3"/>
          <w:wAfter w:w="1208" w:type="dxa"/>
          <w:trHeight w:val="54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449"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21.51</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cs="宋体" w:asciiTheme="minorEastAsia" w:hAnsiTheme="minorEastAsia"/>
                <w:szCs w:val="21"/>
              </w:rPr>
            </w:pPr>
          </w:p>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项目负责人业绩0-6分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技术负责人业绩0-6分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测量工程师2-6分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助理工程师0-6分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资料录入及数据管理员0-4分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计量认证证书0或2分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r>
      <w:tr>
        <w:tblPrEx>
          <w:tblLayout w:type="fixed"/>
          <w:tblCellMar>
            <w:top w:w="0" w:type="dxa"/>
            <w:left w:w="0" w:type="dxa"/>
            <w:bottom w:w="0" w:type="dxa"/>
            <w:right w:w="0" w:type="dxa"/>
          </w:tblCellMar>
        </w:tblPrEx>
        <w:trPr>
          <w:gridAfter w:val="3"/>
          <w:wAfter w:w="1208" w:type="dxa"/>
          <w:trHeight w:val="7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1.4</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0.5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1.5</w:t>
            </w:r>
          </w:p>
        </w:tc>
      </w:tr>
      <w:tr>
        <w:tblPrEx>
          <w:tblLayout w:type="fixed"/>
          <w:tblCellMar>
            <w:top w:w="0" w:type="dxa"/>
            <w:left w:w="0" w:type="dxa"/>
            <w:bottom w:w="0" w:type="dxa"/>
            <w:right w:w="0" w:type="dxa"/>
          </w:tblCellMar>
        </w:tblPrEx>
        <w:trPr>
          <w:gridAfter w:val="3"/>
          <w:wAfter w:w="1208" w:type="dxa"/>
          <w:trHeight w:val="2660" w:hRule="atLeast"/>
        </w:trPr>
        <w:tc>
          <w:tcPr>
            <w:tcW w:w="664"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3"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w:t>
            </w:r>
          </w:p>
          <w:p>
            <w:pPr>
              <w:pStyle w:val="6"/>
              <w:ind w:firstLine="210"/>
              <w:rPr>
                <w:rFonts w:asciiTheme="minorEastAsia" w:hAnsiTheme="minorEastAsia" w:eastAsiaTheme="minorEastAsia"/>
                <w:sz w:val="21"/>
                <w:szCs w:val="21"/>
              </w:rPr>
            </w:pPr>
            <w:r>
              <w:rPr>
                <w:rFonts w:hint="eastAsia" w:asciiTheme="minorEastAsia" w:hAnsiTheme="minorEastAsia" w:eastAsiaTheme="minorEastAsia"/>
                <w:sz w:val="21"/>
                <w:szCs w:val="21"/>
              </w:rPr>
              <w:t>注：有效投标人：是指通过形式评审、资格评审、响应性评审的投标人。</w:t>
            </w:r>
          </w:p>
          <w:p>
            <w:pPr>
              <w:pStyle w:val="6"/>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偏差率</w:t>
            </w:r>
            <w:r>
              <w:rPr>
                <w:rFonts w:hint="eastAsia" w:asciiTheme="minorEastAsia" w:hAnsiTheme="minorEastAsia" w:eastAsiaTheme="minorEastAsia"/>
                <w:sz w:val="21"/>
                <w:szCs w:val="21"/>
              </w:rPr>
              <w:t>δ</w:t>
            </w:r>
            <w:r>
              <w:rPr>
                <w:rFonts w:asciiTheme="minorEastAsia" w:hAnsiTheme="minorEastAsia" w:eastAsiaTheme="minorEastAsia"/>
                <w:sz w:val="21"/>
                <w:szCs w:val="21"/>
              </w:rPr>
              <w:t>=100%×（有效投标人投标报价-评标基准价）/评标基准价。</w:t>
            </w:r>
          </w:p>
          <w:p>
            <w:pPr>
              <w:spacing w:line="400" w:lineRule="exact"/>
              <w:textAlignment w:val="baseline"/>
              <w:rPr>
                <w:rFonts w:asciiTheme="minorEastAsia" w:hAnsiTheme="minorEastAsia"/>
                <w:szCs w:val="21"/>
              </w:rPr>
            </w:pPr>
            <w:r>
              <w:rPr>
                <w:rFonts w:hint="eastAsia" w:asciiTheme="minorEastAsia" w:hAnsiTheme="minorEastAsia"/>
                <w:szCs w:val="21"/>
              </w:rPr>
              <w:t>当-3%≤偏差率δ≤0时，价格得分为满分30分。</w:t>
            </w:r>
          </w:p>
          <w:p>
            <w:pPr>
              <w:spacing w:line="400" w:lineRule="exact"/>
              <w:textAlignment w:val="baseline"/>
              <w:rPr>
                <w:rFonts w:asciiTheme="minorEastAsia" w:hAnsiTheme="minorEastAsia"/>
                <w:szCs w:val="21"/>
              </w:rPr>
            </w:pPr>
            <w:r>
              <w:rPr>
                <w:rFonts w:hint="eastAsia" w:asciiTheme="minorEastAsia" w:hAnsiTheme="minorEastAsia"/>
                <w:szCs w:val="21"/>
              </w:rPr>
              <w:t>当偏差率δ&gt;0时，按照下述公式打分：m＝30-1×100×δ</w:t>
            </w:r>
          </w:p>
          <w:p>
            <w:pPr>
              <w:pStyle w:val="6"/>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r>
      <w:tr>
        <w:tblPrEx>
          <w:tblLayout w:type="fixed"/>
          <w:tblCellMar>
            <w:top w:w="0" w:type="dxa"/>
            <w:left w:w="0" w:type="dxa"/>
            <w:bottom w:w="0" w:type="dxa"/>
            <w:right w:w="0" w:type="dxa"/>
          </w:tblCellMar>
        </w:tblPrEx>
        <w:trPr>
          <w:gridAfter w:val="3"/>
          <w:wAfter w:w="1208" w:type="dxa"/>
          <w:trHeight w:val="54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58.4</w:t>
            </w:r>
          </w:p>
        </w:tc>
        <w:tc>
          <w:tcPr>
            <w:tcW w:w="95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60</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w:t>
            </w:r>
          </w:p>
        </w:tc>
        <w:tc>
          <w:tcPr>
            <w:tcW w:w="8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57.5</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58.5</w:t>
            </w:r>
          </w:p>
        </w:tc>
      </w:tr>
      <w:tr>
        <w:tblPrEx>
          <w:tblLayout w:type="fixed"/>
          <w:tblCellMar>
            <w:top w:w="0" w:type="dxa"/>
            <w:left w:w="0" w:type="dxa"/>
            <w:bottom w:w="0" w:type="dxa"/>
            <w:right w:w="0" w:type="dxa"/>
          </w:tblCellMar>
        </w:tblPrEx>
        <w:trPr>
          <w:gridAfter w:val="3"/>
          <w:wAfter w:w="1208" w:type="dxa"/>
          <w:trHeight w:val="76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449"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58.56</w:t>
            </w:r>
          </w:p>
        </w:tc>
      </w:tr>
      <w:tr>
        <w:tblPrEx>
          <w:tblLayout w:type="fixed"/>
          <w:tblCellMar>
            <w:top w:w="0" w:type="dxa"/>
            <w:left w:w="0" w:type="dxa"/>
            <w:bottom w:w="0" w:type="dxa"/>
            <w:right w:w="0" w:type="dxa"/>
          </w:tblCellMar>
        </w:tblPrEx>
        <w:trPr>
          <w:gridAfter w:val="3"/>
          <w:wAfter w:w="1208" w:type="dxa"/>
          <w:trHeight w:val="540" w:hRule="atLeast"/>
        </w:trPr>
        <w:tc>
          <w:tcPr>
            <w:tcW w:w="290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449"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80.07</w:t>
            </w:r>
          </w:p>
        </w:tc>
      </w:tr>
      <w:tr>
        <w:tblPrEx>
          <w:tblLayout w:type="fixed"/>
          <w:tblCellMar>
            <w:top w:w="0" w:type="dxa"/>
            <w:left w:w="0" w:type="dxa"/>
            <w:bottom w:w="0" w:type="dxa"/>
            <w:right w:w="0" w:type="dxa"/>
          </w:tblCellMar>
        </w:tblPrEx>
        <w:trPr>
          <w:gridAfter w:val="3"/>
          <w:wAfter w:w="1208" w:type="dxa"/>
          <w:trHeight w:val="1042" w:hRule="atLeast"/>
        </w:trPr>
        <w:tc>
          <w:tcPr>
            <w:tcW w:w="9356" w:type="dxa"/>
            <w:gridSpan w:val="11"/>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r>
              <w:rPr>
                <w:rFonts w:hint="eastAsia" w:cs="宋体" w:asciiTheme="minorEastAsia" w:hAnsiTheme="minorEastAsia"/>
                <w:b/>
                <w:bCs/>
                <w:szCs w:val="21"/>
              </w:rPr>
              <w:t>备注：</w:t>
            </w:r>
          </w:p>
          <w:p>
            <w:pPr>
              <w:rPr>
                <w:rFonts w:cs="宋体" w:asciiTheme="minorEastAsia" w:hAnsiTheme="minorEastAsia"/>
                <w:szCs w:val="21"/>
              </w:rPr>
            </w:pP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r>
        <w:tblPrEx>
          <w:tblLayout w:type="fixed"/>
          <w:tblCellMar>
            <w:top w:w="0" w:type="dxa"/>
            <w:left w:w="0" w:type="dxa"/>
            <w:bottom w:w="0" w:type="dxa"/>
            <w:right w:w="0" w:type="dxa"/>
          </w:tblCellMar>
        </w:tblPrEx>
        <w:trPr>
          <w:gridBefore w:val="1"/>
          <w:gridAfter w:val="1"/>
          <w:wBefore w:w="491" w:type="dxa"/>
          <w:wAfter w:w="144" w:type="dxa"/>
          <w:trHeight w:val="540" w:hRule="atLeast"/>
          <w:jc w:val="center"/>
        </w:trPr>
        <w:tc>
          <w:tcPr>
            <w:tcW w:w="9929" w:type="dxa"/>
            <w:gridSpan w:val="12"/>
            <w:tcBorders>
              <w:top w:val="nil"/>
              <w:left w:val="nil"/>
              <w:bottom w:val="nil"/>
              <w:right w:val="nil"/>
            </w:tcBorders>
            <w:shd w:val="clear" w:color="auto" w:fill="FFFFFF"/>
            <w:vAlign w:val="center"/>
          </w:tcPr>
          <w:p>
            <w:pPr>
              <w:rPr>
                <w:rFonts w:asciiTheme="minorEastAsia" w:hAnsiTheme="minorEastAsia"/>
                <w:szCs w:val="21"/>
              </w:rPr>
            </w:pPr>
            <w:r>
              <w:rPr>
                <w:rFonts w:asciiTheme="minorEastAsia" w:hAnsiTheme="minorEastAsia"/>
                <w:szCs w:val="21"/>
              </w:rPr>
              <w:br w:type="page"/>
            </w:r>
          </w:p>
          <w:tbl>
            <w:tblPr>
              <w:tblStyle w:val="16"/>
              <w:tblW w:w="9384" w:type="dxa"/>
              <w:tblInd w:w="0" w:type="dxa"/>
              <w:tblLayout w:type="fixed"/>
              <w:tblCellMar>
                <w:top w:w="0" w:type="dxa"/>
                <w:left w:w="0" w:type="dxa"/>
                <w:bottom w:w="0" w:type="dxa"/>
                <w:right w:w="0" w:type="dxa"/>
              </w:tblCellMar>
            </w:tblPr>
            <w:tblGrid>
              <w:gridCol w:w="555"/>
              <w:gridCol w:w="437"/>
              <w:gridCol w:w="992"/>
              <w:gridCol w:w="815"/>
              <w:gridCol w:w="934"/>
              <w:gridCol w:w="934"/>
              <w:gridCol w:w="934"/>
              <w:gridCol w:w="807"/>
              <w:gridCol w:w="992"/>
              <w:gridCol w:w="992"/>
              <w:gridCol w:w="992"/>
            </w:tblGrid>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第三中标候选人</w:t>
                  </w:r>
                </w:p>
              </w:tc>
              <w:tc>
                <w:tcPr>
                  <w:tcW w:w="6585"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中铁第六勘察设计院集团有限公司</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评审委员会成员评审内容</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1</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3</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w:t>
                  </w:r>
                  <w:r>
                    <w:rPr>
                      <w:rFonts w:cs="宋体" w:asciiTheme="minorEastAsia" w:hAnsiTheme="minorEastAsia"/>
                      <w:szCs w:val="21"/>
                    </w:rPr>
                    <w:t>4</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评委7</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技术标30分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1、全线控制测量检测方案</w:t>
                  </w:r>
                  <w:r>
                    <w:rPr>
                      <w:rFonts w:hint="eastAsia" w:hAnsi="宋体" w:eastAsia="宋体" w:cs="宋体"/>
                      <w:szCs w:val="21"/>
                    </w:rPr>
                    <w:t>6</w:t>
                  </w:r>
                  <w:r>
                    <w:rPr>
                      <w:rFonts w:hint="eastAsia" w:hAnsi="宋体" w:cs="宋体"/>
                      <w:szCs w:val="21"/>
                    </w:rPr>
                    <w:t>-</w:t>
                  </w:r>
                  <w:r>
                    <w:rPr>
                      <w:rFonts w:hint="eastAsia" w:hAnsi="宋体" w:eastAsia="宋体" w:cs="宋体"/>
                      <w:szCs w:val="21"/>
                    </w:rPr>
                    <w:t>10分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9.5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8.5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2、质量保证措施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3、安全保证措施</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4、控制测量检测作业</w:t>
                  </w:r>
                  <w:r>
                    <w:rPr>
                      <w:rFonts w:hint="eastAsia" w:hAnsi="宋体" w:eastAsia="宋体" w:cs="宋体"/>
                      <w:szCs w:val="21"/>
                    </w:rPr>
                    <w:t>1.5</w:t>
                  </w:r>
                  <w:r>
                    <w:rPr>
                      <w:rFonts w:hint="eastAsia" w:hAnsi="宋体" w:cs="宋体"/>
                      <w:szCs w:val="21"/>
                    </w:rPr>
                    <w:t>-</w:t>
                  </w:r>
                  <w:r>
                    <w:rPr>
                      <w:rFonts w:hint="eastAsia" w:hAnsi="宋体" w:eastAsia="宋体" w:cs="宋体"/>
                      <w:szCs w:val="21"/>
                    </w:rPr>
                    <w:t>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2.2</w:t>
                  </w:r>
                </w:p>
              </w:tc>
            </w:tr>
            <w:tr>
              <w:tblPrEx>
                <w:tblLayout w:type="fixed"/>
                <w:tblCellMar>
                  <w:top w:w="0" w:type="dxa"/>
                  <w:left w:w="0" w:type="dxa"/>
                  <w:bottom w:w="0" w:type="dxa"/>
                  <w:right w:w="0" w:type="dxa"/>
                </w:tblCellMar>
              </w:tblPrEx>
              <w:trPr>
                <w:trHeight w:val="114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5、控制测量检测服务大纲0.5-2分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1.4</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6、成果文件组成1.5-3分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2.1</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7、重点、难点分析0.5-2分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r>
            <w:tr>
              <w:tblPrEx>
                <w:tblLayout w:type="fixed"/>
                <w:tblCellMar>
                  <w:top w:w="0" w:type="dxa"/>
                  <w:left w:w="0" w:type="dxa"/>
                  <w:bottom w:w="0" w:type="dxa"/>
                  <w:right w:w="0" w:type="dxa"/>
                </w:tblCellMar>
              </w:tblPrEx>
              <w:trPr>
                <w:trHeight w:val="471"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8、合理化建议0.5-1分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0.7</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0.4</w:t>
                  </w:r>
                </w:p>
              </w:tc>
            </w:tr>
            <w:tr>
              <w:tblPrEx>
                <w:tblLayout w:type="fixed"/>
                <w:tblCellMar>
                  <w:top w:w="0" w:type="dxa"/>
                  <w:left w:w="0" w:type="dxa"/>
                  <w:bottom w:w="0" w:type="dxa"/>
                  <w:right w:w="0" w:type="dxa"/>
                </w:tblCellMar>
              </w:tblPrEx>
              <w:trPr>
                <w:trHeight w:val="1117"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textAlignment w:val="baseline"/>
                    <w:rPr>
                      <w:rFonts w:asciiTheme="minorEastAsia" w:hAnsiTheme="minorEastAsia"/>
                      <w:szCs w:val="21"/>
                    </w:rPr>
                  </w:pPr>
                  <w:r>
                    <w:rPr>
                      <w:rFonts w:hint="eastAsia" w:cs="宋体" w:asciiTheme="minorEastAsia" w:hAnsiTheme="minorEastAsia"/>
                      <w:szCs w:val="21"/>
                    </w:rPr>
                    <w:t>9、拟配备本项目的试验和测量仪器设备1.5-3分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2.8</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2.7</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2.4</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2.6</w:t>
                  </w:r>
                </w:p>
              </w:tc>
            </w:tr>
            <w:tr>
              <w:tblPrEx>
                <w:tblLayout w:type="fixed"/>
                <w:tblCellMar>
                  <w:top w:w="0" w:type="dxa"/>
                  <w:left w:w="0" w:type="dxa"/>
                  <w:bottom w:w="0" w:type="dxa"/>
                  <w:right w:w="0" w:type="dxa"/>
                </w:tblCellMar>
              </w:tblPrEx>
              <w:trPr>
                <w:trHeight w:val="1117"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cs="宋体" w:asciiTheme="minorEastAsia" w:hAnsiTheme="minorEastAsia"/>
                      <w:b/>
                      <w:szCs w:val="21"/>
                    </w:rPr>
                  </w:pPr>
                  <w:r>
                    <w:rPr>
                      <w:rFonts w:hint="eastAsia" w:cs="宋体" w:asciiTheme="minorEastAsia" w:hAnsiTheme="minorEastAsia"/>
                      <w:b/>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25.4</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25.9</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25.8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24.8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23.5</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技术标平均得分</w:t>
                  </w:r>
                </w:p>
              </w:tc>
              <w:tc>
                <w:tcPr>
                  <w:tcW w:w="6585"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25.21</w:t>
                  </w:r>
                </w:p>
              </w:tc>
            </w:tr>
            <w:tr>
              <w:tblPrEx>
                <w:tblLayout w:type="fixed"/>
                <w:tblCellMar>
                  <w:top w:w="0" w:type="dxa"/>
                  <w:left w:w="0" w:type="dxa"/>
                  <w:bottom w:w="0" w:type="dxa"/>
                  <w:right w:w="0" w:type="dxa"/>
                </w:tblCellMar>
              </w:tblPrEx>
              <w:trPr>
                <w:trHeight w:val="760"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综合（含商务、报价）标70分</w:t>
                  </w: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cs="宋体" w:asciiTheme="minorEastAsia" w:hAnsiTheme="minorEastAsia"/>
                      <w:szCs w:val="21"/>
                    </w:rPr>
                  </w:pPr>
                </w:p>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6</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项目负责人业绩0-6分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技术负责人业绩0-6分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0</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测量工程师2-6分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助理工程师0-6分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资料录入及数据管理员0-4分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3</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asciiTheme="minorEastAsia" w:hAnsiTheme="minorEastAsia"/>
                      <w:szCs w:val="21"/>
                    </w:rPr>
                  </w:pPr>
                  <w:r>
                    <w:rPr>
                      <w:rFonts w:hint="eastAsia" w:cs="宋体" w:asciiTheme="minorEastAsia" w:hAnsiTheme="minorEastAsia"/>
                      <w:szCs w:val="21"/>
                    </w:rPr>
                    <w:t>计量认证证书0-2分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投标文件格式及签字盖章0或2分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r>
            <w:tr>
              <w:tblPrEx>
                <w:tblLayout w:type="fixed"/>
                <w:tblCellMar>
                  <w:top w:w="0" w:type="dxa"/>
                  <w:left w:w="0" w:type="dxa"/>
                  <w:bottom w:w="0" w:type="dxa"/>
                  <w:right w:w="0" w:type="dxa"/>
                </w:tblCellMar>
              </w:tblPrEx>
              <w:trPr>
                <w:trHeight w:val="7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400" w:lineRule="exact"/>
                    <w:jc w:val="center"/>
                    <w:textAlignment w:val="baseline"/>
                    <w:rPr>
                      <w:rFonts w:asciiTheme="minorEastAsia" w:hAnsiTheme="minorEastAsia"/>
                      <w:szCs w:val="21"/>
                    </w:rPr>
                  </w:pPr>
                  <w:r>
                    <w:rPr>
                      <w:rFonts w:hint="eastAsia" w:cs="宋体" w:asciiTheme="minorEastAsia" w:hAnsiTheme="minorEastAsia"/>
                      <w:szCs w:val="21"/>
                    </w:rPr>
                    <w:t>投标文件的编制及形式0-2分</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1.7</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1.6</w:t>
                  </w:r>
                </w:p>
              </w:tc>
            </w:tr>
            <w:tr>
              <w:tblPrEx>
                <w:tblLayout w:type="fixed"/>
                <w:tblCellMar>
                  <w:top w:w="0" w:type="dxa"/>
                  <w:left w:w="0" w:type="dxa"/>
                  <w:bottom w:w="0" w:type="dxa"/>
                  <w:right w:w="0" w:type="dxa"/>
                </w:tblCellMar>
              </w:tblPrEx>
              <w:trPr>
                <w:trHeight w:val="2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p>
              </w:tc>
              <w:tc>
                <w:tcPr>
                  <w:tcW w:w="2244"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line="400" w:lineRule="exact"/>
                    <w:textAlignment w:val="baseline"/>
                    <w:rPr>
                      <w:rFonts w:asciiTheme="minorEastAsia" w:hAnsiTheme="minorEastAsia"/>
                      <w:szCs w:val="21"/>
                    </w:rPr>
                  </w:pPr>
                  <w:r>
                    <w:rPr>
                      <w:rFonts w:hint="eastAsia" w:asciiTheme="minorEastAsia" w:hAnsiTheme="minorEastAsia"/>
                      <w:szCs w:val="21"/>
                    </w:rPr>
                    <w:t>报价得分：（1）当有效投标人数量≥5家时：评标基准价=去掉一个有效投标人最高投标报价、去掉一个有效投标人最低投标报价后的算术平均值。</w:t>
                  </w:r>
                </w:p>
                <w:p>
                  <w:pPr>
                    <w:spacing w:line="400" w:lineRule="exact"/>
                    <w:textAlignment w:val="baseline"/>
                    <w:rPr>
                      <w:rFonts w:asciiTheme="minorEastAsia" w:hAnsiTheme="minorEastAsia"/>
                      <w:szCs w:val="21"/>
                    </w:rPr>
                  </w:pPr>
                  <w:r>
                    <w:rPr>
                      <w:rFonts w:hint="eastAsia" w:asciiTheme="minorEastAsia" w:hAnsiTheme="minorEastAsia"/>
                      <w:szCs w:val="21"/>
                    </w:rPr>
                    <w:t>（2）当有效投标人数量＜5家时：评标基准价=所有有效投标人投标报价的算术平均值。</w:t>
                  </w:r>
                </w:p>
                <w:p>
                  <w:pPr>
                    <w:pStyle w:val="6"/>
                    <w:ind w:firstLine="210"/>
                    <w:rPr>
                      <w:rFonts w:asciiTheme="minorEastAsia" w:hAnsiTheme="minorEastAsia" w:eastAsiaTheme="minorEastAsia"/>
                      <w:sz w:val="21"/>
                      <w:szCs w:val="21"/>
                    </w:rPr>
                  </w:pPr>
                  <w:r>
                    <w:rPr>
                      <w:rFonts w:hint="eastAsia" w:asciiTheme="minorEastAsia" w:hAnsiTheme="minorEastAsia" w:eastAsiaTheme="minorEastAsia"/>
                      <w:sz w:val="21"/>
                      <w:szCs w:val="21"/>
                    </w:rPr>
                    <w:t>注：有效投标人：是指通过形式评审、资格评审、响应性评审的投标人。</w:t>
                  </w:r>
                </w:p>
                <w:p>
                  <w:pPr>
                    <w:pStyle w:val="6"/>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偏差率</w:t>
                  </w:r>
                  <w:r>
                    <w:rPr>
                      <w:rFonts w:hint="eastAsia" w:asciiTheme="minorEastAsia" w:hAnsiTheme="minorEastAsia" w:eastAsiaTheme="minorEastAsia"/>
                      <w:sz w:val="21"/>
                      <w:szCs w:val="21"/>
                    </w:rPr>
                    <w:t>δ</w:t>
                  </w:r>
                  <w:r>
                    <w:rPr>
                      <w:rFonts w:asciiTheme="minorEastAsia" w:hAnsiTheme="minorEastAsia" w:eastAsiaTheme="minorEastAsia"/>
                      <w:sz w:val="21"/>
                      <w:szCs w:val="21"/>
                    </w:rPr>
                    <w:t>=100%×（有效投标人投标报价-评标基准价）/评标基准价。</w:t>
                  </w:r>
                </w:p>
                <w:p>
                  <w:pPr>
                    <w:spacing w:line="400" w:lineRule="exact"/>
                    <w:textAlignment w:val="baseline"/>
                    <w:rPr>
                      <w:rFonts w:asciiTheme="minorEastAsia" w:hAnsiTheme="minorEastAsia"/>
                      <w:szCs w:val="21"/>
                    </w:rPr>
                  </w:pPr>
                  <w:r>
                    <w:rPr>
                      <w:rFonts w:hint="eastAsia" w:asciiTheme="minorEastAsia" w:hAnsiTheme="minorEastAsia"/>
                      <w:szCs w:val="21"/>
                    </w:rPr>
                    <w:t>当-3%≤偏差率δ≤0时，价格得分为满分30分。</w:t>
                  </w:r>
                </w:p>
                <w:p>
                  <w:pPr>
                    <w:spacing w:line="400" w:lineRule="exact"/>
                    <w:textAlignment w:val="baseline"/>
                    <w:rPr>
                      <w:rFonts w:asciiTheme="minorEastAsia" w:hAnsiTheme="minorEastAsia"/>
                      <w:szCs w:val="21"/>
                    </w:rPr>
                  </w:pPr>
                  <w:r>
                    <w:rPr>
                      <w:rFonts w:hint="eastAsia" w:asciiTheme="minorEastAsia" w:hAnsiTheme="minorEastAsia"/>
                      <w:szCs w:val="21"/>
                    </w:rPr>
                    <w:t>当偏差率δ&gt;0时，按照下述公式打分：m＝30-1×100×δ</w:t>
                  </w:r>
                </w:p>
                <w:p>
                  <w:pPr>
                    <w:pStyle w:val="6"/>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当偏差率δ&lt;-3%时，按照下述公式打分：m＝30+100×0.5×（3%+δ）</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szCs w:val="21"/>
                    </w:rPr>
                    <w:t>30</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小计</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c>
                <w:tcPr>
                  <w:tcW w:w="9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54.7</w:t>
                  </w:r>
                </w:p>
              </w:tc>
              <w:tc>
                <w:tcPr>
                  <w:tcW w:w="8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54.3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54</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cs="宋体" w:asciiTheme="minorEastAsia" w:hAnsiTheme="minorEastAsia"/>
                      <w:szCs w:val="21"/>
                    </w:rPr>
                    <w:t>54.6</w:t>
                  </w:r>
                </w:p>
              </w:tc>
            </w:tr>
            <w:tr>
              <w:tblPrEx>
                <w:tblLayout w:type="fixed"/>
                <w:tblCellMar>
                  <w:top w:w="0" w:type="dxa"/>
                  <w:left w:w="0" w:type="dxa"/>
                  <w:bottom w:w="0" w:type="dxa"/>
                  <w:right w:w="0" w:type="dxa"/>
                </w:tblCellMar>
              </w:tblPrEx>
              <w:trPr>
                <w:trHeight w:val="76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综合（含商务、报价）标平均得分</w:t>
                  </w:r>
                </w:p>
              </w:tc>
              <w:tc>
                <w:tcPr>
                  <w:tcW w:w="6585"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54.66</w:t>
                  </w:r>
                </w:p>
              </w:tc>
            </w:tr>
            <w:tr>
              <w:tblPrEx>
                <w:tblLayout w:type="fixed"/>
                <w:tblCellMar>
                  <w:top w:w="0" w:type="dxa"/>
                  <w:left w:w="0" w:type="dxa"/>
                  <w:bottom w:w="0" w:type="dxa"/>
                  <w:right w:w="0" w:type="dxa"/>
                </w:tblCellMar>
              </w:tblPrEx>
              <w:trPr>
                <w:trHeight w:val="540" w:hRule="atLeast"/>
              </w:trPr>
              <w:tc>
                <w:tcPr>
                  <w:tcW w:w="279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szCs w:val="21"/>
                    </w:rPr>
                  </w:pPr>
                  <w:r>
                    <w:rPr>
                      <w:rFonts w:hint="eastAsia" w:cs="宋体" w:asciiTheme="minorEastAsia" w:hAnsiTheme="minorEastAsia"/>
                      <w:b/>
                      <w:bCs/>
                      <w:szCs w:val="21"/>
                    </w:rPr>
                    <w:t>最终得分</w:t>
                  </w:r>
                </w:p>
              </w:tc>
              <w:tc>
                <w:tcPr>
                  <w:tcW w:w="6585"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szCs w:val="21"/>
                    </w:rPr>
                  </w:pPr>
                  <w:r>
                    <w:rPr>
                      <w:rFonts w:hint="eastAsia" w:cs="宋体" w:asciiTheme="minorEastAsia" w:hAnsiTheme="minorEastAsia"/>
                      <w:szCs w:val="21"/>
                    </w:rPr>
                    <w:t>79.87</w:t>
                  </w:r>
                </w:p>
              </w:tc>
            </w:tr>
            <w:tr>
              <w:tblPrEx>
                <w:tblLayout w:type="fixed"/>
                <w:tblCellMar>
                  <w:top w:w="0" w:type="dxa"/>
                  <w:left w:w="0" w:type="dxa"/>
                  <w:bottom w:w="0" w:type="dxa"/>
                  <w:right w:w="0" w:type="dxa"/>
                </w:tblCellMar>
              </w:tblPrEx>
              <w:trPr>
                <w:trHeight w:val="540" w:hRule="atLeast"/>
              </w:trPr>
              <w:tc>
                <w:tcPr>
                  <w:tcW w:w="992" w:type="dxa"/>
                  <w:gridSpan w:val="2"/>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tcPr>
                <w:p>
                  <w:pPr>
                    <w:rPr>
                      <w:rFonts w:cs="宋体" w:asciiTheme="minorEastAsia" w:hAnsiTheme="minorEastAsia"/>
                      <w:b/>
                      <w:bCs/>
                      <w:szCs w:val="21"/>
                    </w:rPr>
                  </w:pPr>
                </w:p>
              </w:tc>
              <w:tc>
                <w:tcPr>
                  <w:tcW w:w="7400"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szCs w:val="21"/>
                    </w:rPr>
                  </w:pPr>
                  <w:r>
                    <w:rPr>
                      <w:rFonts w:hint="eastAsia" w:cs="宋体" w:asciiTheme="minorEastAsia" w:hAnsiTheme="minorEastAsia"/>
                      <w:b/>
                      <w:bCs/>
                      <w:szCs w:val="21"/>
                    </w:rPr>
                    <w:t>备注：</w:t>
                  </w:r>
                  <w:r>
                    <w:rPr>
                      <w:rFonts w:hint="eastAsia" w:cs="宋体" w:asciiTheme="minorEastAsia" w:hAnsiTheme="minorEastAsia"/>
                      <w:szCs w:val="21"/>
                    </w:rPr>
                    <w:t>评标委员会完成技术标评分、</w:t>
                  </w:r>
                  <w:r>
                    <w:rPr>
                      <w:rFonts w:hint="eastAsia" w:cs="宋体" w:asciiTheme="minorEastAsia" w:hAnsiTheme="minorEastAsia"/>
                      <w:bCs/>
                      <w:szCs w:val="21"/>
                    </w:rPr>
                    <w:t>综合（含商务、报价）标</w:t>
                  </w:r>
                  <w:r>
                    <w:rPr>
                      <w:rFonts w:hint="eastAsia" w:cs="宋体" w:asciiTheme="minorEastAsia" w:hAnsiTheme="minorEastAsia"/>
                      <w:szCs w:val="21"/>
                    </w:rPr>
                    <w:t>评分后；投标人最终得分</w:t>
                  </w:r>
                  <w:r>
                    <w:rPr>
                      <w:rFonts w:cs="宋体" w:asciiTheme="minorEastAsia" w:hAnsiTheme="minorEastAsia"/>
                      <w:szCs w:val="21"/>
                    </w:rPr>
                    <w:t>=</w:t>
                  </w:r>
                  <w:r>
                    <w:rPr>
                      <w:rFonts w:hint="eastAsia" w:cs="宋体" w:asciiTheme="minorEastAsia" w:hAnsiTheme="minorEastAsia"/>
                      <w:szCs w:val="21"/>
                    </w:rPr>
                    <w:t>技术标平均得分＋综合（含报价）标平均得分。计算分值均四舍五入保留两位小数。</w:t>
                  </w:r>
                </w:p>
              </w:tc>
            </w:tr>
          </w:tbl>
          <w:p>
            <w:pPr>
              <w:rPr>
                <w:rFonts w:asciiTheme="minorEastAsia" w:hAnsiTheme="minorEastAsia"/>
                <w:szCs w:val="21"/>
              </w:rPr>
            </w:pPr>
          </w:p>
          <w:p>
            <w:pPr>
              <w:rPr>
                <w:rFonts w:cs="宋体" w:asciiTheme="minorEastAsia" w:hAnsiTheme="minorEastAsia"/>
                <w:szCs w:val="21"/>
              </w:rPr>
            </w:pPr>
          </w:p>
        </w:tc>
      </w:tr>
      <w:tr>
        <w:tblPrEx>
          <w:tblLayout w:type="fixed"/>
          <w:tblCellMar>
            <w:top w:w="0" w:type="dxa"/>
            <w:left w:w="0" w:type="dxa"/>
            <w:bottom w:w="0" w:type="dxa"/>
            <w:right w:w="0" w:type="dxa"/>
          </w:tblCellMar>
        </w:tblPrEx>
        <w:trPr>
          <w:gridBefore w:val="3"/>
          <w:gridAfter w:val="2"/>
          <w:wBefore w:w="709" w:type="dxa"/>
          <w:wAfter w:w="326" w:type="dxa"/>
          <w:trHeight w:val="540" w:hRule="atLeast"/>
          <w:jc w:val="center"/>
        </w:trPr>
        <w:tc>
          <w:tcPr>
            <w:tcW w:w="9529" w:type="dxa"/>
            <w:gridSpan w:val="9"/>
            <w:tcBorders>
              <w:top w:val="nil"/>
              <w:left w:val="nil"/>
              <w:bottom w:val="nil"/>
              <w:right w:val="nil"/>
            </w:tcBorders>
            <w:shd w:val="clear" w:color="auto" w:fill="FFFFFF"/>
            <w:vAlign w:val="center"/>
          </w:tcPr>
          <w:p>
            <w:pPr>
              <w:rPr>
                <w:rFonts w:cs="宋体" w:asciiTheme="minorEastAsia" w:hAnsiTheme="minorEastAsia"/>
                <w:b/>
                <w:bCs/>
                <w:szCs w:val="21"/>
              </w:rPr>
            </w:pPr>
            <w:r>
              <w:rPr>
                <w:rFonts w:hint="eastAsia" w:cs="宋体" w:asciiTheme="minorEastAsia" w:hAnsiTheme="minorEastAsia"/>
                <w:b/>
                <w:bCs/>
                <w:szCs w:val="21"/>
              </w:rPr>
              <w:t>七、推荐的中标候选人名单与签订合同前要处理的事宜</w:t>
            </w:r>
          </w:p>
          <w:p>
            <w:pPr>
              <w:rPr>
                <w:rFonts w:cs="宋体" w:asciiTheme="minorEastAsia" w:hAnsiTheme="minorEastAsia"/>
                <w:szCs w:val="21"/>
              </w:rPr>
            </w:pPr>
            <w:r>
              <w:rPr>
                <w:rFonts w:hint="eastAsia" w:cs="宋体" w:asciiTheme="minorEastAsia" w:hAnsiTheme="minorEastAsia"/>
                <w:b/>
                <w:bCs/>
                <w:szCs w:val="21"/>
              </w:rPr>
              <w:t>（一）推荐的中标候选人名单</w:t>
            </w:r>
          </w:p>
        </w:tc>
      </w:tr>
    </w:tbl>
    <w:p>
      <w:pPr>
        <w:jc w:val="left"/>
        <w:rPr>
          <w:rFonts w:asciiTheme="minorEastAsia" w:hAnsiTheme="minorEastAsia"/>
          <w:b/>
          <w:bCs/>
          <w:szCs w:val="21"/>
        </w:rPr>
      </w:pPr>
      <w:r>
        <w:rPr>
          <w:rFonts w:hint="eastAsia" w:asciiTheme="minorEastAsia" w:hAnsiTheme="minorEastAsia"/>
          <w:b/>
          <w:bCs/>
          <w:szCs w:val="21"/>
        </w:rPr>
        <w:t>一标段：</w:t>
      </w:r>
    </w:p>
    <w:tbl>
      <w:tblPr>
        <w:tblStyle w:val="16"/>
        <w:tblW w:w="9529" w:type="dxa"/>
        <w:jc w:val="center"/>
        <w:tblInd w:w="0" w:type="dxa"/>
        <w:tblLayout w:type="fixed"/>
        <w:tblCellMar>
          <w:top w:w="0" w:type="dxa"/>
          <w:left w:w="0" w:type="dxa"/>
          <w:bottom w:w="0" w:type="dxa"/>
          <w:right w:w="0" w:type="dxa"/>
        </w:tblCellMar>
      </w:tblPr>
      <w:tblGrid>
        <w:gridCol w:w="9529"/>
      </w:tblGrid>
      <w:tr>
        <w:tblPrEx>
          <w:tblLayout w:type="fixed"/>
          <w:tblCellMar>
            <w:top w:w="0" w:type="dxa"/>
            <w:left w:w="0" w:type="dxa"/>
            <w:bottom w:w="0" w:type="dxa"/>
            <w:right w:w="0" w:type="dxa"/>
          </w:tblCellMar>
        </w:tblPrEx>
        <w:trPr>
          <w:trHeight w:val="540" w:hRule="atLeast"/>
          <w:jc w:val="center"/>
        </w:trPr>
        <w:tc>
          <w:tcPr>
            <w:tcW w:w="9529" w:type="dxa"/>
            <w:shd w:val="clear" w:color="auto" w:fill="FFFFFF"/>
            <w:vAlign w:val="center"/>
          </w:tcPr>
          <w:p>
            <w:pPr>
              <w:spacing w:line="360" w:lineRule="auto"/>
              <w:ind w:left="611" w:leftChars="291"/>
              <w:outlineLvl w:val="0"/>
              <w:rPr>
                <w:rFonts w:cs="宋体" w:asciiTheme="minorEastAsia" w:hAnsiTheme="minorEastAsia"/>
                <w:b/>
                <w:szCs w:val="21"/>
                <w:shd w:val="clear" w:color="auto" w:fill="FFFFFF"/>
              </w:rPr>
            </w:pPr>
            <w:r>
              <w:rPr>
                <w:rFonts w:hint="eastAsia" w:cs="宋体" w:asciiTheme="minorEastAsia" w:hAnsiTheme="minorEastAsia"/>
                <w:b/>
                <w:szCs w:val="21"/>
                <w:shd w:val="clear" w:color="auto" w:fill="FFFFFF"/>
              </w:rPr>
              <w:t>资质要求：</w:t>
            </w:r>
          </w:p>
          <w:p>
            <w:pPr>
              <w:spacing w:line="360" w:lineRule="auto"/>
              <w:ind w:left="611" w:leftChars="291"/>
              <w:outlineLvl w:val="0"/>
              <w:rPr>
                <w:rFonts w:cs="宋体" w:asciiTheme="minorEastAsia" w:hAnsiTheme="minorEastAsia"/>
                <w:szCs w:val="21"/>
              </w:rPr>
            </w:pPr>
            <w:r>
              <w:rPr>
                <w:rFonts w:hint="eastAsia" w:cs="宋体" w:asciiTheme="minorEastAsia" w:hAnsiTheme="minorEastAsia"/>
                <w:szCs w:val="21"/>
              </w:rPr>
              <w:t>1）投标人须是在中华人民共和国境内注册的企业法人，持有有效的企业法人营业执照。</w:t>
            </w:r>
          </w:p>
          <w:p>
            <w:pPr>
              <w:spacing w:line="360" w:lineRule="auto"/>
              <w:ind w:left="611" w:leftChars="291"/>
              <w:outlineLvl w:val="0"/>
              <w:rPr>
                <w:rFonts w:cs="宋体" w:asciiTheme="minorEastAsia" w:hAnsiTheme="minorEastAsia"/>
                <w:szCs w:val="21"/>
              </w:rPr>
            </w:pPr>
            <w:r>
              <w:rPr>
                <w:rFonts w:hint="eastAsia" w:cs="宋体" w:asciiTheme="minorEastAsia" w:hAnsiTheme="minorEastAsia"/>
                <w:szCs w:val="21"/>
              </w:rPr>
              <w:t>2) 资质条件：投标人须同时具备以下证书，且证书合格有效：①住房和城乡建设部核发的工程勘察综合甲级资质证书②省级以上质量技术监督局颁发的计量认证证书（CMA），计量认证范围包含地下铁道监测或隧道监测或施工监测或工程量测。</w:t>
            </w:r>
          </w:p>
          <w:p>
            <w:pPr>
              <w:spacing w:line="360" w:lineRule="auto"/>
              <w:ind w:left="611" w:leftChars="291"/>
              <w:outlineLvl w:val="0"/>
              <w:rPr>
                <w:rFonts w:cs="宋体" w:asciiTheme="minorEastAsia" w:hAnsiTheme="minorEastAsia"/>
                <w:szCs w:val="21"/>
              </w:rPr>
            </w:pPr>
            <w:r>
              <w:rPr>
                <w:rFonts w:hint="eastAsia" w:cs="宋体" w:asciiTheme="minorEastAsia" w:hAnsiTheme="minorEastAsia"/>
                <w:szCs w:val="21"/>
              </w:rPr>
              <w:t>3)投标人须至少具有一项类似项目业绩，并在人员、设备、资金等方面具有相应的服务能力；本标段类似项目业绩限于完工日期在2013年01月01日至投标截止时间内，单项名确合同金额不少于800万元人民币的铁路工程或城市轨道交通工程第三方监测项目业绩</w:t>
            </w:r>
          </w:p>
          <w:p>
            <w:pPr>
              <w:spacing w:line="360" w:lineRule="auto"/>
              <w:ind w:left="611" w:leftChars="291"/>
              <w:outlineLvl w:val="0"/>
              <w:rPr>
                <w:rFonts w:cs="宋体" w:asciiTheme="minorEastAsia" w:hAnsiTheme="minorEastAsia"/>
                <w:szCs w:val="21"/>
              </w:rPr>
            </w:pPr>
            <w:r>
              <w:rPr>
                <w:rFonts w:hint="eastAsia" w:cs="宋体" w:asciiTheme="minorEastAsia" w:hAnsiTheme="minorEastAsia"/>
                <w:szCs w:val="21"/>
              </w:rPr>
              <w:t>4)投标人拟派项目负责人须具备测绘或地质或岩土或土木工程或交通专业工程系列工程师（含）以上职称，至少承担过一项类似项目的项目负责人，为投标人在职正式员工，与投标人单位签订了劳动合同；自投标文件递交截止时间之前的12个月内，投标人已为其缴纳连续6个月及以上的养老保险；且不得担任其他在建项目的项目负责人</w:t>
            </w:r>
          </w:p>
        </w:tc>
      </w:tr>
    </w:tbl>
    <w:p>
      <w:pPr>
        <w:rPr>
          <w:rFonts w:asciiTheme="minorEastAsia" w:hAnsiTheme="minorEastAsia"/>
          <w:b/>
          <w:bCs/>
          <w:szCs w:val="21"/>
        </w:rPr>
      </w:pPr>
    </w:p>
    <w:p>
      <w:pPr>
        <w:snapToGrid w:val="0"/>
        <w:spacing w:line="360" w:lineRule="auto"/>
        <w:rPr>
          <w:rFonts w:asciiTheme="minorEastAsia" w:hAnsiTheme="minorEastAsia"/>
          <w:szCs w:val="21"/>
        </w:rPr>
      </w:pPr>
      <w:r>
        <w:rPr>
          <w:rFonts w:hint="eastAsia" w:cs="宋体" w:asciiTheme="minorEastAsia" w:hAnsiTheme="minorEastAsia"/>
          <w:b/>
          <w:szCs w:val="21"/>
        </w:rPr>
        <w:t>第一中标候选人</w:t>
      </w:r>
      <w:r>
        <w:rPr>
          <w:rFonts w:hint="eastAsia" w:cs="宋体" w:asciiTheme="minorEastAsia" w:hAnsiTheme="minorEastAsia"/>
          <w:b/>
          <w:bCs/>
          <w:szCs w:val="21"/>
        </w:rPr>
        <w:t>：</w:t>
      </w:r>
      <w:r>
        <w:rPr>
          <w:rFonts w:hint="eastAsia" w:asciiTheme="minorEastAsia" w:hAnsiTheme="minorEastAsia"/>
          <w:szCs w:val="21"/>
        </w:rPr>
        <w:t>中铁第六勘察设计院集团有限公司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资质符合（1）住房和城乡建设部核发的工程勘察综合甲级资质证书；（2）省级以上质量技术监督局颁发的计量认证证书（CMA），计量认证范围包含地下铁道监测或隧道监测或施工监测或工程量测要求。</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投标报价：7096285.00元</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大写：柒佰零玖万陆仟贰佰捌拾伍元整</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工期</w:t>
      </w:r>
      <w:r>
        <w:rPr>
          <w:rFonts w:cs="宋体" w:asciiTheme="minorEastAsia" w:hAnsiTheme="minorEastAsia"/>
          <w:szCs w:val="21"/>
        </w:rPr>
        <w:t>:</w:t>
      </w:r>
      <w:r>
        <w:rPr>
          <w:rFonts w:hint="eastAsia" w:cs="宋体" w:asciiTheme="minorEastAsia" w:hAnsiTheme="minorEastAsia"/>
          <w:szCs w:val="21"/>
        </w:rPr>
        <w:t>各监测项目应在施工开始前取得初始值，提供周边环境初始状况报告，施工开始后按要求的频率进行监测，当工程施工结束后，施工影响安全的因素消除，监测对象变形趋于稳定后，第三方监测单位可向招标人提交停测申请，经批准后方可停止相应的监测工作。</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质量标准：第三方监测及其成果应符合国家、河南省、许昌市现行规范的相关规定和合同约定，并能满足工程需要。</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项目负责人：李明</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证书编号：3422090037</w:t>
      </w:r>
    </w:p>
    <w:p>
      <w:pPr>
        <w:snapToGrid w:val="0"/>
        <w:spacing w:line="360" w:lineRule="auto"/>
        <w:rPr>
          <w:rFonts w:cs="宋体" w:asciiTheme="minorEastAsia" w:hAnsiTheme="minorEastAsia"/>
          <w:szCs w:val="21"/>
        </w:rPr>
      </w:pPr>
      <w:r>
        <w:rPr>
          <w:rFonts w:hint="eastAsia" w:cs="宋体" w:asciiTheme="minorEastAsia" w:hAnsiTheme="minorEastAsia"/>
          <w:szCs w:val="21"/>
        </w:rPr>
        <w:t xml:space="preserve">    投标文件中填报的单位项目业绩名称：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1.工程名称：苏州市轨道交通4号线及支线工程第三方测量检测与监测项目(IV-CJ02标)</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工程地点：苏州市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开竣工日期：2012年12月至2017年4月 </w:t>
      </w:r>
    </w:p>
    <w:p>
      <w:pPr>
        <w:snapToGrid w:val="0"/>
        <w:spacing w:line="360" w:lineRule="auto"/>
        <w:rPr>
          <w:rFonts w:asciiTheme="minorEastAsia" w:hAnsiTheme="minorEastAsia"/>
          <w:szCs w:val="21"/>
        </w:rPr>
      </w:pPr>
      <w:r>
        <w:rPr>
          <w:rFonts w:hint="eastAsia" w:asciiTheme="minorEastAsia" w:hAnsiTheme="minorEastAsia"/>
          <w:szCs w:val="21"/>
        </w:rPr>
        <w:t xml:space="preserve">    2.工程名称：苏州市轨道交通二号线控制测量及施工测量工程项目(测量与监测中心)</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工程地点：苏州市 </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开竣工日期：2010年1月至2013年12月</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3.工程名称：南京地铁十号线工程第三方监测D10-TE02-01标</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工程地点：南京市 </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开竣工日期：2010年11月至2014年7月</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4.工程名称：广州市轨道交通七号线一期工程(广州南站至大学城南站)(土建第三方监测项目)</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工程地点：广州市 </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开竣工日期：2013年8月至2016年12月</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5.工程名称：武汉市轨道交通四号线二期工程全线测量监理及监测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工程地点：武汉市 </w:t>
      </w:r>
    </w:p>
    <w:p>
      <w:pPr>
        <w:pStyle w:val="6"/>
        <w:snapToGrid w:val="0"/>
        <w:spacing w:after="0" w:line="360" w:lineRule="auto"/>
        <w:ind w:firstLine="472" w:firstLineChars="22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开竣工日期：2011年8月至2014年12月</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6.工程名称：哈尔滨市轨道交通一期工程测量检测和第三方监测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工程地点：哈尔滨市 </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开竣工日期：2009年3月至2013年9月 </w:t>
      </w:r>
    </w:p>
    <w:p>
      <w:pPr>
        <w:pStyle w:val="6"/>
        <w:snapToGrid w:val="0"/>
        <w:spacing w:after="0" w:line="360" w:lineRule="auto"/>
        <w:ind w:firstLine="0"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投标文件中填报的项目负责人业绩名称：</w:t>
      </w:r>
    </w:p>
    <w:p>
      <w:pPr>
        <w:pStyle w:val="6"/>
        <w:snapToGrid w:val="0"/>
        <w:spacing w:after="0" w:line="360" w:lineRule="auto"/>
        <w:ind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工程名称：南京地铁十号线工程第三方监测D10-TE02-01标</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工程地点：南京市 </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开竣工日期：2010年11月至2014年7月</w:t>
      </w:r>
    </w:p>
    <w:p>
      <w:pPr>
        <w:snapToGrid w:val="0"/>
        <w:spacing w:line="360" w:lineRule="auto"/>
        <w:rPr>
          <w:rFonts w:asciiTheme="minorEastAsia" w:hAnsiTheme="minorEastAsia"/>
          <w:szCs w:val="21"/>
        </w:rPr>
      </w:pPr>
      <w:r>
        <w:rPr>
          <w:rFonts w:hint="eastAsia" w:cs="宋体" w:asciiTheme="minorEastAsia" w:hAnsiTheme="minorEastAsia"/>
          <w:b/>
          <w:szCs w:val="21"/>
        </w:rPr>
        <w:t>第二中标候选人</w:t>
      </w:r>
      <w:r>
        <w:rPr>
          <w:rFonts w:hint="eastAsia" w:cs="宋体" w:asciiTheme="minorEastAsia" w:hAnsiTheme="minorEastAsia"/>
          <w:b/>
          <w:bCs/>
          <w:szCs w:val="21"/>
        </w:rPr>
        <w:t>：</w:t>
      </w:r>
      <w:r>
        <w:rPr>
          <w:rFonts w:hint="eastAsia" w:asciiTheme="minorEastAsia" w:hAnsiTheme="minorEastAsia"/>
          <w:szCs w:val="21"/>
        </w:rPr>
        <w:t>河北建设勘察研究院有限公司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资质符合（1）住房和城乡建设部核发的工程勘察综合甲级资质证书；（2）省级以上质量技术监督局颁发的计量认证证书（CMA），计量认证范围包含地下铁道监测或隧道监测或施工监测或工程量测要求。</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投标报价：7114855.00元</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大写：柒佰壹拾壹万肆仟捌佰伍拾伍元整</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工期</w:t>
      </w:r>
      <w:r>
        <w:rPr>
          <w:rFonts w:cs="宋体" w:asciiTheme="minorEastAsia" w:hAnsiTheme="minorEastAsia"/>
          <w:szCs w:val="21"/>
        </w:rPr>
        <w:t>:</w:t>
      </w:r>
      <w:r>
        <w:rPr>
          <w:rFonts w:hint="eastAsia" w:cs="宋体" w:asciiTheme="minorEastAsia" w:hAnsiTheme="minorEastAsia"/>
          <w:szCs w:val="21"/>
        </w:rPr>
        <w:t>各监测项目应在施工开始前取得初始值，提供周边环境初始状况报告，施工开始后按要求的频率进行监测，当工程施工结束后，施工影响安全的因素消除，监测对象变形趋于稳定后，第三方监测单位可向招标人提交停测申请，经批准后方可停止相应的监测工作。</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质量标准：第三方监测及其成果应符合国家、河南省、许昌市现行规范的相关规定和合同约定，并能满足工程需要。</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项目负责人：张鹏飞</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证书编号：0202595</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投标文件中填报的单位项目业绩名称：</w:t>
      </w:r>
    </w:p>
    <w:p>
      <w:pPr>
        <w:pStyle w:val="6"/>
        <w:snapToGrid w:val="0"/>
        <w:spacing w:after="0" w:line="360" w:lineRule="auto"/>
        <w:ind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1.工程名称：石家庄城市轨道交通工程1号线一期下穿石太铁路第三方监测项目 </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开竣工日期：2014年6月至2014年12月</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2.石家庄城市轨到交通1号线一期下穿京广铁路第三方监测项目</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开竣工日期：2015年2月至2015年7月</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3.石家庄城市轨到交通1号线一期下穿石德铁路第三方监测项目</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开竣工日期：2015年5月至2015年12月</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4.新建石家庄至济南铁路客运专线引入石家庄枢纽工程第三方安全监测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开竣工日期：2015年9月至2017年9月 </w:t>
      </w:r>
    </w:p>
    <w:p>
      <w:pPr>
        <w:pStyle w:val="6"/>
        <w:snapToGrid w:val="0"/>
        <w:spacing w:after="0" w:line="360" w:lineRule="auto"/>
        <w:ind w:firstLine="0"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投标文件中填报的项目负责人业绩名称：</w:t>
      </w:r>
    </w:p>
    <w:p>
      <w:pPr>
        <w:pStyle w:val="6"/>
        <w:snapToGrid w:val="0"/>
        <w:spacing w:after="0" w:line="360" w:lineRule="auto"/>
        <w:ind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1.工程名称：石家庄城市轨道交通工程1号线一期下穿石太铁路第三方监测项目 </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开竣工日期：2014年6月至2014年12月</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2.石家庄城市轨到交通1号线一期下穿京广铁路第三方监测项目</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开竣工日期：2015年2月至2015年7月</w:t>
      </w:r>
    </w:p>
    <w:p>
      <w:pPr>
        <w:pStyle w:val="6"/>
        <w:snapToGrid w:val="0"/>
        <w:spacing w:after="0" w:line="360" w:lineRule="auto"/>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3.新建石家庄至济南铁路客运专线引入石家庄枢纽工程第三方安全监测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工程地点：石家庄 </w:t>
      </w:r>
    </w:p>
    <w:p>
      <w:pPr>
        <w:pStyle w:val="6"/>
        <w:snapToGrid w:val="0"/>
        <w:spacing w:after="0" w:line="360" w:lineRule="auto"/>
        <w:ind w:firstLine="63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开竣工日期：2015年9月至2017年9月</w:t>
      </w:r>
    </w:p>
    <w:p>
      <w:pPr>
        <w:snapToGrid w:val="0"/>
        <w:spacing w:line="360" w:lineRule="auto"/>
        <w:rPr>
          <w:rFonts w:asciiTheme="minorEastAsia" w:hAnsiTheme="minorEastAsia"/>
          <w:szCs w:val="21"/>
        </w:rPr>
      </w:pPr>
      <w:r>
        <w:rPr>
          <w:rFonts w:hint="eastAsia" w:cs="宋体" w:asciiTheme="minorEastAsia" w:hAnsiTheme="minorEastAsia"/>
          <w:b/>
          <w:szCs w:val="21"/>
        </w:rPr>
        <w:t>第三中标候选人</w:t>
      </w:r>
      <w:r>
        <w:rPr>
          <w:rFonts w:hint="eastAsia" w:cs="宋体" w:asciiTheme="minorEastAsia" w:hAnsiTheme="minorEastAsia"/>
          <w:b/>
          <w:bCs/>
          <w:szCs w:val="21"/>
        </w:rPr>
        <w:t>：</w:t>
      </w:r>
      <w:r>
        <w:rPr>
          <w:rFonts w:hint="eastAsia" w:asciiTheme="minorEastAsia" w:hAnsiTheme="minorEastAsia"/>
          <w:szCs w:val="21"/>
        </w:rPr>
        <w:t>中铁第五勘察设计院集团有限公司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资质符合（1）住房和城乡建设部核发的工程勘察综合甲级资质证书；（2）省级以上质量技术监督局颁发的计量认证证书（CMA），计量认证范围包含地下铁道监测或隧道监测或施工监测或工程量测要求。</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投标报价：7298865.00元</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大写：柒佰贰拾玖万捌仟捌佰陆拾伍元整</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工期</w:t>
      </w:r>
      <w:r>
        <w:rPr>
          <w:rFonts w:cs="宋体" w:asciiTheme="minorEastAsia" w:hAnsiTheme="minorEastAsia"/>
          <w:szCs w:val="21"/>
        </w:rPr>
        <w:t>:</w:t>
      </w:r>
      <w:r>
        <w:rPr>
          <w:rFonts w:hint="eastAsia" w:cs="宋体" w:asciiTheme="minorEastAsia" w:hAnsiTheme="minorEastAsia"/>
          <w:szCs w:val="21"/>
        </w:rPr>
        <w:t>各监测项目应在施工开始前取得初始值，提供周边环境初始状况报告，施工开始后按要求的频率进行监测，当工程施工结束后，施工影响安全的因素消除，监测对象变形趋于稳定后，第三方监测单位可向招标人提交停测申请，经批准后方可停止相应的监测工作。</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质量标准：第三方监测及其成果应符合国家、河南省、许昌市现行规范的相关规定和合同约定，并能满足工程需要。</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项目负责人：温向东</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证书编号：4901000136</w:t>
      </w:r>
    </w:p>
    <w:p>
      <w:pPr>
        <w:snapToGrid w:val="0"/>
        <w:spacing w:line="360" w:lineRule="auto"/>
        <w:rPr>
          <w:rFonts w:cs="宋体" w:asciiTheme="minorEastAsia" w:hAnsiTheme="minorEastAsia"/>
          <w:szCs w:val="21"/>
        </w:rPr>
      </w:pPr>
      <w:r>
        <w:rPr>
          <w:rFonts w:hint="eastAsia" w:cs="宋体" w:asciiTheme="minorEastAsia" w:hAnsiTheme="minorEastAsia"/>
          <w:szCs w:val="21"/>
        </w:rPr>
        <w:t xml:space="preserve">    投标文件中填报的单位项目业绩名称：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1.工程名称：北京地铁6号线西延工程第三方监测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工程地点：北京市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开竣工日期：2013年9月至2018年3月 </w:t>
      </w:r>
    </w:p>
    <w:p>
      <w:pPr>
        <w:snapToGrid w:val="0"/>
        <w:spacing w:line="360" w:lineRule="auto"/>
        <w:rPr>
          <w:rFonts w:asciiTheme="minorEastAsia" w:hAnsiTheme="minorEastAsia"/>
          <w:szCs w:val="21"/>
        </w:rPr>
      </w:pPr>
      <w:r>
        <w:rPr>
          <w:rFonts w:hint="eastAsia" w:asciiTheme="minorEastAsia" w:hAnsiTheme="minorEastAsia"/>
          <w:szCs w:val="21"/>
        </w:rPr>
        <w:t xml:space="preserve">    2.工程名称：北京地铁7号线工程第三方监测01合同段</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工程地点：北京市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开竣工日期：2010年4月至2014年12月 </w:t>
      </w:r>
    </w:p>
    <w:p>
      <w:pPr>
        <w:snapToGrid w:val="0"/>
        <w:spacing w:line="360" w:lineRule="auto"/>
        <w:rPr>
          <w:rFonts w:asciiTheme="minorEastAsia" w:hAnsiTheme="minorEastAsia"/>
          <w:szCs w:val="21"/>
        </w:rPr>
      </w:pPr>
      <w:r>
        <w:rPr>
          <w:rFonts w:hint="eastAsia" w:asciiTheme="minorEastAsia" w:hAnsiTheme="minorEastAsia"/>
          <w:szCs w:val="21"/>
        </w:rPr>
        <w:t xml:space="preserve">    3.工程名称：北京地铁6号线二期工程第三方监测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工程地点：北京市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开竣工日期：2011年3月至2014年12月 </w:t>
      </w:r>
    </w:p>
    <w:p>
      <w:pPr>
        <w:pStyle w:val="6"/>
        <w:snapToGrid w:val="0"/>
        <w:spacing w:after="0" w:line="360" w:lineRule="auto"/>
        <w:ind w:firstLine="0"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投标文件中填报的项目负责人业绩名称：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1.工程名称：北京地铁6号线二期工程第三方监测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工程地点：北京市 </w:t>
      </w:r>
    </w:p>
    <w:p>
      <w:pPr>
        <w:ind w:firstLine="405"/>
        <w:rPr>
          <w:rFonts w:asciiTheme="minorEastAsia" w:hAnsiTheme="minorEastAsia"/>
          <w:szCs w:val="21"/>
        </w:rPr>
      </w:pPr>
      <w:r>
        <w:rPr>
          <w:rFonts w:hint="eastAsia" w:asciiTheme="minorEastAsia" w:hAnsiTheme="minorEastAsia"/>
          <w:szCs w:val="21"/>
        </w:rPr>
        <w:t>开竣工日期：2011年3月至2014年12月</w:t>
      </w:r>
    </w:p>
    <w:p>
      <w:pPr>
        <w:ind w:hanging="142"/>
        <w:rPr>
          <w:rFonts w:asciiTheme="minorEastAsia" w:hAnsiTheme="minorEastAsia"/>
          <w:szCs w:val="21"/>
        </w:rPr>
      </w:pPr>
      <w:r>
        <w:rPr>
          <w:rFonts w:hint="eastAsia" w:asciiTheme="minorEastAsia" w:hAnsiTheme="minorEastAsia"/>
          <w:b/>
          <w:bCs/>
          <w:szCs w:val="21"/>
        </w:rPr>
        <w:t>三标段：</w:t>
      </w:r>
    </w:p>
    <w:tbl>
      <w:tblPr>
        <w:tblStyle w:val="16"/>
        <w:tblW w:w="9529" w:type="dxa"/>
        <w:jc w:val="center"/>
        <w:tblInd w:w="0" w:type="dxa"/>
        <w:tblLayout w:type="fixed"/>
        <w:tblCellMar>
          <w:top w:w="0" w:type="dxa"/>
          <w:left w:w="0" w:type="dxa"/>
          <w:bottom w:w="0" w:type="dxa"/>
          <w:right w:w="0" w:type="dxa"/>
        </w:tblCellMar>
      </w:tblPr>
      <w:tblGrid>
        <w:gridCol w:w="9529"/>
      </w:tblGrid>
      <w:tr>
        <w:tblPrEx>
          <w:tblLayout w:type="fixed"/>
          <w:tblCellMar>
            <w:top w:w="0" w:type="dxa"/>
            <w:left w:w="0" w:type="dxa"/>
            <w:bottom w:w="0" w:type="dxa"/>
            <w:right w:w="0" w:type="dxa"/>
          </w:tblCellMar>
        </w:tblPrEx>
        <w:trPr>
          <w:trHeight w:val="540" w:hRule="atLeast"/>
          <w:jc w:val="center"/>
        </w:trPr>
        <w:tc>
          <w:tcPr>
            <w:tcW w:w="9529" w:type="dxa"/>
            <w:shd w:val="clear" w:color="auto" w:fill="FFFFFF"/>
            <w:vAlign w:val="center"/>
          </w:tcPr>
          <w:p>
            <w:pPr>
              <w:spacing w:line="360" w:lineRule="auto"/>
              <w:ind w:firstLine="422" w:firstLineChars="200"/>
              <w:outlineLvl w:val="0"/>
              <w:rPr>
                <w:rFonts w:cs="宋体" w:asciiTheme="minorEastAsia" w:hAnsiTheme="minorEastAsia"/>
                <w:b/>
                <w:szCs w:val="21"/>
                <w:shd w:val="clear" w:color="auto" w:fill="FFFFFF"/>
              </w:rPr>
            </w:pPr>
            <w:r>
              <w:rPr>
                <w:rFonts w:hint="eastAsia" w:cs="宋体" w:asciiTheme="minorEastAsia" w:hAnsiTheme="minorEastAsia"/>
                <w:b/>
                <w:szCs w:val="21"/>
                <w:shd w:val="clear" w:color="auto" w:fill="FFFFFF"/>
              </w:rPr>
              <w:t>资质要求：</w:t>
            </w:r>
          </w:p>
          <w:p>
            <w:pPr>
              <w:spacing w:line="360" w:lineRule="auto"/>
              <w:ind w:left="468" w:leftChars="223"/>
              <w:outlineLvl w:val="0"/>
              <w:rPr>
                <w:rFonts w:cs="宋体" w:asciiTheme="minorEastAsia" w:hAnsiTheme="minorEastAsia"/>
                <w:szCs w:val="21"/>
              </w:rPr>
            </w:pPr>
            <w:r>
              <w:rPr>
                <w:rFonts w:hint="eastAsia" w:cs="宋体" w:asciiTheme="minorEastAsia" w:hAnsiTheme="minorEastAsia"/>
                <w:szCs w:val="21"/>
              </w:rPr>
              <w:t>1）投标人须是在中华人民共和国境内注册的企业法人，持有有效的企业法人营业执照。</w:t>
            </w:r>
          </w:p>
          <w:p>
            <w:pPr>
              <w:spacing w:line="360" w:lineRule="auto"/>
              <w:ind w:left="468" w:leftChars="223"/>
              <w:outlineLvl w:val="0"/>
              <w:rPr>
                <w:rFonts w:cs="宋体" w:asciiTheme="minorEastAsia" w:hAnsiTheme="minorEastAsia"/>
                <w:szCs w:val="21"/>
              </w:rPr>
            </w:pPr>
            <w:r>
              <w:rPr>
                <w:rFonts w:hint="eastAsia" w:cs="宋体" w:asciiTheme="minorEastAsia" w:hAnsiTheme="minorEastAsia"/>
                <w:szCs w:val="21"/>
              </w:rPr>
              <w:t>2）投标人须同时具备有效的住房和城乡建设部核发的工程勘察综合甲级资质证书和国家测绘局颁发的甲级测绘资质（资质证书专业范围包含工程测量）。</w:t>
            </w:r>
          </w:p>
          <w:p>
            <w:pPr>
              <w:spacing w:line="360" w:lineRule="auto"/>
              <w:ind w:left="468" w:leftChars="223"/>
              <w:outlineLvl w:val="0"/>
              <w:rPr>
                <w:rFonts w:cs="宋体" w:asciiTheme="minorEastAsia" w:hAnsiTheme="minorEastAsia"/>
                <w:bCs/>
                <w:szCs w:val="21"/>
              </w:rPr>
            </w:pPr>
            <w:r>
              <w:rPr>
                <w:rFonts w:hint="eastAsia" w:cs="宋体" w:asciiTheme="minorEastAsia" w:hAnsiTheme="minorEastAsia"/>
                <w:szCs w:val="21"/>
              </w:rPr>
              <w:t>3）投标人须至少具有一项类似项目业绩。</w:t>
            </w:r>
            <w:r>
              <w:rPr>
                <w:rFonts w:hint="eastAsia" w:cs="宋体" w:asciiTheme="minorEastAsia" w:hAnsiTheme="minorEastAsia"/>
                <w:bCs/>
                <w:szCs w:val="21"/>
              </w:rPr>
              <w:t>本标段的类似项目业绩限于完工日期在2013年1月1日至投标截止时间内，单项明确合同金额1200万元人民币及以上的铁路工程或城市轨道交通工程控制测量检测（也称控制测量、第三方测量）业绩。</w:t>
            </w:r>
          </w:p>
          <w:p>
            <w:pPr>
              <w:spacing w:line="360" w:lineRule="auto"/>
              <w:ind w:left="468" w:leftChars="223"/>
              <w:outlineLvl w:val="0"/>
              <w:rPr>
                <w:rFonts w:cs="宋体" w:asciiTheme="minorEastAsia" w:hAnsiTheme="minorEastAsia"/>
                <w:szCs w:val="21"/>
              </w:rPr>
            </w:pPr>
            <w:r>
              <w:rPr>
                <w:rFonts w:hint="eastAsia" w:cs="宋体" w:asciiTheme="minorEastAsia" w:hAnsiTheme="minorEastAsia"/>
                <w:szCs w:val="21"/>
              </w:rPr>
              <w:t>4）投标人拟派项目负责人须具备工程测量或岩土或测绘专业工程师（含）以上职称，至少承担过一项类似项目的项目负责人，为投标人在职正式员工，与投标人单位签订了劳动合同；自投标文件递交截止时间之前的12个月内，投标人已为其缴纳连续6个月及以上的养老保险；且不得担任其他在建项目的项目负责人。</w:t>
            </w:r>
          </w:p>
        </w:tc>
      </w:tr>
    </w:tbl>
    <w:p>
      <w:pPr>
        <w:snapToGrid w:val="0"/>
        <w:spacing w:line="360" w:lineRule="auto"/>
        <w:rPr>
          <w:rFonts w:asciiTheme="minorEastAsia" w:hAnsiTheme="minorEastAsia"/>
          <w:szCs w:val="21"/>
        </w:rPr>
      </w:pPr>
      <w:r>
        <w:rPr>
          <w:rFonts w:hint="eastAsia" w:cs="宋体" w:asciiTheme="minorEastAsia" w:hAnsiTheme="minorEastAsia"/>
          <w:b/>
          <w:szCs w:val="21"/>
        </w:rPr>
        <w:t>第一中标候选人</w:t>
      </w:r>
      <w:r>
        <w:rPr>
          <w:rFonts w:hint="eastAsia" w:cs="宋体" w:asciiTheme="minorEastAsia" w:hAnsiTheme="minorEastAsia"/>
          <w:b/>
          <w:bCs/>
          <w:szCs w:val="21"/>
        </w:rPr>
        <w:t>：</w:t>
      </w:r>
      <w:r>
        <w:rPr>
          <w:rFonts w:hint="eastAsia" w:asciiTheme="minorEastAsia" w:hAnsiTheme="minorEastAsia"/>
          <w:szCs w:val="21"/>
        </w:rPr>
        <w:t>中铁工程设计咨询集团有限公司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资质符合住房和城乡建设部核发的工程勘察综合甲级资质证书和国家测绘局办法的甲级测绘资质（资质证书专业范围包括工程测量）。</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投标报价：12153990.00元</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大写：壹仟贰佰壹拾伍万叁仟玖佰玖拾元整</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工期</w:t>
      </w:r>
      <w:r>
        <w:rPr>
          <w:rFonts w:cs="宋体" w:asciiTheme="minorEastAsia" w:hAnsiTheme="minorEastAsia"/>
          <w:szCs w:val="21"/>
        </w:rPr>
        <w:t>:</w:t>
      </w:r>
      <w:r>
        <w:rPr>
          <w:rFonts w:hint="eastAsia" w:cs="宋体" w:asciiTheme="minorEastAsia" w:hAnsiTheme="minorEastAsia"/>
          <w:szCs w:val="21"/>
        </w:rPr>
        <w:t>全部工作完成(含工后监测)及提交报告时间满足发包人对本工程进度的要求。</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质量标准：服务及其文件应符合国家现行规范的相关规定和合同约定，并能满足项目需求。服务应充分考虑与设计、施工、产权等单位的配合工作，满足设计需要。</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项目负责人：陈以军</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证书编号：3427142007</w:t>
      </w:r>
    </w:p>
    <w:p>
      <w:pPr>
        <w:snapToGrid w:val="0"/>
        <w:spacing w:line="360" w:lineRule="auto"/>
        <w:rPr>
          <w:rFonts w:cs="宋体" w:asciiTheme="minorEastAsia" w:hAnsiTheme="minorEastAsia"/>
          <w:szCs w:val="21"/>
        </w:rPr>
      </w:pPr>
      <w:r>
        <w:rPr>
          <w:rFonts w:hint="eastAsia" w:cs="宋体" w:asciiTheme="minorEastAsia" w:hAnsiTheme="minorEastAsia"/>
          <w:szCs w:val="21"/>
        </w:rPr>
        <w:t xml:space="preserve">    投标文件中填报的单位项目业绩名称：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1.工程名称：吉林至珲春铁路客运专线精密控制网测量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工程地点：吉林省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开竣工日期：2011年6月至2014年5月</w:t>
      </w:r>
    </w:p>
    <w:p>
      <w:pPr>
        <w:snapToGrid w:val="0"/>
        <w:spacing w:line="360" w:lineRule="auto"/>
        <w:rPr>
          <w:rFonts w:asciiTheme="minorEastAsia" w:hAnsiTheme="minorEastAsia"/>
          <w:szCs w:val="21"/>
        </w:rPr>
      </w:pPr>
      <w:r>
        <w:rPr>
          <w:rFonts w:hint="eastAsia" w:asciiTheme="minorEastAsia" w:hAnsiTheme="minorEastAsia"/>
          <w:szCs w:val="21"/>
        </w:rPr>
        <w:t xml:space="preserve">    2.工程名称：张家口至呼和浩特高速铁路精密控制网测量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工程地点：内蒙古自治区、河北省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开竣工日期：2012年12月至2017年8月</w:t>
      </w:r>
    </w:p>
    <w:p>
      <w:pPr>
        <w:snapToGrid w:val="0"/>
        <w:spacing w:line="360" w:lineRule="auto"/>
        <w:ind w:firstLine="630"/>
        <w:rPr>
          <w:rFonts w:asciiTheme="minorEastAsia" w:hAnsiTheme="minorEastAsia"/>
          <w:szCs w:val="21"/>
        </w:rPr>
      </w:pPr>
      <w:r>
        <w:rPr>
          <w:rFonts w:hint="eastAsia" w:asciiTheme="minorEastAsia" w:hAnsiTheme="minorEastAsia"/>
          <w:szCs w:val="21"/>
        </w:rPr>
        <w:t>3.工程名称：杭长客专江西段运营初期线下工程结构变形普查性检测和精测网复测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工程地点：江西省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 2014年9月至</w:t>
      </w:r>
    </w:p>
    <w:p>
      <w:pPr>
        <w:snapToGrid w:val="0"/>
        <w:spacing w:line="360" w:lineRule="auto"/>
        <w:ind w:firstLine="630"/>
        <w:rPr>
          <w:rFonts w:asciiTheme="minorEastAsia" w:hAnsiTheme="minorEastAsia"/>
          <w:szCs w:val="21"/>
        </w:rPr>
      </w:pPr>
      <w:r>
        <w:rPr>
          <w:rFonts w:hint="eastAsia" w:asciiTheme="minorEastAsia" w:hAnsiTheme="minorEastAsia"/>
          <w:szCs w:val="21"/>
        </w:rPr>
        <w:t>4.工程名称：秦沈客运专线防灾安全监控补强工程精密工程控制网测量建网工程</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工程地点：辽宁省、河北省</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 2015年5月至2016年3月</w:t>
      </w:r>
    </w:p>
    <w:p>
      <w:pPr>
        <w:snapToGrid w:val="0"/>
        <w:spacing w:line="360" w:lineRule="auto"/>
        <w:ind w:firstLine="630"/>
        <w:rPr>
          <w:rFonts w:asciiTheme="minorEastAsia" w:hAnsiTheme="minorEastAsia"/>
          <w:szCs w:val="21"/>
        </w:rPr>
      </w:pPr>
      <w:r>
        <w:rPr>
          <w:rFonts w:hint="eastAsia" w:asciiTheme="minorEastAsia" w:hAnsiTheme="minorEastAsia"/>
          <w:szCs w:val="21"/>
        </w:rPr>
        <w:t>5.工程名称：山西中南部铁路通道洪洞北至日照南段无砟轨道段精测网测量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工程地点：山西省 </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开竣工日期：2015年8月至2016年2月 </w:t>
      </w:r>
    </w:p>
    <w:p>
      <w:pPr>
        <w:snapToGrid w:val="0"/>
        <w:spacing w:line="360" w:lineRule="auto"/>
        <w:ind w:firstLine="630"/>
        <w:rPr>
          <w:rFonts w:asciiTheme="minorEastAsia" w:hAnsiTheme="minorEastAsia"/>
          <w:szCs w:val="21"/>
        </w:rPr>
      </w:pPr>
      <w:r>
        <w:rPr>
          <w:rFonts w:hint="eastAsia" w:asciiTheme="minorEastAsia" w:hAnsiTheme="minorEastAsia"/>
          <w:szCs w:val="21"/>
        </w:rPr>
        <w:t>6.京沪高铁（济南局管段）运营期精测网复测单价承包</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工程地点：山东省</w:t>
      </w:r>
    </w:p>
    <w:p>
      <w:pPr>
        <w:snapToGrid w:val="0"/>
        <w:spacing w:line="360" w:lineRule="auto"/>
        <w:rPr>
          <w:rFonts w:asciiTheme="minorEastAsia" w:hAnsiTheme="minorEastAsia"/>
          <w:szCs w:val="21"/>
        </w:rPr>
      </w:pPr>
      <w:r>
        <w:rPr>
          <w:rFonts w:hint="eastAsia" w:asciiTheme="minorEastAsia" w:hAnsiTheme="minorEastAsia"/>
          <w:szCs w:val="21"/>
        </w:rPr>
        <w:t xml:space="preserve">    开竣工日期：2016年10月至2017年4月 </w:t>
      </w:r>
    </w:p>
    <w:p>
      <w:pPr>
        <w:pStyle w:val="6"/>
        <w:snapToGrid w:val="0"/>
        <w:spacing w:after="0" w:line="360" w:lineRule="auto"/>
        <w:ind w:firstLine="0"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投标文件中填报的项目负责人业绩名称：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1.工程名称：吉林至珲春铁路客运专线精密控制网测量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工程地点：吉林省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开竣工日期：2011年6月至2014年5月</w:t>
      </w:r>
    </w:p>
    <w:p>
      <w:pPr>
        <w:snapToGrid w:val="0"/>
        <w:spacing w:line="360" w:lineRule="auto"/>
        <w:ind w:firstLine="630"/>
        <w:rPr>
          <w:rFonts w:asciiTheme="minorEastAsia" w:hAnsiTheme="minorEastAsia"/>
          <w:szCs w:val="21"/>
        </w:rPr>
      </w:pPr>
      <w:r>
        <w:rPr>
          <w:rFonts w:hint="eastAsia" w:asciiTheme="minorEastAsia" w:hAnsiTheme="minorEastAsia"/>
          <w:szCs w:val="21"/>
        </w:rPr>
        <w:t>2.工程名称：山西中南部铁路通道洪洞北至日照南段无砟轨道段精测网测量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工程地点：山西省 </w:t>
      </w:r>
    </w:p>
    <w:p>
      <w:pPr>
        <w:snapToGrid w:val="0"/>
        <w:spacing w:line="360" w:lineRule="auto"/>
        <w:ind w:firstLine="630"/>
        <w:rPr>
          <w:rFonts w:asciiTheme="minorEastAsia" w:hAnsiTheme="minorEastAsia"/>
          <w:szCs w:val="21"/>
        </w:rPr>
      </w:pPr>
      <w:r>
        <w:rPr>
          <w:rFonts w:hint="eastAsia" w:asciiTheme="minorEastAsia" w:hAnsiTheme="minorEastAsia"/>
          <w:szCs w:val="21"/>
        </w:rPr>
        <w:t xml:space="preserve">开竣工日期：2015年8月至2016年2月 </w:t>
      </w:r>
    </w:p>
    <w:p>
      <w:pPr>
        <w:snapToGrid w:val="0"/>
        <w:spacing w:line="360" w:lineRule="auto"/>
        <w:rPr>
          <w:rFonts w:asciiTheme="minorEastAsia" w:hAnsiTheme="minorEastAsia"/>
          <w:szCs w:val="21"/>
        </w:rPr>
      </w:pPr>
      <w:r>
        <w:rPr>
          <w:rFonts w:hint="eastAsia" w:cs="宋体" w:asciiTheme="minorEastAsia" w:hAnsiTheme="minorEastAsia"/>
          <w:b/>
          <w:szCs w:val="21"/>
        </w:rPr>
        <w:t>第二中标候选人</w:t>
      </w:r>
      <w:r>
        <w:rPr>
          <w:rFonts w:hint="eastAsia" w:cs="宋体" w:asciiTheme="minorEastAsia" w:hAnsiTheme="minorEastAsia"/>
          <w:b/>
          <w:bCs/>
          <w:szCs w:val="21"/>
        </w:rPr>
        <w:t>：</w:t>
      </w:r>
      <w:r>
        <w:rPr>
          <w:rFonts w:hint="eastAsia" w:asciiTheme="minorEastAsia" w:hAnsiTheme="minorEastAsia"/>
          <w:szCs w:val="21"/>
        </w:rPr>
        <w:t>中铁二院工程集团有限责任公司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资质符合住房和城乡建设部核发的工程勘察综合甲级资质证书和国家测绘局办法的甲级测绘资质（资质证书专业范围包括工程测量）。</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投标报价：11976173.58元</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大写：壹仟壹佰玖拾柒万陆仟壹佰柒拾叁元伍角捌分</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工期</w:t>
      </w:r>
      <w:r>
        <w:rPr>
          <w:rFonts w:cs="宋体" w:asciiTheme="minorEastAsia" w:hAnsiTheme="minorEastAsia"/>
          <w:szCs w:val="21"/>
        </w:rPr>
        <w:t>:</w:t>
      </w:r>
      <w:r>
        <w:rPr>
          <w:rFonts w:hint="eastAsia" w:cs="宋体" w:asciiTheme="minorEastAsia" w:hAnsiTheme="minorEastAsia"/>
          <w:szCs w:val="21"/>
        </w:rPr>
        <w:t>全部工作完成(含工后监测)及提交报告时间满足发包人对本工程进度的要求。</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质量标准：服务及其文件应符合国家现行规范的相关规定和合同约定，并能满足项目需求。服务应充分考虑与设计、施工、产权等单位的配合工作，满足设计需要。</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项目负责人：刘凯</w:t>
      </w:r>
    </w:p>
    <w:p>
      <w:pPr>
        <w:snapToGrid w:val="0"/>
        <w:spacing w:line="360" w:lineRule="auto"/>
        <w:ind w:firstLine="630"/>
        <w:rPr>
          <w:rFonts w:cs="宋体" w:asciiTheme="minorEastAsia" w:hAnsiTheme="minorEastAsia"/>
          <w:szCs w:val="21"/>
        </w:rPr>
      </w:pPr>
      <w:r>
        <w:rPr>
          <w:rFonts w:hint="eastAsia" w:cs="宋体" w:asciiTheme="minorEastAsia" w:hAnsiTheme="minorEastAsia"/>
          <w:szCs w:val="21"/>
        </w:rPr>
        <w:t>证书编号：3522100810</w:t>
      </w:r>
    </w:p>
    <w:p>
      <w:pPr>
        <w:snapToGrid w:val="0"/>
        <w:spacing w:line="360" w:lineRule="auto"/>
        <w:rPr>
          <w:rFonts w:cs="宋体" w:asciiTheme="minorEastAsia" w:hAnsiTheme="minorEastAsia"/>
          <w:szCs w:val="21"/>
        </w:rPr>
      </w:pPr>
      <w:r>
        <w:rPr>
          <w:rFonts w:hint="eastAsia" w:cs="宋体" w:asciiTheme="minorEastAsia" w:hAnsiTheme="minorEastAsia"/>
          <w:szCs w:val="21"/>
        </w:rPr>
        <w:t xml:space="preserve">    投标文件中填报的单位项目业绩名称：</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1.工程名称：新建长沙至昆明铁路客运专线（贵州段）勘察设计精测网测量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工程地点：贵州省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开竣工日期：2010年11月至2016年12月</w:t>
      </w:r>
    </w:p>
    <w:p>
      <w:pPr>
        <w:snapToGrid w:val="0"/>
        <w:spacing w:line="360" w:lineRule="auto"/>
        <w:rPr>
          <w:rFonts w:asciiTheme="minorEastAsia" w:hAnsiTheme="minorEastAsia"/>
          <w:szCs w:val="21"/>
        </w:rPr>
      </w:pPr>
      <w:r>
        <w:rPr>
          <w:rFonts w:hint="eastAsia" w:asciiTheme="minorEastAsia" w:hAnsiTheme="minorEastAsia"/>
          <w:szCs w:val="21"/>
        </w:rPr>
        <w:t xml:space="preserve">    2.工程名称：改建铁路湘桂线（永州至柳州段）扩能改造工程精密控制测量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工程地点：广西自治区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开竣工日期：2012年11月至2013年12月</w:t>
      </w:r>
    </w:p>
    <w:p>
      <w:pPr>
        <w:snapToGrid w:val="0"/>
        <w:spacing w:line="360" w:lineRule="auto"/>
        <w:rPr>
          <w:rFonts w:asciiTheme="minorEastAsia" w:hAnsiTheme="minorEastAsia"/>
          <w:szCs w:val="21"/>
        </w:rPr>
      </w:pPr>
      <w:r>
        <w:rPr>
          <w:rFonts w:hint="eastAsia" w:asciiTheme="minorEastAsia" w:hAnsiTheme="minorEastAsia"/>
          <w:szCs w:val="21"/>
        </w:rPr>
        <w:t xml:space="preserve">    3.工程名称：新建铁路云桂线（云南段）精密控制网测量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工程地点：云南省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开竣工日期：2012年10月至2016年12月</w:t>
      </w:r>
    </w:p>
    <w:p>
      <w:pPr>
        <w:snapToGrid w:val="0"/>
        <w:spacing w:line="360" w:lineRule="auto"/>
        <w:ind w:firstLine="630"/>
        <w:rPr>
          <w:rFonts w:asciiTheme="minorEastAsia" w:hAnsiTheme="minorEastAsia"/>
          <w:szCs w:val="21"/>
        </w:rPr>
      </w:pPr>
      <w:r>
        <w:rPr>
          <w:rFonts w:hint="eastAsia" w:asciiTheme="minorEastAsia" w:hAnsiTheme="minorEastAsia"/>
          <w:szCs w:val="21"/>
        </w:rPr>
        <w:t>4.工程名称：重庆至贵阳铁路扩能改造工程勘测设计精测网测量</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工程地点：重庆市、贵州省</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开竣工日期：2012年11月至2017年12月</w:t>
      </w:r>
    </w:p>
    <w:p>
      <w:pPr>
        <w:snapToGrid w:val="0"/>
        <w:spacing w:line="360" w:lineRule="auto"/>
        <w:ind w:firstLine="630"/>
        <w:rPr>
          <w:rFonts w:asciiTheme="minorEastAsia" w:hAnsiTheme="minorEastAsia"/>
          <w:szCs w:val="21"/>
        </w:rPr>
      </w:pPr>
      <w:r>
        <w:rPr>
          <w:rFonts w:hint="eastAsia" w:asciiTheme="minorEastAsia" w:hAnsiTheme="minorEastAsia"/>
          <w:szCs w:val="21"/>
        </w:rPr>
        <w:t>5.新建西安至成都铁路西安至江油段（四川省境内）精测网建网、复测及维护</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工程地点：四川省</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开竣工日期：2014年9月至2017年12月</w:t>
      </w:r>
    </w:p>
    <w:p>
      <w:pPr>
        <w:pStyle w:val="6"/>
        <w:snapToGrid w:val="0"/>
        <w:spacing w:after="0" w:line="360" w:lineRule="auto"/>
        <w:ind w:firstLine="0" w:firstLineChars="0"/>
        <w:rPr>
          <w:rFonts w:cs="宋体" w:asciiTheme="minorEastAsia" w:hAnsiTheme="minorEastAsia" w:eastAsiaTheme="minorEastAsia"/>
          <w:color w:val="auto"/>
          <w:sz w:val="21"/>
          <w:szCs w:val="21"/>
        </w:rPr>
      </w:pPr>
      <w:r>
        <w:rPr>
          <w:rFonts w:hint="eastAsia" w:cs="宋体" w:asciiTheme="minorEastAsia" w:hAnsiTheme="minorEastAsia" w:eastAsiaTheme="minorEastAsia"/>
          <w:b/>
          <w:color w:val="auto"/>
          <w:sz w:val="21"/>
          <w:szCs w:val="21"/>
        </w:rPr>
        <w:t>投标文件中填报的项目负责人业绩名称</w:t>
      </w:r>
      <w:r>
        <w:rPr>
          <w:rFonts w:hint="eastAsia" w:cs="宋体" w:asciiTheme="minorEastAsia" w:hAnsiTheme="minorEastAsia" w:eastAsiaTheme="minorEastAsia"/>
          <w:color w:val="auto"/>
          <w:sz w:val="21"/>
          <w:szCs w:val="21"/>
        </w:rPr>
        <w:t>：</w:t>
      </w:r>
    </w:p>
    <w:p>
      <w:pPr>
        <w:snapToGrid w:val="0"/>
        <w:spacing w:line="360" w:lineRule="auto"/>
        <w:rPr>
          <w:rFonts w:asciiTheme="minorEastAsia" w:hAnsiTheme="minorEastAsia"/>
          <w:szCs w:val="21"/>
        </w:rPr>
      </w:pPr>
      <w:r>
        <w:rPr>
          <w:rFonts w:hint="eastAsia" w:asciiTheme="minorEastAsia" w:hAnsiTheme="minorEastAsia"/>
          <w:szCs w:val="21"/>
        </w:rPr>
        <w:t xml:space="preserve">    1.工程名称：改建铁路湘桂线（永州至柳州段）扩能改造工程精密控制测量</w:t>
      </w:r>
    </w:p>
    <w:p>
      <w:pPr>
        <w:snapToGrid w:val="0"/>
        <w:spacing w:line="360" w:lineRule="auto"/>
        <w:rPr>
          <w:rFonts w:asciiTheme="minorEastAsia" w:hAnsiTheme="minorEastAsia"/>
          <w:szCs w:val="21"/>
        </w:rPr>
      </w:pPr>
      <w:r>
        <w:rPr>
          <w:rFonts w:hint="eastAsia" w:asciiTheme="minorEastAsia" w:hAnsiTheme="minorEastAsia"/>
          <w:szCs w:val="21"/>
        </w:rPr>
        <w:t xml:space="preserve">    工程地点：广西自治区 </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开竣工日期：2012年11月至2013年12月</w:t>
      </w:r>
    </w:p>
    <w:p>
      <w:pPr>
        <w:snapToGrid w:val="0"/>
        <w:spacing w:line="360" w:lineRule="auto"/>
        <w:ind w:firstLine="630"/>
        <w:rPr>
          <w:rFonts w:asciiTheme="minorEastAsia" w:hAnsiTheme="minorEastAsia"/>
          <w:szCs w:val="21"/>
        </w:rPr>
      </w:pPr>
      <w:r>
        <w:rPr>
          <w:rFonts w:hint="eastAsia" w:asciiTheme="minorEastAsia" w:hAnsiTheme="minorEastAsia"/>
          <w:szCs w:val="21"/>
        </w:rPr>
        <w:t>2.新建西安至成都铁路西安至江油段（四川省境内）精测网建网、复测及维护</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工程地点：四川省</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开竣工日期：2014年9月至2017年12月</w:t>
      </w:r>
    </w:p>
    <w:p>
      <w:pPr>
        <w:snapToGrid w:val="0"/>
        <w:spacing w:line="360" w:lineRule="auto"/>
        <w:rPr>
          <w:rFonts w:asciiTheme="minorEastAsia" w:hAnsiTheme="minorEastAsia"/>
          <w:szCs w:val="21"/>
        </w:rPr>
      </w:pPr>
      <w:r>
        <w:rPr>
          <w:rFonts w:hint="eastAsia" w:asciiTheme="minorEastAsia" w:hAnsiTheme="minorEastAsia"/>
          <w:b/>
          <w:szCs w:val="21"/>
        </w:rPr>
        <w:t>第三中标候选人：</w:t>
      </w:r>
      <w:r>
        <w:rPr>
          <w:rFonts w:hint="eastAsia" w:asciiTheme="minorEastAsia" w:hAnsiTheme="minorEastAsia"/>
          <w:szCs w:val="21"/>
        </w:rPr>
        <w:t>中铁第六勘察设计院集团有限公司</w:t>
      </w:r>
    </w:p>
    <w:p>
      <w:pPr>
        <w:snapToGrid w:val="0"/>
        <w:spacing w:line="360" w:lineRule="auto"/>
        <w:ind w:firstLine="630"/>
        <w:rPr>
          <w:rFonts w:asciiTheme="minorEastAsia" w:hAnsiTheme="minorEastAsia"/>
          <w:szCs w:val="21"/>
        </w:rPr>
      </w:pPr>
      <w:r>
        <w:rPr>
          <w:rFonts w:hint="eastAsia" w:asciiTheme="minorEastAsia" w:hAnsiTheme="minorEastAsia"/>
          <w:szCs w:val="21"/>
        </w:rPr>
        <w:t>资质符合住房和城乡建设部核发的工程勘察综合甲级资质证书和国家测绘局办法的甲级测绘资质（资质证书专业范围包括工程测量）。</w:t>
      </w:r>
    </w:p>
    <w:p>
      <w:pPr>
        <w:snapToGrid w:val="0"/>
        <w:spacing w:line="360" w:lineRule="auto"/>
        <w:ind w:firstLine="630"/>
        <w:rPr>
          <w:rFonts w:asciiTheme="minorEastAsia" w:hAnsiTheme="minorEastAsia"/>
          <w:szCs w:val="21"/>
        </w:rPr>
      </w:pPr>
      <w:r>
        <w:rPr>
          <w:rFonts w:hint="eastAsia" w:asciiTheme="minorEastAsia" w:hAnsiTheme="minorEastAsia"/>
          <w:szCs w:val="21"/>
        </w:rPr>
        <w:t>投标报价：11700000.00元</w:t>
      </w:r>
    </w:p>
    <w:p>
      <w:pPr>
        <w:snapToGrid w:val="0"/>
        <w:spacing w:line="360" w:lineRule="auto"/>
        <w:ind w:firstLine="630"/>
        <w:rPr>
          <w:rFonts w:asciiTheme="minorEastAsia" w:hAnsiTheme="minorEastAsia"/>
          <w:szCs w:val="21"/>
        </w:rPr>
      </w:pPr>
      <w:r>
        <w:rPr>
          <w:rFonts w:hint="eastAsia" w:asciiTheme="minorEastAsia" w:hAnsiTheme="minorEastAsia"/>
          <w:szCs w:val="21"/>
        </w:rPr>
        <w:t>大写：壹仟壹佰柒拾万元整</w:t>
      </w:r>
    </w:p>
    <w:p>
      <w:pPr>
        <w:snapToGrid w:val="0"/>
        <w:spacing w:line="360" w:lineRule="auto"/>
        <w:ind w:firstLine="630"/>
        <w:rPr>
          <w:rFonts w:asciiTheme="minorEastAsia" w:hAnsiTheme="minorEastAsia"/>
          <w:szCs w:val="21"/>
        </w:rPr>
      </w:pPr>
      <w:r>
        <w:rPr>
          <w:rFonts w:hint="eastAsia" w:asciiTheme="minorEastAsia" w:hAnsiTheme="minorEastAsia"/>
          <w:szCs w:val="21"/>
        </w:rPr>
        <w:t>工期</w:t>
      </w:r>
      <w:r>
        <w:rPr>
          <w:rFonts w:asciiTheme="minorEastAsia" w:hAnsiTheme="minorEastAsia"/>
          <w:szCs w:val="21"/>
        </w:rPr>
        <w:t>:</w:t>
      </w:r>
      <w:r>
        <w:rPr>
          <w:rFonts w:hint="eastAsia" w:asciiTheme="minorEastAsia" w:hAnsiTheme="minorEastAsia"/>
          <w:szCs w:val="21"/>
        </w:rPr>
        <w:t>全部工作完成(含工后监测)及提交报告时间满足发包人对本工程进度的要求。</w:t>
      </w:r>
    </w:p>
    <w:p>
      <w:pPr>
        <w:snapToGrid w:val="0"/>
        <w:spacing w:line="360" w:lineRule="auto"/>
        <w:ind w:firstLine="630"/>
        <w:rPr>
          <w:rFonts w:asciiTheme="minorEastAsia" w:hAnsiTheme="minorEastAsia"/>
          <w:szCs w:val="21"/>
        </w:rPr>
      </w:pPr>
      <w:r>
        <w:rPr>
          <w:rFonts w:hint="eastAsia" w:asciiTheme="minorEastAsia" w:hAnsiTheme="minorEastAsia"/>
          <w:szCs w:val="21"/>
        </w:rPr>
        <w:t>质量标准：服务及其文件应符合国家现行规范的相关规定和合同约定，并能满足项目需求。服务应充分考虑与设计、施工、产权等单位的配合工作，满足设计需要。</w:t>
      </w:r>
    </w:p>
    <w:p>
      <w:pPr>
        <w:snapToGrid w:val="0"/>
        <w:spacing w:line="360" w:lineRule="auto"/>
        <w:ind w:firstLine="630"/>
        <w:rPr>
          <w:rFonts w:asciiTheme="minorEastAsia" w:hAnsiTheme="minorEastAsia"/>
          <w:szCs w:val="21"/>
        </w:rPr>
      </w:pPr>
      <w:r>
        <w:rPr>
          <w:rFonts w:hint="eastAsia" w:asciiTheme="minorEastAsia" w:hAnsiTheme="minorEastAsia"/>
          <w:szCs w:val="21"/>
        </w:rPr>
        <w:t>项目负责人：王磊</w:t>
      </w:r>
    </w:p>
    <w:p>
      <w:pPr>
        <w:snapToGrid w:val="0"/>
        <w:spacing w:line="360" w:lineRule="auto"/>
        <w:ind w:firstLine="630"/>
        <w:rPr>
          <w:rFonts w:asciiTheme="minorEastAsia" w:hAnsiTheme="minorEastAsia"/>
          <w:szCs w:val="21"/>
        </w:rPr>
      </w:pPr>
      <w:r>
        <w:rPr>
          <w:rFonts w:hint="eastAsia" w:asciiTheme="minorEastAsia" w:hAnsiTheme="minorEastAsia"/>
          <w:szCs w:val="21"/>
        </w:rPr>
        <w:t>证书编号：3430060041</w:t>
      </w:r>
    </w:p>
    <w:p>
      <w:pPr>
        <w:snapToGrid w:val="0"/>
        <w:spacing w:line="360" w:lineRule="auto"/>
        <w:ind w:firstLine="630"/>
        <w:rPr>
          <w:rFonts w:asciiTheme="minorEastAsia" w:hAnsiTheme="minorEastAsia"/>
          <w:b/>
          <w:szCs w:val="21"/>
        </w:rPr>
      </w:pPr>
      <w:r>
        <w:rPr>
          <w:rFonts w:hint="eastAsia" w:asciiTheme="minorEastAsia" w:hAnsiTheme="minorEastAsia"/>
          <w:b/>
          <w:szCs w:val="21"/>
        </w:rPr>
        <w:t>投标文件中填报的单位项目业绩名称：</w:t>
      </w:r>
    </w:p>
    <w:p>
      <w:pPr>
        <w:snapToGrid w:val="0"/>
        <w:spacing w:line="360" w:lineRule="auto"/>
        <w:ind w:firstLine="630"/>
        <w:rPr>
          <w:rFonts w:asciiTheme="minorEastAsia" w:hAnsiTheme="minorEastAsia"/>
          <w:szCs w:val="21"/>
        </w:rPr>
      </w:pPr>
      <w:r>
        <w:rPr>
          <w:rFonts w:hint="eastAsia" w:asciiTheme="minorEastAsia" w:hAnsiTheme="minorEastAsia"/>
          <w:szCs w:val="21"/>
        </w:rPr>
        <w:t>1.工程名称：南京地铁三号线及十号线工程测量D3-TE01-01标</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工程地点：南京市</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开竣工日期：2010年11月至2015年4月</w:t>
      </w:r>
    </w:p>
    <w:p>
      <w:pPr>
        <w:snapToGrid w:val="0"/>
        <w:spacing w:line="360" w:lineRule="auto"/>
        <w:ind w:firstLine="630"/>
        <w:rPr>
          <w:rFonts w:asciiTheme="minorEastAsia" w:hAnsiTheme="minorEastAsia"/>
          <w:szCs w:val="21"/>
        </w:rPr>
      </w:pPr>
      <w:r>
        <w:rPr>
          <w:rFonts w:hint="eastAsia" w:asciiTheme="minorEastAsia" w:hAnsiTheme="minorEastAsia"/>
          <w:szCs w:val="21"/>
        </w:rPr>
        <w:t>2.工程名称：南京地铁四号线一期工程测量D4-TE01-01标</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工程地点：南京市</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开竣工日期：2012年4月至2017年1月</w:t>
      </w:r>
    </w:p>
    <w:p>
      <w:pPr>
        <w:snapToGrid w:val="0"/>
        <w:spacing w:line="360" w:lineRule="auto"/>
        <w:ind w:firstLine="630"/>
        <w:rPr>
          <w:rFonts w:asciiTheme="minorEastAsia" w:hAnsiTheme="minorEastAsia"/>
          <w:szCs w:val="21"/>
        </w:rPr>
      </w:pPr>
      <w:r>
        <w:rPr>
          <w:rFonts w:hint="eastAsia" w:asciiTheme="minorEastAsia" w:hAnsiTheme="minorEastAsia"/>
          <w:szCs w:val="21"/>
        </w:rPr>
        <w:t>3.工程名称：深圳市城市轨道交通11号线工程控制测量检测</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工程地点：深圳市</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开竣工日期：2012年9月至2016年6月</w:t>
      </w:r>
    </w:p>
    <w:p>
      <w:pPr>
        <w:snapToGrid w:val="0"/>
        <w:spacing w:line="360" w:lineRule="auto"/>
        <w:ind w:firstLine="630"/>
        <w:rPr>
          <w:rFonts w:asciiTheme="minorEastAsia" w:hAnsiTheme="minorEastAsia"/>
          <w:szCs w:val="21"/>
        </w:rPr>
      </w:pPr>
      <w:r>
        <w:rPr>
          <w:rFonts w:hint="eastAsia" w:asciiTheme="minorEastAsia" w:hAnsiTheme="minorEastAsia"/>
          <w:szCs w:val="21"/>
        </w:rPr>
        <w:t>4.工程名称：广州市轨道交通七号线一期工程(广州新客站-新造段)控制测量及施工测量检测工程项目</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工程地点：广州市</w:t>
      </w:r>
    </w:p>
    <w:p>
      <w:pPr>
        <w:snapToGrid w:val="0"/>
        <w:spacing w:line="360" w:lineRule="auto"/>
        <w:ind w:firstLine="630"/>
        <w:rPr>
          <w:rFonts w:asciiTheme="minorEastAsia" w:hAnsiTheme="minorEastAsia"/>
          <w:szCs w:val="21"/>
        </w:rPr>
      </w:pPr>
      <w:r>
        <w:rPr>
          <w:rFonts w:hint="eastAsia" w:asciiTheme="minorEastAsia" w:hAnsiTheme="minorEastAsia"/>
          <w:szCs w:val="21"/>
        </w:rPr>
        <w:t>开竣工日期：2010年3月至2016年12月</w:t>
      </w:r>
    </w:p>
    <w:p>
      <w:pPr>
        <w:snapToGrid w:val="0"/>
        <w:spacing w:line="360" w:lineRule="auto"/>
        <w:ind w:firstLine="630"/>
        <w:rPr>
          <w:rFonts w:asciiTheme="minorEastAsia" w:hAnsiTheme="minorEastAsia"/>
          <w:b/>
          <w:szCs w:val="21"/>
        </w:rPr>
      </w:pPr>
      <w:r>
        <w:rPr>
          <w:rFonts w:hint="eastAsia" w:asciiTheme="minorEastAsia" w:hAnsiTheme="minorEastAsia"/>
          <w:b/>
          <w:szCs w:val="21"/>
        </w:rPr>
        <w:t>投标文件中填报的项目负责人业绩名称：</w:t>
      </w:r>
    </w:p>
    <w:p>
      <w:pPr>
        <w:snapToGrid w:val="0"/>
        <w:spacing w:line="360" w:lineRule="auto"/>
        <w:ind w:firstLine="630"/>
        <w:rPr>
          <w:rFonts w:asciiTheme="minorEastAsia" w:hAnsiTheme="minorEastAsia"/>
          <w:szCs w:val="21"/>
        </w:rPr>
      </w:pPr>
      <w:r>
        <w:rPr>
          <w:rFonts w:hint="eastAsia" w:asciiTheme="minorEastAsia" w:hAnsiTheme="minorEastAsia"/>
          <w:szCs w:val="21"/>
        </w:rPr>
        <w:t>1.工程名称：深圳市城市轨道交通11号线工程控制测量检测</w:t>
      </w:r>
    </w:p>
    <w:p>
      <w:pPr>
        <w:snapToGrid w:val="0"/>
        <w:spacing w:line="360" w:lineRule="auto"/>
        <w:ind w:firstLine="630"/>
        <w:rPr>
          <w:rFonts w:asciiTheme="minorEastAsia" w:hAnsiTheme="minorEastAsia"/>
          <w:szCs w:val="21"/>
        </w:rPr>
      </w:pPr>
      <w:r>
        <w:rPr>
          <w:rFonts w:hint="eastAsia" w:asciiTheme="minorEastAsia" w:hAnsiTheme="minorEastAsia"/>
          <w:szCs w:val="21"/>
        </w:rPr>
        <w:t>工程地点：深圳市</w:t>
      </w:r>
    </w:p>
    <w:p>
      <w:pPr>
        <w:ind w:firstLine="630" w:firstLineChars="300"/>
        <w:rPr>
          <w:rFonts w:asciiTheme="minorEastAsia" w:hAnsiTheme="minorEastAsia"/>
          <w:szCs w:val="21"/>
        </w:rPr>
      </w:pPr>
      <w:r>
        <w:rPr>
          <w:rFonts w:hint="eastAsia" w:asciiTheme="minorEastAsia" w:hAnsiTheme="minorEastAsia"/>
          <w:szCs w:val="21"/>
        </w:rPr>
        <w:t>开竣工日期：2012年9月至2016年6月</w:t>
      </w:r>
    </w:p>
    <w:p>
      <w:pPr>
        <w:rPr>
          <w:rFonts w:asciiTheme="minorEastAsia" w:hAnsiTheme="minorEastAsia"/>
          <w:b/>
          <w:szCs w:val="21"/>
        </w:rPr>
      </w:pPr>
      <w:r>
        <w:rPr>
          <w:rFonts w:hint="eastAsia" w:asciiTheme="minorEastAsia" w:hAnsiTheme="minorEastAsia"/>
          <w:b/>
          <w:szCs w:val="21"/>
        </w:rPr>
        <w:t>（二）签订合同前要处理的事宜：</w:t>
      </w:r>
    </w:p>
    <w:p>
      <w:pPr>
        <w:spacing w:line="360" w:lineRule="auto"/>
        <w:rPr>
          <w:rFonts w:asciiTheme="minorEastAsia" w:hAnsiTheme="minorEastAsia"/>
          <w:b/>
          <w:szCs w:val="21"/>
        </w:rPr>
      </w:pPr>
      <w:r>
        <w:rPr>
          <w:rFonts w:hint="eastAsia" w:asciiTheme="minorEastAsia" w:hAnsiTheme="minorEastAsia"/>
          <w:bCs/>
          <w:szCs w:val="21"/>
        </w:rPr>
        <w:t>招标人将根据《关于在招标投标活动中全面开展行贿犯罪档案查询的通知》文件指示对中标候选人的行贿犯罪记录进行查询，有行贿犯罪档案记录的中标候选人，取消中标候选人资格。</w:t>
      </w:r>
    </w:p>
    <w:p>
      <w:pPr>
        <w:rPr>
          <w:rFonts w:asciiTheme="minorEastAsia" w:hAnsiTheme="minorEastAsia"/>
          <w:b/>
          <w:szCs w:val="21"/>
        </w:rPr>
      </w:pPr>
      <w:r>
        <w:rPr>
          <w:rFonts w:hint="eastAsia" w:asciiTheme="minorEastAsia" w:hAnsiTheme="minorEastAsia"/>
          <w:b/>
          <w:szCs w:val="21"/>
        </w:rPr>
        <w:t>八、公示期</w:t>
      </w:r>
    </w:p>
    <w:p>
      <w:pPr>
        <w:spacing w:line="360" w:lineRule="auto"/>
        <w:rPr>
          <w:rFonts w:asciiTheme="minorEastAsia" w:hAnsiTheme="minorEastAsia"/>
          <w:szCs w:val="21"/>
        </w:rPr>
      </w:pPr>
      <w:r>
        <w:rPr>
          <w:rFonts w:hint="eastAsia" w:asciiTheme="minorEastAsia" w:hAnsiTheme="minorEastAsia"/>
          <w:szCs w:val="21"/>
        </w:rPr>
        <w:t>2018年5月</w:t>
      </w:r>
      <w:r>
        <w:rPr>
          <w:rFonts w:hint="eastAsia" w:asciiTheme="minorEastAsia" w:hAnsiTheme="minorEastAsia"/>
          <w:szCs w:val="21"/>
          <w:lang w:val="en-US" w:eastAsia="zh-CN"/>
        </w:rPr>
        <w:t>9</w:t>
      </w:r>
      <w:r>
        <w:rPr>
          <w:rFonts w:hint="eastAsia" w:asciiTheme="minorEastAsia" w:hAnsiTheme="minorEastAsia"/>
          <w:szCs w:val="21"/>
        </w:rPr>
        <w:t>日—2018年5月</w:t>
      </w:r>
      <w:r>
        <w:rPr>
          <w:rFonts w:hint="eastAsia" w:asciiTheme="minorEastAsia" w:hAnsiTheme="minorEastAsia"/>
          <w:szCs w:val="21"/>
          <w:lang w:val="en-US" w:eastAsia="zh-CN"/>
        </w:rPr>
        <w:t>14</w:t>
      </w:r>
      <w:r>
        <w:rPr>
          <w:rFonts w:hint="eastAsia" w:asciiTheme="minorEastAsia" w:hAnsiTheme="minorEastAsia"/>
          <w:szCs w:val="21"/>
        </w:rPr>
        <w:t>日</w:t>
      </w:r>
      <w:bookmarkStart w:id="0" w:name="_GoBack"/>
      <w:bookmarkEnd w:id="0"/>
    </w:p>
    <w:p>
      <w:pPr>
        <w:spacing w:line="360" w:lineRule="auto"/>
        <w:rPr>
          <w:rFonts w:asciiTheme="minorEastAsia" w:hAnsiTheme="minorEastAsia"/>
          <w:szCs w:val="21"/>
        </w:rPr>
      </w:pPr>
      <w:r>
        <w:rPr>
          <w:rFonts w:hint="eastAsia" w:asciiTheme="minorEastAsia" w:hAnsiTheme="minorEastAsia"/>
          <w:szCs w:val="21"/>
        </w:rPr>
        <w:t>如投标单位对本次公示有异议，请联系：</w:t>
      </w:r>
    </w:p>
    <w:p>
      <w:pPr>
        <w:spacing w:line="360" w:lineRule="auto"/>
        <w:rPr>
          <w:rFonts w:asciiTheme="minorEastAsia" w:hAnsiTheme="minorEastAsia"/>
          <w:szCs w:val="21"/>
        </w:rPr>
      </w:pPr>
      <w:r>
        <w:rPr>
          <w:rFonts w:hint="eastAsia" w:asciiTheme="minorEastAsia" w:hAnsiTheme="minorEastAsia"/>
          <w:szCs w:val="21"/>
        </w:rPr>
        <w:t>招 标 人：许昌市建设投资有限责任公司</w:t>
      </w:r>
    </w:p>
    <w:p>
      <w:pPr>
        <w:spacing w:line="360" w:lineRule="auto"/>
        <w:rPr>
          <w:rFonts w:asciiTheme="minorEastAsia" w:hAnsiTheme="minorEastAsia"/>
          <w:szCs w:val="21"/>
        </w:rPr>
      </w:pPr>
      <w:r>
        <w:rPr>
          <w:rFonts w:hint="eastAsia" w:asciiTheme="minorEastAsia" w:hAnsiTheme="minorEastAsia"/>
          <w:szCs w:val="21"/>
        </w:rPr>
        <w:t>联 系 人：海先生</w:t>
      </w:r>
    </w:p>
    <w:p>
      <w:pPr>
        <w:spacing w:line="360" w:lineRule="auto"/>
        <w:rPr>
          <w:rFonts w:asciiTheme="minorEastAsia" w:hAnsiTheme="minorEastAsia"/>
          <w:szCs w:val="21"/>
        </w:rPr>
      </w:pPr>
      <w:r>
        <w:rPr>
          <w:rFonts w:hint="eastAsia" w:asciiTheme="minorEastAsia" w:hAnsiTheme="minorEastAsia"/>
          <w:szCs w:val="21"/>
        </w:rPr>
        <w:t>联系电话：0374-2699106</w:t>
      </w:r>
    </w:p>
    <w:p>
      <w:pPr>
        <w:spacing w:line="360" w:lineRule="auto"/>
        <w:rPr>
          <w:rFonts w:asciiTheme="minorEastAsia" w:hAnsiTheme="minorEastAsia"/>
          <w:szCs w:val="21"/>
        </w:rPr>
      </w:pPr>
      <w:r>
        <w:rPr>
          <w:rFonts w:hint="eastAsia" w:asciiTheme="minorEastAsia" w:hAnsiTheme="minorEastAsia"/>
          <w:szCs w:val="21"/>
        </w:rPr>
        <w:t>监督部门：许昌市招标投标管理办公室</w:t>
      </w:r>
    </w:p>
    <w:p>
      <w:pPr>
        <w:spacing w:line="360" w:lineRule="auto"/>
        <w:rPr>
          <w:rFonts w:asciiTheme="minorEastAsia" w:hAnsiTheme="minorEastAsia"/>
          <w:szCs w:val="21"/>
        </w:rPr>
      </w:pPr>
      <w:r>
        <w:rPr>
          <w:rFonts w:hint="eastAsia" w:asciiTheme="minorEastAsia" w:hAnsiTheme="minorEastAsia"/>
          <w:szCs w:val="21"/>
        </w:rPr>
        <w:t>联 系 人：田女士</w:t>
      </w:r>
    </w:p>
    <w:p>
      <w:pPr>
        <w:spacing w:line="360" w:lineRule="auto"/>
        <w:rPr>
          <w:rFonts w:asciiTheme="minorEastAsia" w:hAnsiTheme="minorEastAsia"/>
          <w:szCs w:val="21"/>
        </w:rPr>
      </w:pPr>
      <w:r>
        <w:rPr>
          <w:rFonts w:hint="eastAsia" w:asciiTheme="minorEastAsia" w:hAnsiTheme="minorEastAsia"/>
          <w:szCs w:val="21"/>
        </w:rPr>
        <w:t>联系电话：0374-2161618</w:t>
      </w:r>
    </w:p>
    <w:p>
      <w:pPr>
        <w:spacing w:line="360" w:lineRule="auto"/>
        <w:rPr>
          <w:rFonts w:asciiTheme="minorEastAsia" w:hAnsiTheme="minorEastAsia"/>
          <w:szCs w:val="21"/>
        </w:rPr>
      </w:pPr>
      <w:r>
        <w:rPr>
          <w:rFonts w:hint="eastAsia" w:asciiTheme="minorEastAsia" w:hAnsiTheme="minorEastAsia"/>
          <w:szCs w:val="21"/>
        </w:rPr>
        <w:t xml:space="preserve">代理机构：河南省机电设备国际招标有限公司        </w:t>
      </w:r>
    </w:p>
    <w:p>
      <w:pPr>
        <w:spacing w:line="360" w:lineRule="auto"/>
        <w:rPr>
          <w:rFonts w:asciiTheme="minorEastAsia" w:hAnsiTheme="minorEastAsia"/>
          <w:szCs w:val="21"/>
        </w:rPr>
      </w:pPr>
      <w:r>
        <w:rPr>
          <w:rFonts w:hint="eastAsia" w:asciiTheme="minorEastAsia" w:hAnsiTheme="minorEastAsia"/>
          <w:szCs w:val="21"/>
        </w:rPr>
        <w:t>联 系 人：李先生</w:t>
      </w:r>
    </w:p>
    <w:p>
      <w:pPr>
        <w:spacing w:line="360" w:lineRule="auto"/>
        <w:rPr>
          <w:rFonts w:asciiTheme="minorEastAsia" w:hAnsiTheme="minorEastAsia"/>
          <w:szCs w:val="21"/>
        </w:rPr>
      </w:pPr>
      <w:r>
        <w:rPr>
          <w:rFonts w:hint="eastAsia" w:asciiTheme="minorEastAsia" w:hAnsiTheme="minorEastAsia"/>
          <w:szCs w:val="21"/>
        </w:rPr>
        <w:t>联系电话：0371-65954154</w:t>
      </w:r>
    </w:p>
    <w:p>
      <w:pPr>
        <w:spacing w:line="360" w:lineRule="auto"/>
        <w:rPr>
          <w:rFonts w:asciiTheme="minorEastAsia" w:hAnsiTheme="minorEastAsia"/>
          <w:b/>
          <w:szCs w:val="21"/>
        </w:rPr>
      </w:pPr>
      <w:r>
        <w:rPr>
          <w:rFonts w:hint="eastAsia" w:asciiTheme="minorEastAsia" w:hAnsiTheme="minorEastAsia"/>
          <w:b/>
          <w:szCs w:val="21"/>
        </w:rPr>
        <w:t>九、联系方式</w:t>
      </w:r>
    </w:p>
    <w:p>
      <w:pPr>
        <w:spacing w:line="360" w:lineRule="auto"/>
        <w:rPr>
          <w:rFonts w:asciiTheme="minorEastAsia" w:hAnsiTheme="minorEastAsia"/>
          <w:szCs w:val="21"/>
        </w:rPr>
      </w:pPr>
      <w:r>
        <w:rPr>
          <w:rFonts w:hint="eastAsia" w:asciiTheme="minorEastAsia" w:hAnsiTheme="minorEastAsia"/>
          <w:szCs w:val="21"/>
        </w:rPr>
        <w:t>招 标 人：许昌市建设投资有限责任公司</w:t>
      </w:r>
    </w:p>
    <w:p>
      <w:pPr>
        <w:spacing w:line="360" w:lineRule="auto"/>
        <w:rPr>
          <w:rFonts w:asciiTheme="minorEastAsia" w:hAnsiTheme="minorEastAsia"/>
          <w:szCs w:val="21"/>
        </w:rPr>
      </w:pPr>
      <w:r>
        <w:rPr>
          <w:rFonts w:hint="eastAsia" w:asciiTheme="minorEastAsia" w:hAnsiTheme="minorEastAsia"/>
          <w:szCs w:val="21"/>
        </w:rPr>
        <w:t>联 系 人：海先生</w:t>
      </w:r>
    </w:p>
    <w:p>
      <w:pPr>
        <w:spacing w:line="360" w:lineRule="auto"/>
        <w:rPr>
          <w:rFonts w:asciiTheme="minorEastAsia" w:hAnsiTheme="minorEastAsia"/>
          <w:szCs w:val="21"/>
        </w:rPr>
      </w:pPr>
      <w:r>
        <w:rPr>
          <w:rFonts w:hint="eastAsia" w:asciiTheme="minorEastAsia" w:hAnsiTheme="minorEastAsia"/>
          <w:szCs w:val="21"/>
        </w:rPr>
        <w:t>联系电话：0374-2699106</w:t>
      </w:r>
    </w:p>
    <w:p>
      <w:pPr>
        <w:spacing w:line="360" w:lineRule="auto"/>
        <w:rPr>
          <w:rFonts w:asciiTheme="minorEastAsia" w:hAnsiTheme="minorEastAsia"/>
          <w:szCs w:val="21"/>
        </w:rPr>
      </w:pPr>
      <w:r>
        <w:rPr>
          <w:rFonts w:hint="eastAsia" w:asciiTheme="minorEastAsia" w:hAnsiTheme="minorEastAsia"/>
          <w:szCs w:val="21"/>
        </w:rPr>
        <w:t xml:space="preserve">代理机构：河南省机电设备国际招标有限公司        </w:t>
      </w:r>
    </w:p>
    <w:p>
      <w:pPr>
        <w:spacing w:line="360" w:lineRule="auto"/>
        <w:rPr>
          <w:rFonts w:asciiTheme="minorEastAsia" w:hAnsiTheme="minorEastAsia"/>
          <w:szCs w:val="21"/>
        </w:rPr>
      </w:pPr>
      <w:r>
        <w:rPr>
          <w:rFonts w:hint="eastAsia" w:asciiTheme="minorEastAsia" w:hAnsiTheme="minorEastAsia"/>
          <w:szCs w:val="21"/>
        </w:rPr>
        <w:t>联 系 人：李先生</w:t>
      </w:r>
    </w:p>
    <w:p>
      <w:pPr>
        <w:spacing w:line="360" w:lineRule="auto"/>
        <w:rPr>
          <w:rFonts w:asciiTheme="minorEastAsia" w:hAnsiTheme="minorEastAsia"/>
          <w:szCs w:val="21"/>
        </w:rPr>
      </w:pPr>
      <w:r>
        <w:rPr>
          <w:rFonts w:hint="eastAsia" w:asciiTheme="minorEastAsia" w:hAnsiTheme="minorEastAsia"/>
          <w:szCs w:val="21"/>
        </w:rPr>
        <w:t>联系电话：0371-65954154</w:t>
      </w:r>
    </w:p>
    <w:p>
      <w:pPr>
        <w:spacing w:line="360" w:lineRule="auto"/>
        <w:rPr>
          <w:rFonts w:asciiTheme="minorEastAsia" w:hAnsiTheme="minorEastAsia"/>
          <w:szCs w:val="21"/>
        </w:rPr>
      </w:pPr>
      <w:r>
        <w:rPr>
          <w:rFonts w:hint="eastAsia" w:asciiTheme="minorEastAsia" w:hAnsiTheme="minorEastAsia"/>
          <w:szCs w:val="21"/>
        </w:rPr>
        <w:t> </w:t>
      </w:r>
    </w:p>
    <w:p>
      <w:pPr>
        <w:spacing w:line="360" w:lineRule="auto"/>
        <w:jc w:val="right"/>
        <w:rPr>
          <w:rFonts w:asciiTheme="minorEastAsia" w:hAnsiTheme="minorEastAsia"/>
          <w:szCs w:val="21"/>
        </w:rPr>
      </w:pPr>
      <w:r>
        <w:rPr>
          <w:rFonts w:hint="eastAsia" w:asciiTheme="minorEastAsia" w:hAnsiTheme="minorEastAsia"/>
          <w:szCs w:val="21"/>
        </w:rPr>
        <w:t>许昌市建设投资有限责任公司</w:t>
      </w:r>
    </w:p>
    <w:p>
      <w:pPr>
        <w:spacing w:line="360" w:lineRule="auto"/>
        <w:rPr>
          <w:rFonts w:asciiTheme="minorEastAsia" w:hAnsiTheme="minorEastAsia"/>
          <w:b/>
          <w:szCs w:val="21"/>
        </w:rPr>
      </w:pPr>
      <w:r>
        <w:rPr>
          <w:rFonts w:hint="eastAsia" w:asciiTheme="minorEastAsia" w:hAnsiTheme="minorEastAsia"/>
          <w:szCs w:val="21"/>
        </w:rPr>
        <w:t>                                   2018年5月</w:t>
      </w:r>
      <w:r>
        <w:rPr>
          <w:rFonts w:hint="eastAsia" w:asciiTheme="minorEastAsia" w:hAnsiTheme="minorEastAsia"/>
          <w:szCs w:val="21"/>
          <w:lang w:val="en-US" w:eastAsia="zh-CN"/>
        </w:rPr>
        <w:t>9</w:t>
      </w:r>
      <w:r>
        <w:rPr>
          <w:rFonts w:hint="eastAsia" w:asciiTheme="minorEastAsia" w:hAnsiTheme="minor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3D5E"/>
    <w:rsid w:val="00002748"/>
    <w:rsid w:val="00184C41"/>
    <w:rsid w:val="001925E3"/>
    <w:rsid w:val="001B2136"/>
    <w:rsid w:val="00223B1D"/>
    <w:rsid w:val="00232A57"/>
    <w:rsid w:val="00342081"/>
    <w:rsid w:val="004172E9"/>
    <w:rsid w:val="004307A3"/>
    <w:rsid w:val="00466433"/>
    <w:rsid w:val="006A4B52"/>
    <w:rsid w:val="006B4A54"/>
    <w:rsid w:val="006F3FF1"/>
    <w:rsid w:val="00700C81"/>
    <w:rsid w:val="0086481C"/>
    <w:rsid w:val="008D5E14"/>
    <w:rsid w:val="00A239F6"/>
    <w:rsid w:val="00B31AD8"/>
    <w:rsid w:val="00B62EEC"/>
    <w:rsid w:val="00C26144"/>
    <w:rsid w:val="00CC3D5E"/>
    <w:rsid w:val="00CE0A8C"/>
    <w:rsid w:val="00D50950"/>
    <w:rsid w:val="00E07ECF"/>
    <w:rsid w:val="00F004BF"/>
    <w:rsid w:val="00FE4EAE"/>
    <w:rsid w:val="016E5999"/>
    <w:rsid w:val="30BE3FE0"/>
    <w:rsid w:val="350A1734"/>
    <w:rsid w:val="49E07E03"/>
    <w:rsid w:val="7AE06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rFonts w:ascii="Arial" w:hAnsi="Arial" w:eastAsia="宋体" w:cs="Arial"/>
      <w:b/>
      <w:bCs/>
      <w:color w:val="000000"/>
      <w:kern w:val="0"/>
      <w:sz w:val="32"/>
      <w:szCs w:val="32"/>
    </w:rPr>
  </w:style>
  <w:style w:type="paragraph" w:styleId="3">
    <w:name w:val="heading 2"/>
    <w:basedOn w:val="1"/>
    <w:next w:val="1"/>
    <w:link w:val="22"/>
    <w:qFormat/>
    <w:uiPriority w:val="99"/>
    <w:pPr>
      <w:autoSpaceDE w:val="0"/>
      <w:autoSpaceDN w:val="0"/>
      <w:adjustRightInd w:val="0"/>
      <w:jc w:val="left"/>
      <w:outlineLvl w:val="1"/>
    </w:pPr>
    <w:rPr>
      <w:rFonts w:ascii="Arial" w:hAnsi="Arial" w:eastAsia="宋体" w:cs="Arial"/>
      <w:b/>
      <w:bCs/>
      <w:i/>
      <w:iCs/>
      <w:color w:val="000000"/>
      <w:kern w:val="0"/>
      <w:sz w:val="28"/>
      <w:szCs w:val="28"/>
    </w:rPr>
  </w:style>
  <w:style w:type="paragraph" w:styleId="4">
    <w:name w:val="heading 3"/>
    <w:basedOn w:val="1"/>
    <w:next w:val="1"/>
    <w:link w:val="23"/>
    <w:qFormat/>
    <w:uiPriority w:val="99"/>
    <w:pPr>
      <w:autoSpaceDE w:val="0"/>
      <w:autoSpaceDN w:val="0"/>
      <w:adjustRightInd w:val="0"/>
      <w:jc w:val="left"/>
      <w:outlineLvl w:val="2"/>
    </w:pPr>
    <w:rPr>
      <w:rFonts w:ascii="Arial" w:hAnsi="Arial" w:eastAsia="宋体" w:cs="Arial"/>
      <w:b/>
      <w:bCs/>
      <w:color w:val="000000"/>
      <w:kern w:val="0"/>
      <w:sz w:val="26"/>
      <w:szCs w:val="26"/>
    </w:rPr>
  </w:style>
  <w:style w:type="paragraph" w:styleId="5">
    <w:name w:val="heading 6"/>
    <w:basedOn w:val="1"/>
    <w:next w:val="1"/>
    <w:link w:val="24"/>
    <w:semiHidden/>
    <w:unhideWhenUsed/>
    <w:qFormat/>
    <w:uiPriority w:val="9"/>
    <w:pPr>
      <w:keepNext/>
      <w:keepLines/>
      <w:autoSpaceDE w:val="0"/>
      <w:autoSpaceDN w:val="0"/>
      <w:adjustRightInd w:val="0"/>
      <w:spacing w:before="240" w:after="64" w:line="320" w:lineRule="auto"/>
      <w:jc w:val="left"/>
      <w:outlineLvl w:val="5"/>
    </w:pPr>
    <w:rPr>
      <w:rFonts w:ascii="Cambria" w:hAnsi="Cambria" w:eastAsia="宋体" w:cs="Times New Roman"/>
      <w:b/>
      <w:bCs/>
      <w:color w:val="000000"/>
      <w:kern w:val="0"/>
      <w:sz w:val="24"/>
      <w:szCs w:val="24"/>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20"/>
    <w:unhideWhenUsed/>
    <w:qFormat/>
    <w:uiPriority w:val="99"/>
    <w:pPr>
      <w:autoSpaceDE w:val="0"/>
      <w:autoSpaceDN w:val="0"/>
      <w:adjustRightInd w:val="0"/>
      <w:ind w:firstLine="420" w:firstLineChars="100"/>
      <w:jc w:val="left"/>
    </w:pPr>
    <w:rPr>
      <w:rFonts w:ascii="Arial" w:hAnsi="Arial" w:eastAsia="宋体" w:cs="Arial"/>
      <w:color w:val="000000"/>
      <w:kern w:val="0"/>
      <w:sz w:val="24"/>
      <w:szCs w:val="24"/>
    </w:rPr>
  </w:style>
  <w:style w:type="paragraph" w:styleId="7">
    <w:name w:val="Body Text"/>
    <w:basedOn w:val="1"/>
    <w:link w:val="19"/>
    <w:unhideWhenUsed/>
    <w:qFormat/>
    <w:uiPriority w:val="99"/>
    <w:pPr>
      <w:spacing w:after="120"/>
    </w:pPr>
  </w:style>
  <w:style w:type="paragraph" w:styleId="8">
    <w:name w:val="Balloon Text"/>
    <w:basedOn w:val="1"/>
    <w:link w:val="26"/>
    <w:unhideWhenUsed/>
    <w:qFormat/>
    <w:uiPriority w:val="99"/>
    <w:pPr>
      <w:autoSpaceDE w:val="0"/>
      <w:autoSpaceDN w:val="0"/>
      <w:adjustRightInd w:val="0"/>
      <w:jc w:val="left"/>
    </w:pPr>
    <w:rPr>
      <w:rFonts w:ascii="Arial" w:hAnsi="Arial" w:cs="Arial"/>
      <w:color w:val="000000"/>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ascii="Calibri" w:hAnsi="Calibri" w:eastAsia="宋体" w:cs="Arial"/>
      <w:kern w:val="0"/>
      <w:sz w:val="24"/>
      <w:szCs w:val="24"/>
    </w:rPr>
  </w:style>
  <w:style w:type="character" w:styleId="13">
    <w:name w:val="FollowedHyperlink"/>
    <w:basedOn w:val="12"/>
    <w:semiHidden/>
    <w:unhideWhenUsed/>
    <w:uiPriority w:val="99"/>
    <w:rPr>
      <w:color w:val="000000"/>
      <w:u w:val="none"/>
    </w:rPr>
  </w:style>
  <w:style w:type="character" w:styleId="14">
    <w:name w:val="Emphasis"/>
    <w:basedOn w:val="12"/>
    <w:qFormat/>
    <w:uiPriority w:val="20"/>
  </w:style>
  <w:style w:type="character" w:styleId="15">
    <w:name w:val="Hyperlink"/>
    <w:basedOn w:val="12"/>
    <w:unhideWhenUsed/>
    <w:qFormat/>
    <w:uiPriority w:val="99"/>
    <w:rPr>
      <w:color w:val="0000FF" w:themeColor="hyperlink"/>
      <w:u w:val="single"/>
    </w:rPr>
  </w:style>
  <w:style w:type="character" w:customStyle="1" w:styleId="17">
    <w:name w:val="页眉 Char"/>
    <w:basedOn w:val="12"/>
    <w:link w:val="10"/>
    <w:semiHidden/>
    <w:qFormat/>
    <w:uiPriority w:val="99"/>
    <w:rPr>
      <w:sz w:val="18"/>
      <w:szCs w:val="18"/>
    </w:rPr>
  </w:style>
  <w:style w:type="character" w:customStyle="1" w:styleId="18">
    <w:name w:val="页脚 Char"/>
    <w:basedOn w:val="12"/>
    <w:link w:val="9"/>
    <w:qFormat/>
    <w:uiPriority w:val="99"/>
    <w:rPr>
      <w:sz w:val="18"/>
      <w:szCs w:val="18"/>
    </w:rPr>
  </w:style>
  <w:style w:type="character" w:customStyle="1" w:styleId="19">
    <w:name w:val="正文文本 Char"/>
    <w:basedOn w:val="12"/>
    <w:link w:val="7"/>
    <w:semiHidden/>
    <w:qFormat/>
    <w:uiPriority w:val="99"/>
  </w:style>
  <w:style w:type="character" w:customStyle="1" w:styleId="20">
    <w:name w:val="正文首行缩进 Char"/>
    <w:basedOn w:val="19"/>
    <w:link w:val="6"/>
    <w:qFormat/>
    <w:uiPriority w:val="99"/>
    <w:rPr>
      <w:rFonts w:ascii="Arial" w:hAnsi="Arial" w:eastAsia="宋体" w:cs="Arial"/>
      <w:color w:val="000000"/>
      <w:kern w:val="0"/>
      <w:sz w:val="24"/>
      <w:szCs w:val="24"/>
    </w:rPr>
  </w:style>
  <w:style w:type="character" w:customStyle="1" w:styleId="21">
    <w:name w:val="标题 1 Char"/>
    <w:basedOn w:val="12"/>
    <w:link w:val="2"/>
    <w:qFormat/>
    <w:uiPriority w:val="99"/>
    <w:rPr>
      <w:rFonts w:ascii="Arial" w:hAnsi="Arial" w:eastAsia="宋体" w:cs="Arial"/>
      <w:b/>
      <w:bCs/>
      <w:color w:val="000000"/>
      <w:kern w:val="0"/>
      <w:sz w:val="32"/>
      <w:szCs w:val="32"/>
    </w:rPr>
  </w:style>
  <w:style w:type="character" w:customStyle="1" w:styleId="22">
    <w:name w:val="标题 2 Char"/>
    <w:basedOn w:val="12"/>
    <w:link w:val="3"/>
    <w:qFormat/>
    <w:uiPriority w:val="99"/>
    <w:rPr>
      <w:rFonts w:ascii="Arial" w:hAnsi="Arial" w:eastAsia="宋体" w:cs="Arial"/>
      <w:b/>
      <w:bCs/>
      <w:i/>
      <w:iCs/>
      <w:color w:val="000000"/>
      <w:kern w:val="0"/>
      <w:sz w:val="28"/>
      <w:szCs w:val="28"/>
    </w:rPr>
  </w:style>
  <w:style w:type="character" w:customStyle="1" w:styleId="23">
    <w:name w:val="标题 3 Char"/>
    <w:basedOn w:val="12"/>
    <w:link w:val="4"/>
    <w:qFormat/>
    <w:uiPriority w:val="99"/>
    <w:rPr>
      <w:rFonts w:ascii="Arial" w:hAnsi="Arial" w:eastAsia="宋体" w:cs="Arial"/>
      <w:b/>
      <w:bCs/>
      <w:color w:val="000000"/>
      <w:kern w:val="0"/>
      <w:sz w:val="26"/>
      <w:szCs w:val="26"/>
    </w:rPr>
  </w:style>
  <w:style w:type="character" w:customStyle="1" w:styleId="24">
    <w:name w:val="标题 6 Char"/>
    <w:basedOn w:val="12"/>
    <w:link w:val="5"/>
    <w:semiHidden/>
    <w:qFormat/>
    <w:uiPriority w:val="9"/>
    <w:rPr>
      <w:rFonts w:ascii="Cambria" w:hAnsi="Cambria" w:eastAsia="宋体" w:cs="Times New Roman"/>
      <w:b/>
      <w:bCs/>
      <w:color w:val="000000"/>
      <w:kern w:val="0"/>
      <w:sz w:val="24"/>
      <w:szCs w:val="24"/>
    </w:rPr>
  </w:style>
  <w:style w:type="character" w:customStyle="1" w:styleId="25">
    <w:name w:val="批注框文本 Char"/>
    <w:basedOn w:val="12"/>
    <w:link w:val="8"/>
    <w:qFormat/>
    <w:uiPriority w:val="99"/>
    <w:rPr>
      <w:rFonts w:ascii="Arial" w:hAnsi="Arial" w:cs="Arial"/>
      <w:color w:val="000000"/>
      <w:sz w:val="18"/>
      <w:szCs w:val="18"/>
    </w:rPr>
  </w:style>
  <w:style w:type="character" w:customStyle="1" w:styleId="26">
    <w:name w:val="批注框文本 Char1"/>
    <w:basedOn w:val="12"/>
    <w:link w:val="8"/>
    <w:semiHidden/>
    <w:qFormat/>
    <w:uiPriority w:val="99"/>
    <w:rPr>
      <w:sz w:val="18"/>
      <w:szCs w:val="18"/>
    </w:rPr>
  </w:style>
  <w:style w:type="character" w:customStyle="1" w:styleId="27">
    <w:name w:val="正文文本缩进 3 Char2"/>
    <w:qFormat/>
    <w:uiPriority w:val="0"/>
    <w:rPr>
      <w:rFonts w:ascii="Times New Roman" w:hAnsi="Times New Roman" w:eastAsia="宋体" w:cs="Times New Roman"/>
      <w:sz w:val="16"/>
      <w:szCs w:val="16"/>
    </w:rPr>
  </w:style>
  <w:style w:type="character" w:customStyle="1" w:styleId="28">
    <w:name w:val="正文首行缩进 Char Char"/>
    <w:link w:val="29"/>
    <w:uiPriority w:val="0"/>
    <w:rPr>
      <w:rFonts w:ascii="宋体"/>
      <w:sz w:val="34"/>
      <w:szCs w:val="24"/>
    </w:rPr>
  </w:style>
  <w:style w:type="paragraph" w:customStyle="1" w:styleId="29">
    <w:name w:val="正文首行缩进1"/>
    <w:basedOn w:val="7"/>
    <w:link w:val="28"/>
    <w:qFormat/>
    <w:uiPriority w:val="0"/>
    <w:pPr>
      <w:autoSpaceDE w:val="0"/>
      <w:autoSpaceDN w:val="0"/>
      <w:adjustRightInd w:val="0"/>
      <w:spacing w:line="360" w:lineRule="auto"/>
      <w:ind w:firstLine="420" w:firstLineChars="100"/>
      <w:jc w:val="left"/>
      <w:textAlignment w:val="baseline"/>
    </w:pPr>
    <w:rPr>
      <w:rFonts w:ascii="宋体"/>
      <w:sz w:val="34"/>
      <w:szCs w:val="24"/>
    </w:rPr>
  </w:style>
  <w:style w:type="character" w:customStyle="1" w:styleId="30">
    <w:name w:val="red"/>
    <w:basedOn w:val="12"/>
    <w:uiPriority w:val="0"/>
    <w:rPr>
      <w:color w:val="FF0000"/>
      <w:sz w:val="18"/>
      <w:szCs w:val="18"/>
    </w:rPr>
  </w:style>
  <w:style w:type="character" w:customStyle="1" w:styleId="31">
    <w:name w:val="red1"/>
    <w:basedOn w:val="12"/>
    <w:uiPriority w:val="0"/>
    <w:rPr>
      <w:color w:val="FF0000"/>
      <w:sz w:val="18"/>
      <w:szCs w:val="18"/>
    </w:rPr>
  </w:style>
  <w:style w:type="character" w:customStyle="1" w:styleId="32">
    <w:name w:val="red2"/>
    <w:basedOn w:val="12"/>
    <w:uiPriority w:val="0"/>
    <w:rPr>
      <w:color w:val="FF0000"/>
    </w:rPr>
  </w:style>
  <w:style w:type="character" w:customStyle="1" w:styleId="33">
    <w:name w:val="hover25"/>
    <w:basedOn w:val="12"/>
    <w:uiPriority w:val="0"/>
  </w:style>
  <w:style w:type="character" w:customStyle="1" w:styleId="34">
    <w:name w:val="green"/>
    <w:basedOn w:val="12"/>
    <w:uiPriority w:val="0"/>
    <w:rPr>
      <w:color w:val="66AE00"/>
      <w:sz w:val="18"/>
      <w:szCs w:val="18"/>
    </w:rPr>
  </w:style>
  <w:style w:type="character" w:customStyle="1" w:styleId="35">
    <w:name w:val="green1"/>
    <w:basedOn w:val="12"/>
    <w:uiPriority w:val="0"/>
    <w:rPr>
      <w:color w:val="66AE00"/>
      <w:sz w:val="18"/>
      <w:szCs w:val="18"/>
    </w:rPr>
  </w:style>
  <w:style w:type="character" w:customStyle="1" w:styleId="36">
    <w:name w:val="gb-jt"/>
    <w:basedOn w:val="12"/>
    <w:uiPriority w:val="0"/>
  </w:style>
  <w:style w:type="character" w:customStyle="1" w:styleId="37">
    <w:name w:val="blue"/>
    <w:basedOn w:val="12"/>
    <w:uiPriority w:val="0"/>
    <w:rPr>
      <w:color w:val="0371C6"/>
      <w:sz w:val="21"/>
      <w:szCs w:val="21"/>
    </w:rPr>
  </w:style>
  <w:style w:type="character" w:customStyle="1" w:styleId="38">
    <w:name w:val="right"/>
    <w:basedOn w:val="12"/>
    <w:uiPriority w:val="0"/>
    <w:rPr>
      <w:color w:val="999999"/>
      <w:sz w:val="18"/>
      <w:szCs w:val="18"/>
    </w:rPr>
  </w:style>
  <w:style w:type="character" w:customStyle="1" w:styleId="39">
    <w:name w:val="hov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1389-E919-4FC7-A150-A8E4905FED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2687</Words>
  <Characters>15320</Characters>
  <Lines>127</Lines>
  <Paragraphs>35</Paragraphs>
  <TotalTime>4</TotalTime>
  <ScaleCrop>false</ScaleCrop>
  <LinksUpToDate>false</LinksUpToDate>
  <CharactersWithSpaces>17972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2018-05-06T09:35:00Z</dcterms:created>
  <dc:creator>NTKO</dc:creator>
  <cp:lastModifiedBy>河南省机电设备国际招标有限公司:河南省机电设备国际招标有限公司</cp:lastModifiedBy>
  <cp:lastPrinted>2018-05-07T00:26:00Z</cp:lastPrinted>
  <dcterms:modified xsi:type="dcterms:W3CDTF">2018-05-09T03:46:15Z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