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360" w:lineRule="auto"/>
        <w:ind w:firstLine="960"/>
        <w:jc w:val="center"/>
        <w:rPr>
          <w:rFonts w:ascii="仿宋_GB2312" w:hAnsi="微软雅黑" w:eastAsia="仿宋_GB2312" w:cs="仿宋_GB2312"/>
          <w:b/>
          <w:color w:val="000000"/>
          <w:sz w:val="32"/>
          <w:szCs w:val="32"/>
        </w:rPr>
      </w:pPr>
      <w:r>
        <w:rPr>
          <w:rFonts w:hint="eastAsia" w:ascii="仿宋_GB2312" w:hAnsi="微软雅黑" w:eastAsia="仿宋_GB2312" w:cs="仿宋_GB2312"/>
          <w:b/>
          <w:color w:val="000000"/>
          <w:sz w:val="32"/>
          <w:szCs w:val="32"/>
        </w:rPr>
        <w:t>许昌市人民防空办公室办公楼物业管理服务项目</w:t>
      </w:r>
    </w:p>
    <w:p>
      <w:pPr>
        <w:shd w:val="clear" w:color="auto" w:fill="FFFFFF"/>
        <w:adjustRightInd/>
        <w:snapToGrid/>
        <w:spacing w:after="0" w:line="360" w:lineRule="auto"/>
        <w:ind w:firstLine="960"/>
        <w:jc w:val="center"/>
        <w:rPr>
          <w:rFonts w:ascii="仿宋_GB2312" w:hAnsi="微软雅黑" w:eastAsia="仿宋_GB2312" w:cs="仿宋_GB2312"/>
          <w:b/>
          <w:color w:val="000000"/>
          <w:sz w:val="32"/>
          <w:szCs w:val="32"/>
        </w:rPr>
      </w:pPr>
      <w:r>
        <w:rPr>
          <w:rFonts w:hint="eastAsia" w:ascii="仿宋_GB2312" w:hAnsi="微软雅黑" w:eastAsia="仿宋_GB2312" w:cs="仿宋_GB2312"/>
          <w:b/>
          <w:color w:val="000000"/>
          <w:sz w:val="32"/>
          <w:szCs w:val="32"/>
        </w:rPr>
        <w:t>采购需求、评标标准等说明</w:t>
      </w:r>
    </w:p>
    <w:p>
      <w:pPr>
        <w:shd w:val="clear" w:color="auto" w:fill="FFFFFF"/>
        <w:adjustRightInd/>
        <w:snapToGrid/>
        <w:spacing w:after="0" w:line="360" w:lineRule="auto"/>
        <w:ind w:firstLine="600"/>
        <w:rPr>
          <w:rFonts w:hint="eastAsia" w:ascii="黑体" w:hAnsi="宋体" w:eastAsia="黑体"/>
          <w:color w:val="000000"/>
          <w:sz w:val="30"/>
          <w:szCs w:val="30"/>
        </w:rPr>
      </w:pP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宋体" w:eastAsia="黑体"/>
          <w:color w:val="000000"/>
          <w:sz w:val="30"/>
          <w:szCs w:val="30"/>
        </w:rPr>
        <w:t>一、项目概况</w:t>
      </w:r>
    </w:p>
    <w:p>
      <w:pPr>
        <w:shd w:val="clear" w:color="auto" w:fill="FFFFFF"/>
        <w:adjustRightInd/>
        <w:snapToGrid/>
        <w:spacing w:after="0" w:line="360" w:lineRule="auto"/>
        <w:ind w:left="440" w:leftChars="200" w:firstLine="150" w:firstLineChars="50"/>
        <w:rPr>
          <w:rFonts w:ascii="宋体" w:hAnsi="宋体" w:eastAsia="宋体" w:cs="宋体"/>
          <w:color w:val="000000"/>
          <w:sz w:val="24"/>
          <w:szCs w:val="24"/>
        </w:rPr>
      </w:pPr>
      <w:r>
        <w:rPr>
          <w:rFonts w:hint="eastAsia" w:ascii="仿宋" w:hAnsi="仿宋" w:eastAsia="仿宋" w:cs="仿宋"/>
          <w:color w:val="000000"/>
          <w:sz w:val="30"/>
          <w:szCs w:val="30"/>
        </w:rPr>
        <w:t>（一）项目名称：许昌市人民防空办公室办公楼物业管理服务项目</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 xml:space="preserve">（二）采购方式：公开招标 </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（三）主要内容、数量及要求：本项目为许昌市人民防空办公室办公楼物业管理，包含主楼地上10层、地下1层。</w:t>
      </w:r>
    </w:p>
    <w:p>
      <w:pPr>
        <w:shd w:val="clear" w:color="auto" w:fill="FFFFFF"/>
        <w:adjustRightInd/>
        <w:snapToGrid/>
        <w:spacing w:after="0" w:line="360" w:lineRule="auto"/>
        <w:ind w:firstLine="600"/>
        <w:rPr>
          <w:rFonts w:ascii="宋体" w:hAnsi="宋体" w:eastAsia="宋体" w:cs="宋体"/>
          <w:sz w:val="24"/>
          <w:szCs w:val="24"/>
        </w:rPr>
      </w:pPr>
      <w:r>
        <w:rPr>
          <w:rFonts w:hint="eastAsia" w:ascii="仿宋" w:hAnsi="仿宋" w:eastAsia="仿宋" w:cs="仿宋"/>
          <w:color w:val="000000"/>
          <w:sz w:val="30"/>
          <w:szCs w:val="30"/>
        </w:rPr>
        <w:t>（四）预算金额：90万元，最高</w:t>
      </w:r>
      <w:r>
        <w:rPr>
          <w:rFonts w:hint="eastAsia" w:ascii="仿宋" w:hAnsi="仿宋" w:eastAsia="仿宋" w:cs="仿宋"/>
          <w:sz w:val="30"/>
          <w:szCs w:val="30"/>
        </w:rPr>
        <w:t>限价：90万元。</w:t>
      </w:r>
    </w:p>
    <w:p>
      <w:pPr>
        <w:shd w:val="clear" w:color="auto" w:fill="FFFFFF"/>
        <w:adjustRightInd/>
        <w:snapToGrid/>
        <w:spacing w:after="0" w:line="360" w:lineRule="auto"/>
        <w:ind w:firstLine="600"/>
        <w:rPr>
          <w:rFonts w:ascii="宋体" w:hAnsi="宋体" w:eastAsia="宋体" w:cs="宋体"/>
          <w:sz w:val="24"/>
          <w:szCs w:val="24"/>
        </w:rPr>
      </w:pPr>
      <w:r>
        <w:rPr>
          <w:rFonts w:hint="eastAsia" w:ascii="仿宋" w:hAnsi="仿宋" w:eastAsia="仿宋" w:cs="仿宋"/>
          <w:sz w:val="30"/>
          <w:szCs w:val="30"/>
        </w:rPr>
        <w:t>（五）服务时间：自合同生效之日起一年。</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（六）服务地点：许昌市人民防空办公室。</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（七）分包：不允许</w:t>
      </w:r>
      <w:r>
        <w:rPr>
          <w:rFonts w:ascii="Arial" w:hAnsi="Arial" w:eastAsia="仿宋" w:cs="Arial"/>
          <w:color w:val="000000"/>
          <w:sz w:val="32"/>
        </w:rPr>
        <w:fldChar w:fldCharType="begin"/>
      </w:r>
      <w:r>
        <w:rPr>
          <w:rFonts w:ascii="Arial" w:hAnsi="Arial" w:eastAsia="仿宋" w:cs="Arial"/>
          <w:color w:val="000000"/>
          <w:sz w:val="32"/>
        </w:rPr>
        <w:instrText xml:space="preserve"> EQ \o\ac(</w:instrText>
      </w:r>
      <w:r>
        <w:rPr>
          <w:rFonts w:hint="eastAsia" w:ascii="Arial" w:hAnsi="Arial" w:eastAsia="仿宋" w:cs="Arial"/>
          <w:color w:val="000000"/>
          <w:sz w:val="32"/>
        </w:rPr>
        <w:instrText xml:space="preserve">□</w:instrText>
      </w:r>
      <w:r>
        <w:rPr>
          <w:rFonts w:ascii="Arial" w:hAnsi="Arial" w:eastAsia="仿宋" w:cs="Arial"/>
          <w:color w:val="000000"/>
          <w:sz w:val="32"/>
        </w:rPr>
        <w:instrText xml:space="preserve">,</w:instrText>
      </w:r>
      <w:r>
        <w:rPr>
          <w:rFonts w:ascii="Arial" w:hAnsi="Arial" w:eastAsia="仿宋" w:cs="Arial"/>
          <w:color w:val="000000"/>
          <w:position w:val="3"/>
        </w:rPr>
        <w:instrText xml:space="preserve">√</w:instrText>
      </w:r>
      <w:r>
        <w:rPr>
          <w:rFonts w:ascii="Arial" w:hAnsi="Arial" w:eastAsia="仿宋" w:cs="Arial"/>
          <w:color w:val="000000"/>
          <w:sz w:val="32"/>
        </w:rPr>
        <w:instrText xml:space="preserve">)</w:instrText>
      </w:r>
      <w:r>
        <w:rPr>
          <w:rFonts w:ascii="Arial" w:hAnsi="Arial" w:eastAsia="仿宋" w:cs="Arial"/>
          <w:color w:val="000000"/>
          <w:sz w:val="32"/>
        </w:rPr>
        <w:fldChar w:fldCharType="end"/>
      </w:r>
      <w:r>
        <w:rPr>
          <w:rFonts w:hint="eastAsia" w:ascii="楷体" w:hAnsi="楷体" w:eastAsia="楷体" w:cs="宋体"/>
          <w:color w:val="000000"/>
          <w:sz w:val="28"/>
          <w:szCs w:val="28"/>
          <w:lang w:val="zh-CN"/>
        </w:rPr>
        <w:t>。</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宋体" w:eastAsia="黑体"/>
          <w:color w:val="000000"/>
          <w:sz w:val="30"/>
          <w:szCs w:val="30"/>
        </w:rPr>
        <w:t>二、需要落实的政府采购政策</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本项目落实中小微型企业扶持</w:t>
      </w:r>
      <w:r>
        <w:rPr>
          <w:rFonts w:hint="eastAsia" w:ascii="楷体" w:hAnsi="楷体" w:eastAsia="楷体" w:cs="宋体"/>
          <w:color w:val="000000"/>
          <w:sz w:val="28"/>
          <w:szCs w:val="28"/>
          <w:lang w:val="zh-CN"/>
        </w:rPr>
        <w:t>√</w:t>
      </w:r>
      <w:r>
        <w:rPr>
          <w:rFonts w:hint="eastAsia" w:ascii="仿宋" w:hAnsi="仿宋" w:eastAsia="仿宋" w:cs="仿宋"/>
          <w:color w:val="000000"/>
          <w:sz w:val="30"/>
          <w:szCs w:val="30"/>
        </w:rPr>
        <w:t>、残疾人福利性单位扶持</w:t>
      </w:r>
      <w:r>
        <w:rPr>
          <w:rFonts w:hint="eastAsia" w:ascii="楷体" w:hAnsi="楷体" w:eastAsia="楷体" w:cs="宋体"/>
          <w:color w:val="000000"/>
          <w:sz w:val="28"/>
          <w:szCs w:val="28"/>
          <w:lang w:val="zh-CN"/>
        </w:rPr>
        <w:t>√</w:t>
      </w:r>
      <w:r>
        <w:rPr>
          <w:rFonts w:hint="eastAsia" w:ascii="仿宋" w:hAnsi="仿宋" w:eastAsia="仿宋" w:cs="仿宋"/>
          <w:color w:val="000000"/>
          <w:sz w:val="30"/>
          <w:szCs w:val="30"/>
        </w:rPr>
        <w:t>等相关政府采购政策。</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宋体" w:eastAsia="黑体"/>
          <w:color w:val="000000"/>
          <w:sz w:val="30"/>
          <w:szCs w:val="30"/>
        </w:rPr>
        <w:t>三、投标人资格要求</w:t>
      </w:r>
    </w:p>
    <w:p>
      <w:pPr>
        <w:shd w:val="clear" w:color="auto" w:fill="FFFFFF"/>
        <w:spacing w:line="360" w:lineRule="auto"/>
        <w:ind w:firstLine="640" w:firstLineChars="200"/>
        <w:contextualSpacing/>
        <w:rPr>
          <w:rFonts w:ascii="楷体" w:hAnsi="楷体" w:eastAsia="楷体" w:cs="宋体"/>
          <w:color w:val="000000"/>
          <w:sz w:val="32"/>
          <w:szCs w:val="32"/>
        </w:rPr>
      </w:pPr>
      <w:r>
        <w:rPr>
          <w:rFonts w:hint="eastAsia" w:ascii="楷体" w:hAnsi="楷体" w:eastAsia="楷体" w:cs="宋体"/>
          <w:color w:val="000000"/>
          <w:sz w:val="32"/>
          <w:szCs w:val="32"/>
        </w:rPr>
        <w:t>（一）符合《中华人民共和国政府采购法》第二十二条的规定。</w:t>
      </w:r>
    </w:p>
    <w:p>
      <w:pPr>
        <w:shd w:val="clear" w:color="auto" w:fill="FFFFFF"/>
        <w:adjustRightInd/>
        <w:snapToGrid/>
        <w:spacing w:after="0" w:line="360" w:lineRule="auto"/>
        <w:ind w:firstLine="600"/>
        <w:rPr>
          <w:rFonts w:ascii="楷体" w:hAnsi="楷体" w:eastAsia="楷体" w:cs="宋体"/>
          <w:color w:val="000000"/>
          <w:sz w:val="32"/>
          <w:szCs w:val="32"/>
          <w:lang w:val="zh-CN"/>
        </w:rPr>
      </w:pPr>
      <w:r>
        <w:rPr>
          <w:rFonts w:hint="eastAsia" w:ascii="楷体" w:hAnsi="楷体" w:eastAsia="楷体" w:cs="宋体"/>
          <w:color w:val="000000"/>
          <w:sz w:val="32"/>
          <w:szCs w:val="32"/>
        </w:rPr>
        <w:t>（二）</w:t>
      </w:r>
      <w:r>
        <w:rPr>
          <w:rFonts w:hint="eastAsia" w:ascii="楷体" w:hAnsi="楷体" w:eastAsia="楷体" w:cs="宋体"/>
          <w:color w:val="000000"/>
          <w:sz w:val="32"/>
          <w:szCs w:val="32"/>
          <w:lang w:val="zh-CN"/>
        </w:rPr>
        <w:t>本次招标不接受联合体投标。</w:t>
      </w:r>
    </w:p>
    <w:p>
      <w:pPr>
        <w:shd w:val="clear" w:color="auto" w:fill="FFFFFF"/>
        <w:adjustRightInd/>
        <w:snapToGrid/>
        <w:spacing w:after="0" w:line="360" w:lineRule="auto"/>
        <w:ind w:firstLine="600"/>
        <w:rPr>
          <w:rFonts w:ascii="黑体" w:hAnsi="宋体" w:eastAsia="黑体"/>
          <w:color w:val="000000"/>
          <w:sz w:val="30"/>
          <w:szCs w:val="30"/>
        </w:rPr>
      </w:pPr>
      <w:r>
        <w:rPr>
          <w:rFonts w:hint="eastAsia" w:ascii="黑体" w:hAnsi="宋体" w:eastAsia="黑体"/>
          <w:color w:val="000000"/>
          <w:sz w:val="30"/>
          <w:szCs w:val="30"/>
        </w:rPr>
        <w:t>四、采购需求</w:t>
      </w:r>
    </w:p>
    <w:p>
      <w:pPr>
        <w:shd w:val="clear" w:color="auto" w:fill="FFFFFF"/>
        <w:adjustRightInd/>
        <w:snapToGrid/>
        <w:spacing w:after="0" w:line="360" w:lineRule="auto"/>
        <w:ind w:firstLine="600"/>
        <w:rPr>
          <w:rFonts w:ascii="黑体" w:hAnsi="宋体" w:eastAsia="黑体"/>
          <w:color w:val="000000"/>
          <w:sz w:val="30"/>
          <w:szCs w:val="30"/>
        </w:rPr>
      </w:pPr>
    </w:p>
    <w:p>
      <w:pPr>
        <w:numPr>
          <w:ilvl w:val="0"/>
          <w:numId w:val="1"/>
        </w:num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本项目需实现的功能或者目标：许昌市人民防空办公室办公楼物业管理，包含主楼地上10层、地下1层。位置：许昌市东城区，东临东城区国税局，南临东城区派出所，西邻学院北路，北邻东城街。</w:t>
      </w:r>
    </w:p>
    <w:p>
      <w:pPr>
        <w:shd w:val="clear" w:color="auto" w:fill="FFFFFF"/>
        <w:adjustRightInd/>
        <w:snapToGrid/>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（二）服务标准</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1、投标人应满足人员配置要求</w:t>
      </w:r>
    </w:p>
    <w:tbl>
      <w:tblPr>
        <w:tblStyle w:val="10"/>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38"/>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岗位</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人数</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负责人</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1人</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负责服务中心各项管理事务，监管各服务人员严格落实各项管理制度和服务标准，做好与甲方的沟通、对接等工作。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保安员</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大门岗2人</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负责出入口人员、车辆出入管理以及大件物品的出入登记，物业区域内监控工作。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监控员</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2人</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sz w:val="30"/>
                <w:szCs w:val="30"/>
              </w:rPr>
              <w:t>持</w:t>
            </w:r>
            <w:r>
              <w:rPr>
                <w:rFonts w:hint="eastAsia" w:ascii="仿宋" w:hAnsi="仿宋" w:eastAsia="仿宋" w:cs="仿宋"/>
                <w:sz w:val="30"/>
                <w:szCs w:val="30"/>
                <w:lang w:eastAsia="zh-CN"/>
              </w:rPr>
              <w:t>建（构）筑物消防员资格证</w:t>
            </w:r>
            <w:r>
              <w:rPr>
                <w:rFonts w:hint="eastAsia" w:ascii="仿宋" w:hAnsi="仿宋" w:eastAsia="仿宋" w:cs="仿宋"/>
                <w:sz w:val="30"/>
                <w:szCs w:val="30"/>
              </w:rPr>
              <w:t>上岗，负责物业区</w:t>
            </w:r>
            <w:r>
              <w:rPr>
                <w:rFonts w:hint="eastAsia" w:ascii="仿宋" w:hAnsi="仿宋" w:eastAsia="仿宋" w:cs="仿宋"/>
                <w:color w:val="000000"/>
                <w:sz w:val="30"/>
                <w:szCs w:val="30"/>
              </w:rPr>
              <w:t>域内</w:t>
            </w:r>
            <w:r>
              <w:rPr>
                <w:rFonts w:hint="eastAsia" w:ascii="仿宋" w:hAnsi="仿宋" w:eastAsia="仿宋" w:cs="仿宋"/>
                <w:sz w:val="30"/>
                <w:szCs w:val="30"/>
              </w:rPr>
              <w:t>火灾和故障报警处置工作。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保洁员</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5人</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负责区域内的保洁卫生工作。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内勤</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1人</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lang w:eastAsia="zh-CN"/>
              </w:rPr>
              <w:t>负责</w:t>
            </w:r>
            <w:r>
              <w:rPr>
                <w:rFonts w:hint="eastAsia" w:ascii="仿宋" w:hAnsi="仿宋" w:eastAsia="仿宋" w:cs="仿宋"/>
                <w:color w:val="000000"/>
                <w:sz w:val="30"/>
                <w:szCs w:val="30"/>
              </w:rPr>
              <w:t>报纸分发，会议服务，物业服务中心档案管理，会议室</w:t>
            </w:r>
            <w:r>
              <w:rPr>
                <w:rFonts w:hint="eastAsia" w:ascii="仿宋" w:hAnsi="仿宋" w:eastAsia="仿宋" w:cs="仿宋"/>
                <w:color w:val="000000"/>
                <w:sz w:val="30"/>
                <w:szCs w:val="30"/>
                <w:lang w:eastAsia="zh-CN"/>
              </w:rPr>
              <w:t>、值班室</w:t>
            </w:r>
            <w:r>
              <w:rPr>
                <w:rFonts w:hint="eastAsia" w:ascii="仿宋" w:hAnsi="仿宋" w:eastAsia="仿宋" w:cs="仿宋"/>
                <w:color w:val="000000"/>
                <w:sz w:val="30"/>
                <w:szCs w:val="30"/>
              </w:rPr>
              <w:t>及领导办公室、休息室的清洁及被单换洗工作。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9" w:hRule="atLeast"/>
        </w:trPr>
        <w:tc>
          <w:tcPr>
            <w:tcW w:w="1237"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维修员</w:t>
            </w:r>
          </w:p>
        </w:tc>
        <w:tc>
          <w:tcPr>
            <w:tcW w:w="1238"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rPr>
              <w:t>3人</w:t>
            </w:r>
          </w:p>
        </w:tc>
        <w:tc>
          <w:tcPr>
            <w:tcW w:w="656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sz w:val="30"/>
                <w:szCs w:val="30"/>
              </w:rPr>
              <w:t>持有国家能源局或国家电力监管委员会颁发的电工进网作业许可证，其中至少有一名持有高压电工进网作业许可证；</w:t>
            </w:r>
            <w:r>
              <w:rPr>
                <w:rFonts w:hint="eastAsia" w:ascii="仿宋" w:hAnsi="仿宋" w:eastAsia="仿宋" w:cs="仿宋"/>
                <w:color w:val="000000"/>
                <w:sz w:val="30"/>
                <w:szCs w:val="30"/>
              </w:rPr>
              <w:t>负责办公楼水电维修、设施设备日常巡检；</w:t>
            </w:r>
            <w:r>
              <w:rPr>
                <w:rFonts w:hint="eastAsia" w:ascii="仿宋" w:hAnsi="仿宋" w:eastAsia="仿宋" w:cs="仿宋"/>
                <w:sz w:val="30"/>
                <w:szCs w:val="30"/>
              </w:rPr>
              <w:t>监管与维保单位履行维保协议的有关内容；</w:t>
            </w:r>
            <w:r>
              <w:rPr>
                <w:rFonts w:hint="eastAsia" w:ascii="仿宋" w:hAnsi="仿宋" w:eastAsia="仿宋" w:cs="仿宋"/>
                <w:sz w:val="30"/>
                <w:szCs w:val="30"/>
                <w:lang w:eastAsia="zh-CN"/>
              </w:rPr>
              <w:t>地下一层办公区</w:t>
            </w:r>
            <w:r>
              <w:rPr>
                <w:rFonts w:hint="eastAsia" w:ascii="仿宋" w:hAnsi="仿宋" w:eastAsia="仿宋" w:cs="仿宋"/>
                <w:color w:val="000000"/>
                <w:sz w:val="30"/>
                <w:szCs w:val="30"/>
              </w:rPr>
              <w:t>24小时水电维修工作。</w:t>
            </w:r>
          </w:p>
        </w:tc>
      </w:tr>
    </w:tbl>
    <w:p>
      <w:pPr>
        <w:shd w:val="clear" w:color="auto" w:fill="FFFFFF"/>
        <w:adjustRightInd/>
        <w:snapToGrid/>
        <w:spacing w:after="0" w:line="360" w:lineRule="auto"/>
        <w:ind w:firstLine="600"/>
        <w:rPr>
          <w:rFonts w:ascii="仿宋" w:hAnsi="仿宋" w:eastAsia="仿宋" w:cs="仿宋"/>
          <w:color w:val="000000"/>
          <w:sz w:val="30"/>
          <w:szCs w:val="30"/>
        </w:rPr>
      </w:pP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2、人员基本要求</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2.1</w:t>
      </w:r>
      <w:r>
        <w:rPr>
          <w:rFonts w:hint="eastAsia" w:ascii="仿宋" w:hAnsi="仿宋" w:eastAsia="仿宋" w:cs="仿宋"/>
          <w:color w:val="000000"/>
          <w:sz w:val="30"/>
          <w:szCs w:val="30"/>
          <w:lang w:eastAsia="zh-CN"/>
        </w:rPr>
        <w:t>岗位人员年龄：负责人年龄在</w:t>
      </w:r>
      <w:r>
        <w:rPr>
          <w:rFonts w:hint="eastAsia" w:ascii="仿宋" w:hAnsi="仿宋" w:eastAsia="仿宋" w:cs="仿宋"/>
          <w:color w:val="000000"/>
          <w:sz w:val="30"/>
          <w:szCs w:val="30"/>
          <w:lang w:val="en-US" w:eastAsia="zh-CN"/>
        </w:rPr>
        <w:t>55岁以下，其他岗位人员</w:t>
      </w:r>
      <w:r>
        <w:rPr>
          <w:rFonts w:hint="eastAsia" w:ascii="仿宋" w:hAnsi="仿宋" w:eastAsia="仿宋" w:cs="仿宋"/>
          <w:color w:val="000000"/>
          <w:sz w:val="30"/>
          <w:szCs w:val="30"/>
          <w:lang w:eastAsia="zh-CN"/>
        </w:rPr>
        <w:t>年龄均在</w:t>
      </w:r>
      <w:r>
        <w:rPr>
          <w:rFonts w:hint="eastAsia" w:ascii="仿宋" w:hAnsi="仿宋" w:eastAsia="仿宋" w:cs="仿宋"/>
          <w:color w:val="000000"/>
          <w:sz w:val="30"/>
          <w:szCs w:val="30"/>
          <w:lang w:val="en-US" w:eastAsia="zh-CN"/>
        </w:rPr>
        <w:t>45岁以下。</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2.2</w:t>
      </w:r>
      <w:r>
        <w:rPr>
          <w:rFonts w:hint="eastAsia" w:ascii="仿宋" w:hAnsi="仿宋" w:eastAsia="仿宋" w:cs="仿宋"/>
          <w:color w:val="000000"/>
          <w:sz w:val="30"/>
          <w:szCs w:val="30"/>
          <w:lang w:eastAsia="zh-CN"/>
        </w:rPr>
        <w:t>各岗位人员均无犯罪记录。</w:t>
      </w:r>
    </w:p>
    <w:p>
      <w:pPr>
        <w:shd w:val="clear" w:color="auto" w:fill="FFFFFF"/>
        <w:adjustRightInd/>
        <w:snapToGrid/>
        <w:spacing w:after="0" w:line="360" w:lineRule="auto"/>
        <w:ind w:firstLine="600"/>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2.3</w:t>
      </w:r>
      <w:r>
        <w:rPr>
          <w:rFonts w:hint="eastAsia" w:ascii="仿宋" w:hAnsi="仿宋" w:eastAsia="仿宋" w:cs="仿宋"/>
          <w:color w:val="000000"/>
          <w:sz w:val="30"/>
          <w:szCs w:val="30"/>
          <w:lang w:eastAsia="zh-CN"/>
        </w:rPr>
        <w:t>各岗位人员身体健康。</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2.4</w:t>
      </w:r>
      <w:r>
        <w:rPr>
          <w:rFonts w:hint="eastAsia" w:ascii="仿宋" w:hAnsi="仿宋" w:eastAsia="仿宋" w:cs="仿宋"/>
          <w:color w:val="000000"/>
          <w:sz w:val="30"/>
          <w:szCs w:val="30"/>
          <w:lang w:eastAsia="zh-CN"/>
        </w:rPr>
        <w:t>工作时间</w:t>
      </w:r>
      <w:r>
        <w:rPr>
          <w:rFonts w:hint="eastAsia" w:ascii="仿宋" w:hAnsi="仿宋" w:eastAsia="仿宋" w:cs="仿宋"/>
          <w:color w:val="000000"/>
          <w:sz w:val="30"/>
          <w:szCs w:val="30"/>
        </w:rPr>
        <w:t>统一着装，佩戴标志；服务热情主动，礼貌，细致</w:t>
      </w:r>
      <w:r>
        <w:rPr>
          <w:rFonts w:hint="eastAsia" w:ascii="仿宋" w:hAnsi="仿宋" w:eastAsia="仿宋" w:cs="仿宋"/>
          <w:color w:val="000000"/>
          <w:sz w:val="30"/>
          <w:szCs w:val="30"/>
          <w:lang w:eastAsia="zh-CN"/>
        </w:rPr>
        <w:t>。</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2.5管理人员有较高的政治思想素养和业务水平</w:t>
      </w:r>
      <w:r>
        <w:rPr>
          <w:rFonts w:hint="eastAsia" w:ascii="仿宋" w:hAnsi="仿宋" w:eastAsia="仿宋" w:cs="仿宋"/>
          <w:color w:val="000000"/>
          <w:sz w:val="30"/>
          <w:szCs w:val="30"/>
          <w:lang w:eastAsia="zh-CN"/>
        </w:rPr>
        <w:t>；内勤岗位人员应具有大专以上学历。</w:t>
      </w:r>
    </w:p>
    <w:p>
      <w:pPr>
        <w:shd w:val="clear" w:color="auto" w:fill="FFFFFF"/>
        <w:adjustRightInd/>
        <w:snapToGrid/>
        <w:spacing w:after="0" w:line="360" w:lineRule="auto"/>
        <w:ind w:firstLine="600"/>
        <w:rPr>
          <w:rFonts w:hint="eastAsia" w:ascii="仿宋" w:hAnsi="仿宋" w:eastAsia="仿宋" w:cs="仿宋"/>
          <w:color w:val="000000"/>
          <w:sz w:val="30"/>
          <w:szCs w:val="30"/>
        </w:rPr>
      </w:pPr>
      <w:r>
        <w:rPr>
          <w:rFonts w:hint="eastAsia" w:ascii="仿宋" w:hAnsi="仿宋" w:eastAsia="仿宋" w:cs="仿宋"/>
          <w:color w:val="000000"/>
          <w:sz w:val="30"/>
          <w:szCs w:val="30"/>
        </w:rPr>
        <w:t>2.6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2.7投标人须定期每三个月对管理服务人员进行岗位再培训。</w:t>
      </w:r>
    </w:p>
    <w:p>
      <w:pPr>
        <w:shd w:val="clear" w:color="auto" w:fill="FFFFFF"/>
        <w:adjustRightInd/>
        <w:snapToGrid/>
        <w:spacing w:after="0" w:line="360" w:lineRule="auto"/>
        <w:ind w:firstLine="600"/>
        <w:rPr>
          <w:rFonts w:hint="eastAsia" w:ascii="仿宋" w:hAnsi="仿宋" w:eastAsia="仿宋" w:cs="仿宋"/>
          <w:color w:val="000000"/>
          <w:sz w:val="30"/>
          <w:szCs w:val="30"/>
        </w:rPr>
      </w:pP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2.</w:t>
      </w: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rPr>
        <w:t>工作期间管理服务人员对于突发事件必须能够在第一时间进行现场处置。</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3、内勤服务</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3.1</w:t>
      </w:r>
      <w:r>
        <w:rPr>
          <w:rFonts w:hint="eastAsia" w:ascii="仿宋" w:hAnsi="仿宋" w:eastAsia="仿宋" w:cs="仿宋"/>
          <w:color w:val="000000"/>
          <w:sz w:val="30"/>
          <w:szCs w:val="30"/>
          <w:lang w:eastAsia="zh-CN"/>
        </w:rPr>
        <w:t>负责</w:t>
      </w:r>
      <w:r>
        <w:rPr>
          <w:rFonts w:hint="eastAsia" w:ascii="仿宋" w:hAnsi="仿宋" w:eastAsia="仿宋" w:cs="仿宋"/>
          <w:color w:val="000000"/>
          <w:sz w:val="30"/>
          <w:szCs w:val="30"/>
        </w:rPr>
        <w:t>有关办公室报纸分发工作。</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3.2</w:t>
      </w:r>
      <w:r>
        <w:rPr>
          <w:rFonts w:hint="eastAsia" w:ascii="仿宋" w:hAnsi="仿宋" w:eastAsia="仿宋" w:cs="仿宋"/>
          <w:color w:val="000000"/>
          <w:sz w:val="30"/>
          <w:szCs w:val="30"/>
          <w:lang w:eastAsia="zh-CN"/>
        </w:rPr>
        <w:t>负责</w:t>
      </w:r>
      <w:r>
        <w:rPr>
          <w:rFonts w:hint="eastAsia" w:ascii="仿宋" w:hAnsi="仿宋" w:eastAsia="仿宋" w:cs="仿宋"/>
          <w:color w:val="000000"/>
          <w:sz w:val="30"/>
          <w:szCs w:val="30"/>
        </w:rPr>
        <w:t>会议室、领导办公室及休息室的卫生保洁及被单换洗工作。</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3.</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lang w:eastAsia="zh-CN"/>
        </w:rPr>
        <w:t>负责投标人为采购人</w:t>
      </w:r>
      <w:r>
        <w:rPr>
          <w:rFonts w:hint="eastAsia" w:ascii="仿宋" w:hAnsi="仿宋" w:eastAsia="仿宋" w:cs="仿宋"/>
          <w:color w:val="000000"/>
          <w:sz w:val="30"/>
          <w:szCs w:val="30"/>
        </w:rPr>
        <w:t>领导办公室</w:t>
      </w:r>
      <w:r>
        <w:rPr>
          <w:rFonts w:hint="eastAsia" w:ascii="仿宋" w:hAnsi="仿宋" w:eastAsia="仿宋" w:cs="仿宋"/>
          <w:color w:val="000000"/>
          <w:sz w:val="30"/>
          <w:szCs w:val="30"/>
          <w:lang w:eastAsia="zh-CN"/>
        </w:rPr>
        <w:t>提供的盆景</w:t>
      </w:r>
      <w:r>
        <w:rPr>
          <w:rFonts w:hint="eastAsia" w:ascii="仿宋" w:hAnsi="仿宋" w:eastAsia="仿宋" w:cs="仿宋"/>
          <w:color w:val="000000"/>
          <w:sz w:val="30"/>
          <w:szCs w:val="30"/>
        </w:rPr>
        <w:t>花木的</w:t>
      </w:r>
      <w:r>
        <w:rPr>
          <w:rFonts w:hint="eastAsia" w:ascii="仿宋" w:hAnsi="仿宋" w:eastAsia="仿宋" w:cs="仿宋"/>
          <w:color w:val="000000"/>
          <w:sz w:val="30"/>
          <w:szCs w:val="30"/>
          <w:lang w:eastAsia="zh-CN"/>
        </w:rPr>
        <w:t>日常</w:t>
      </w:r>
      <w:r>
        <w:rPr>
          <w:rFonts w:hint="eastAsia" w:ascii="仿宋" w:hAnsi="仿宋" w:eastAsia="仿宋" w:cs="仿宋"/>
          <w:color w:val="000000"/>
          <w:sz w:val="30"/>
          <w:szCs w:val="30"/>
        </w:rPr>
        <w:t>养护工作。</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4、公共秩序维护</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4.1巡逻人员应按巡逻路线规范巡逻，发现人</w:t>
      </w:r>
      <w:r>
        <w:rPr>
          <w:rFonts w:hint="eastAsia" w:ascii="仿宋" w:hAnsi="仿宋" w:eastAsia="仿宋" w:cs="仿宋"/>
          <w:color w:val="000000"/>
          <w:sz w:val="30"/>
          <w:szCs w:val="30"/>
          <w:lang w:eastAsia="zh-CN"/>
        </w:rPr>
        <w:t>员</w:t>
      </w:r>
      <w:r>
        <w:rPr>
          <w:rFonts w:hint="eastAsia" w:ascii="仿宋" w:hAnsi="仿宋" w:eastAsia="仿宋" w:cs="仿宋"/>
          <w:color w:val="000000"/>
          <w:sz w:val="30"/>
          <w:szCs w:val="30"/>
        </w:rPr>
        <w:t>、车辆、建筑物设施等有异常情况的，应及时处理或报告。</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4.2消防设施每天巡查、定期进行消防训练、演练，应急预案齐全。</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4.3所有车辆停放规范、有序，指挥得当，无交通堵塞。</w:t>
      </w:r>
    </w:p>
    <w:p>
      <w:pPr>
        <w:numPr>
          <w:ilvl w:val="0"/>
          <w:numId w:val="2"/>
        </w:numPr>
        <w:shd w:val="clear" w:color="auto" w:fill="FFFFFF"/>
        <w:adjustRightInd/>
        <w:snapToGrid/>
        <w:spacing w:after="0" w:line="360" w:lineRule="auto"/>
        <w:ind w:firstLine="600"/>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保洁</w:t>
      </w:r>
      <w:r>
        <w:rPr>
          <w:rFonts w:hint="eastAsia" w:ascii="仿宋" w:hAnsi="仿宋" w:eastAsia="仿宋" w:cs="仿宋"/>
          <w:color w:val="000000"/>
          <w:sz w:val="30"/>
          <w:szCs w:val="30"/>
          <w:lang w:eastAsia="zh-CN"/>
        </w:rPr>
        <w:t>（包含主楼地上</w:t>
      </w:r>
      <w:r>
        <w:rPr>
          <w:rFonts w:hint="eastAsia" w:ascii="仿宋" w:hAnsi="仿宋" w:eastAsia="仿宋" w:cs="仿宋"/>
          <w:color w:val="000000"/>
          <w:sz w:val="30"/>
          <w:szCs w:val="30"/>
          <w:lang w:val="en-US" w:eastAsia="zh-CN"/>
        </w:rPr>
        <w:t>10层、地下1层</w:t>
      </w:r>
      <w:r>
        <w:rPr>
          <w:rFonts w:hint="eastAsia" w:ascii="仿宋" w:hAnsi="仿宋" w:eastAsia="仿宋" w:cs="仿宋"/>
          <w:color w:val="000000"/>
          <w:sz w:val="30"/>
          <w:szCs w:val="30"/>
          <w:lang w:eastAsia="zh-CN"/>
        </w:rPr>
        <w:t>）</w:t>
      </w:r>
    </w:p>
    <w:p>
      <w:pPr>
        <w:numPr>
          <w:ilvl w:val="0"/>
          <w:numId w:val="0"/>
        </w:num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lang w:eastAsia="zh-CN"/>
        </w:rPr>
        <w:t>　　</w:t>
      </w:r>
      <w:r>
        <w:rPr>
          <w:rFonts w:hint="eastAsia" w:ascii="仿宋" w:hAnsi="仿宋" w:eastAsia="仿宋" w:cs="仿宋"/>
          <w:color w:val="000000"/>
          <w:sz w:val="30"/>
          <w:szCs w:val="30"/>
        </w:rPr>
        <w:t>5.1 大厅</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5.1.1保持地面无脚印、无污渍、无烟蒂、无痰迹、无垃圾，每日尘推2次，楼梯、扶手每日擦试1次，大厅玻璃每周擦洗1次。</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5.1.2 大厅内的其它部位，如柱面、墙面、台面、公告栏等，整洁、无灰尘。</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5.1.3 玻璃大门无手印、灰尘，保持干净、光亮。</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 xml:space="preserve">5.1.4 </w:t>
      </w:r>
      <w:r>
        <w:rPr>
          <w:rFonts w:hint="eastAsia" w:ascii="仿宋" w:hAnsi="仿宋" w:eastAsia="仿宋" w:cs="仿宋"/>
          <w:color w:val="000000"/>
          <w:sz w:val="30"/>
          <w:szCs w:val="30"/>
          <w:lang w:eastAsia="zh-CN"/>
        </w:rPr>
        <w:t>垃圾</w:t>
      </w:r>
      <w:r>
        <w:rPr>
          <w:rFonts w:hint="eastAsia" w:ascii="仿宋" w:hAnsi="仿宋" w:eastAsia="仿宋" w:cs="仿宋"/>
          <w:color w:val="000000"/>
          <w:sz w:val="30"/>
          <w:szCs w:val="30"/>
        </w:rPr>
        <w:t>箱，</w:t>
      </w:r>
      <w:r>
        <w:rPr>
          <w:rFonts w:hint="eastAsia" w:ascii="仿宋" w:hAnsi="仿宋" w:eastAsia="仿宋" w:cs="仿宋"/>
          <w:color w:val="000000"/>
          <w:sz w:val="30"/>
          <w:szCs w:val="30"/>
          <w:lang w:eastAsia="zh-CN"/>
        </w:rPr>
        <w:t>外面</w:t>
      </w:r>
      <w:r>
        <w:rPr>
          <w:rFonts w:hint="eastAsia" w:ascii="仿宋" w:hAnsi="仿宋" w:eastAsia="仿宋" w:cs="仿宋"/>
          <w:color w:val="000000"/>
          <w:sz w:val="30"/>
          <w:szCs w:val="30"/>
        </w:rPr>
        <w:t>保持光亮，无灰尘、痰迹</w:t>
      </w:r>
      <w:r>
        <w:rPr>
          <w:rFonts w:hint="eastAsia" w:ascii="仿宋" w:hAnsi="仿宋" w:eastAsia="仿宋" w:cs="仿宋"/>
          <w:color w:val="000000"/>
          <w:sz w:val="30"/>
          <w:szCs w:val="30"/>
          <w:lang w:eastAsia="zh-CN"/>
        </w:rPr>
        <w:t>，内部垃圾清理及时。</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5.2公共区域</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5.2.1 每天清扫一次，地面保持清洁、光亮、无污迹、无水迹、无脚印。</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5.2.2 走道四角及踢脚板保持干净，无垃圾。</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5.2.3 垃圾桶按指定位置摆放，</w:t>
      </w:r>
      <w:r>
        <w:rPr>
          <w:rFonts w:hint="eastAsia" w:ascii="仿宋" w:hAnsi="仿宋" w:eastAsia="仿宋" w:cs="仿宋"/>
          <w:color w:val="000000"/>
          <w:sz w:val="30"/>
          <w:szCs w:val="30"/>
          <w:lang w:eastAsia="zh-CN"/>
        </w:rPr>
        <w:t>内部垃圾清理及时；</w:t>
      </w:r>
      <w:r>
        <w:rPr>
          <w:rFonts w:hint="eastAsia" w:ascii="仿宋" w:hAnsi="仿宋" w:eastAsia="仿宋" w:cs="仿宋"/>
          <w:color w:val="000000"/>
          <w:sz w:val="30"/>
          <w:szCs w:val="30"/>
        </w:rPr>
        <w:t>四周无散积垃圾，无异味。</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5.2.4 墙面及走道设施、门框、通风口，保持干净，无积灰。</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5.2.5 安全扶梯台阶保持清洁，无污物、垃圾；扶手保持光亮，无灰尘。</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5.2.6 保持电梯门光洁、明亮，轿厢及四壁地面干净、整洁。</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5.3卫生间</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5.3.1 镜面光亮无灰尘，</w:t>
      </w:r>
      <w:r>
        <w:rPr>
          <w:rFonts w:hint="eastAsia" w:ascii="仿宋" w:hAnsi="仿宋" w:eastAsia="仿宋" w:cs="仿宋"/>
          <w:color w:val="000000"/>
          <w:sz w:val="30"/>
          <w:szCs w:val="30"/>
          <w:lang w:eastAsia="zh-CN"/>
        </w:rPr>
        <w:t>洗手</w:t>
      </w:r>
      <w:r>
        <w:rPr>
          <w:rFonts w:hint="eastAsia" w:ascii="仿宋" w:hAnsi="仿宋" w:eastAsia="仿宋" w:cs="仿宋"/>
          <w:color w:val="000000"/>
          <w:sz w:val="30"/>
          <w:szCs w:val="30"/>
        </w:rPr>
        <w:t>台台面无水迹、无洗手液滴（或肥皂液滴）</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5.3.2 门及护板表面无尘、无划痕、无污迹。</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5.3.3 不锈钢光亮见本色。</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5.3.4 纸</w:t>
      </w:r>
      <w:r>
        <w:rPr>
          <w:rFonts w:hint="eastAsia" w:ascii="仿宋" w:hAnsi="仿宋" w:eastAsia="仿宋" w:cs="仿宋"/>
          <w:color w:val="000000"/>
          <w:sz w:val="30"/>
          <w:szCs w:val="30"/>
          <w:lang w:eastAsia="zh-CN"/>
        </w:rPr>
        <w:t>篓</w:t>
      </w:r>
      <w:r>
        <w:rPr>
          <w:rFonts w:hint="eastAsia" w:ascii="仿宋" w:hAnsi="仿宋" w:eastAsia="仿宋" w:cs="仿宋"/>
          <w:color w:val="000000"/>
          <w:sz w:val="30"/>
          <w:szCs w:val="30"/>
        </w:rPr>
        <w:t>、便池要不间断清洁，保持无</w:t>
      </w:r>
      <w:r>
        <w:rPr>
          <w:rFonts w:hint="eastAsia" w:ascii="仿宋" w:hAnsi="仿宋" w:eastAsia="仿宋" w:cs="仿宋"/>
          <w:color w:val="000000"/>
          <w:sz w:val="30"/>
          <w:szCs w:val="30"/>
          <w:lang w:eastAsia="zh-CN"/>
        </w:rPr>
        <w:t>垃圾</w:t>
      </w:r>
      <w:r>
        <w:rPr>
          <w:rFonts w:hint="eastAsia" w:ascii="仿宋" w:hAnsi="仿宋" w:eastAsia="仿宋" w:cs="仿宋"/>
          <w:color w:val="000000"/>
          <w:sz w:val="30"/>
          <w:szCs w:val="30"/>
        </w:rPr>
        <w:t>，无水迹。</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 xml:space="preserve">5.3.5 </w:t>
      </w:r>
      <w:r>
        <w:rPr>
          <w:rFonts w:hint="eastAsia" w:ascii="仿宋" w:hAnsi="仿宋" w:eastAsia="仿宋" w:cs="仿宋"/>
          <w:color w:val="000000"/>
          <w:sz w:val="30"/>
          <w:szCs w:val="30"/>
          <w:lang w:eastAsia="zh-CN"/>
        </w:rPr>
        <w:t>大便池</w:t>
      </w:r>
      <w:r>
        <w:rPr>
          <w:rFonts w:hint="eastAsia" w:ascii="仿宋" w:hAnsi="仿宋" w:eastAsia="仿宋" w:cs="仿宋"/>
          <w:color w:val="000000"/>
          <w:sz w:val="30"/>
          <w:szCs w:val="30"/>
        </w:rPr>
        <w:t>要通畅，不得有异物，不得有便渍、水锈和异味。</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5.3.6 小便池内无尿碱、烟头、痰迹等异物，及时更换樟脑球。</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5.3.7 地面保持干燥、无水迹。</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5.3.8 门转轴和门通风孔无积灰。</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5.3.9 建立夏季消杀制度，洗手间区域不得有蚊蝇存在。</w:t>
      </w:r>
    </w:p>
    <w:p>
      <w:pPr>
        <w:numPr>
          <w:ilvl w:val="0"/>
          <w:numId w:val="3"/>
        </w:numPr>
        <w:shd w:val="clear" w:color="auto" w:fill="FFFFFF"/>
        <w:adjustRightInd/>
        <w:snapToGrid/>
        <w:spacing w:after="0" w:line="360" w:lineRule="auto"/>
        <w:ind w:firstLine="600"/>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室外地面</w:t>
      </w:r>
    </w:p>
    <w:p>
      <w:pPr>
        <w:numPr>
          <w:ilvl w:val="0"/>
          <w:numId w:val="0"/>
        </w:numPr>
        <w:shd w:val="clear" w:color="auto" w:fill="FFFFFF"/>
        <w:adjustRightInd/>
        <w:snapToGrid/>
        <w:spacing w:after="0" w:line="360" w:lineRule="auto"/>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6.1办公楼外台阶及地面，做到无垃圾、无烟蒂、无纸屑、无积水、无积雪。</w:t>
      </w:r>
    </w:p>
    <w:p>
      <w:pPr>
        <w:numPr>
          <w:ilvl w:val="0"/>
          <w:numId w:val="0"/>
        </w:numPr>
        <w:shd w:val="clear" w:color="auto" w:fill="FFFFFF"/>
        <w:adjustRightInd/>
        <w:snapToGrid/>
        <w:spacing w:after="0" w:line="360" w:lineRule="auto"/>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6.2停车区域保持地面无垃圾、无杂草。</w:t>
      </w:r>
    </w:p>
    <w:p>
      <w:pPr>
        <w:numPr>
          <w:ilvl w:val="0"/>
          <w:numId w:val="4"/>
        </w:numPr>
        <w:shd w:val="clear" w:color="auto" w:fill="FFFFFF"/>
        <w:adjustRightInd/>
        <w:snapToGrid/>
        <w:spacing w:after="0" w:line="360" w:lineRule="auto"/>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绿化管理</w:t>
      </w:r>
    </w:p>
    <w:p>
      <w:pPr>
        <w:numPr>
          <w:ilvl w:val="0"/>
          <w:numId w:val="0"/>
        </w:numPr>
        <w:shd w:val="clear" w:color="auto" w:fill="FFFFFF"/>
        <w:adjustRightInd/>
        <w:snapToGrid/>
        <w:spacing w:after="0" w:line="360" w:lineRule="auto"/>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7.1庭院绿化苗木的浇灌工作，日常修剪维护由投标人调配专业绿化员养护，采购人不再出此费用。</w:t>
      </w:r>
    </w:p>
    <w:p>
      <w:pPr>
        <w:numPr>
          <w:ilvl w:val="0"/>
          <w:numId w:val="0"/>
        </w:numPr>
        <w:shd w:val="clear" w:color="auto" w:fill="FFFFFF"/>
        <w:adjustRightInd/>
        <w:snapToGrid/>
        <w:spacing w:after="0" w:line="360" w:lineRule="auto"/>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7.2及时对庭院绿化苗木的浇灌、日常修剪维护工作。</w:t>
      </w:r>
    </w:p>
    <w:p>
      <w:pPr>
        <w:numPr>
          <w:ilvl w:val="0"/>
          <w:numId w:val="0"/>
        </w:numPr>
        <w:shd w:val="clear" w:color="auto" w:fill="FFFFFF"/>
        <w:adjustRightInd/>
        <w:snapToGrid/>
        <w:spacing w:after="0" w:line="360" w:lineRule="auto"/>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7.3及时对绿化地杂草的清除工作，确保绿化地无杂草。</w:t>
      </w:r>
    </w:p>
    <w:p>
      <w:pPr>
        <w:numPr>
          <w:ilvl w:val="0"/>
          <w:numId w:val="0"/>
        </w:numPr>
        <w:shd w:val="clear" w:color="auto" w:fill="FFFFFF"/>
        <w:adjustRightInd/>
        <w:snapToGrid/>
        <w:spacing w:after="0" w:line="360" w:lineRule="auto"/>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7.4及时消除庭院绿化苗木的病虫害。</w:t>
      </w:r>
    </w:p>
    <w:p>
      <w:pPr>
        <w:shd w:val="clear" w:color="auto" w:fill="FFFFFF"/>
        <w:adjustRightInd/>
        <w:snapToGrid/>
        <w:spacing w:after="0" w:line="360" w:lineRule="auto"/>
        <w:rPr>
          <w:rFonts w:ascii="仿宋" w:hAnsi="仿宋" w:eastAsia="仿宋" w:cs="仿宋"/>
          <w:color w:val="000000"/>
          <w:sz w:val="30"/>
          <w:szCs w:val="30"/>
        </w:rPr>
      </w:pPr>
      <w:r>
        <w:rPr>
          <w:rFonts w:hint="eastAsia" w:ascii="仿宋" w:hAnsi="仿宋" w:eastAsia="仿宋" w:cs="仿宋"/>
          <w:color w:val="000000"/>
          <w:sz w:val="30"/>
          <w:szCs w:val="30"/>
          <w:lang w:eastAsia="zh-CN"/>
        </w:rPr>
        <w:t>　　</w:t>
      </w: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rPr>
        <w:t>公共设施、设备管理、维护</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rPr>
        <w:t>.1建立、健全设施、设备台账</w:t>
      </w:r>
      <w:r>
        <w:rPr>
          <w:rFonts w:hint="eastAsia" w:ascii="仿宋" w:hAnsi="仿宋" w:eastAsia="仿宋" w:cs="仿宋"/>
          <w:color w:val="000000"/>
          <w:sz w:val="30"/>
          <w:szCs w:val="30"/>
          <w:lang w:eastAsia="zh-CN"/>
        </w:rPr>
        <w:t>。</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rPr>
        <w:t>.2建立设施、设备年度维保计划，并按照计划实施</w:t>
      </w:r>
      <w:r>
        <w:rPr>
          <w:rFonts w:hint="eastAsia" w:ascii="仿宋" w:hAnsi="仿宋" w:eastAsia="仿宋" w:cs="仿宋"/>
          <w:color w:val="000000"/>
          <w:sz w:val="30"/>
          <w:szCs w:val="30"/>
          <w:lang w:eastAsia="zh-CN"/>
        </w:rPr>
        <w:t>。</w:t>
      </w:r>
    </w:p>
    <w:p>
      <w:pPr>
        <w:shd w:val="clear" w:color="auto" w:fill="FFFFFF"/>
        <w:adjustRightInd/>
        <w:snapToGrid/>
        <w:spacing w:after="0" w:line="360" w:lineRule="auto"/>
        <w:ind w:firstLine="600"/>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rPr>
        <w:t>.3电梯、用电、消防等设备应急预案齐全，每年定期进行演练。</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rPr>
        <w:t>.4投标人自备管理服务等项目所需的物资装备。如：（包括但不限于）公共卫生、公共秩序、绿化养护、公共维修所需设施设备及日常办公用品。</w:t>
      </w:r>
    </w:p>
    <w:p>
      <w:pPr>
        <w:shd w:val="clear" w:color="auto" w:fill="FFFFFF"/>
        <w:adjustRightInd/>
        <w:snapToGrid/>
        <w:spacing w:after="0" w:line="360" w:lineRule="auto"/>
        <w:ind w:firstLine="600"/>
        <w:rPr>
          <w:rFonts w:ascii="宋体" w:hAnsi="宋体" w:eastAsia="宋体" w:cs="宋体"/>
          <w:color w:val="FF0000"/>
          <w:sz w:val="24"/>
          <w:szCs w:val="24"/>
        </w:rPr>
      </w:pPr>
      <w:r>
        <w:rPr>
          <w:rFonts w:hint="eastAsia" w:ascii="仿宋" w:hAnsi="仿宋" w:eastAsia="仿宋" w:cs="仿宋"/>
          <w:color w:val="000000"/>
          <w:sz w:val="30"/>
          <w:szCs w:val="30"/>
        </w:rPr>
        <w:t>（</w:t>
      </w:r>
      <w:r>
        <w:rPr>
          <w:rFonts w:hint="eastAsia" w:ascii="仿宋" w:hAnsi="仿宋" w:eastAsia="仿宋" w:cs="仿宋"/>
          <w:sz w:val="30"/>
          <w:szCs w:val="30"/>
        </w:rPr>
        <w:t>三）验收标准</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按照招标文件要求、投标文件响应和承诺验收。</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宋体" w:eastAsia="黑体"/>
          <w:color w:val="000000"/>
          <w:sz w:val="30"/>
          <w:szCs w:val="30"/>
        </w:rPr>
        <w:t>五、评标方法和评标标准</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（一）评标方法： 综合评分法</w:t>
      </w:r>
      <w:r>
        <w:rPr>
          <w:rFonts w:hint="eastAsia" w:ascii="楷体" w:hAnsi="楷体" w:eastAsia="楷体" w:cs="宋体"/>
          <w:color w:val="000000"/>
          <w:sz w:val="28"/>
          <w:szCs w:val="28"/>
          <w:lang w:val="zh-CN"/>
        </w:rPr>
        <w:t>√</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（二）综合评分法评标标准：</w:t>
      </w:r>
    </w:p>
    <w:tbl>
      <w:tblPr>
        <w:tblStyle w:val="10"/>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6" w:type="dxa"/>
            <w:vAlign w:val="center"/>
          </w:tcPr>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rPr>
              <w:t>分值构成</w:t>
            </w:r>
          </w:p>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rPr>
              <w:t>(总分100分)</w:t>
            </w:r>
          </w:p>
        </w:tc>
        <w:tc>
          <w:tcPr>
            <w:tcW w:w="6920" w:type="dxa"/>
            <w:gridSpan w:val="2"/>
            <w:vAlign w:val="center"/>
          </w:tcPr>
          <w:p>
            <w:pPr>
              <w:widowControl w:val="0"/>
              <w:adjustRightInd/>
              <w:snapToGrid/>
              <w:spacing w:after="0" w:line="360" w:lineRule="auto"/>
              <w:ind w:firstLine="480" w:firstLineChars="200"/>
              <w:jc w:val="both"/>
              <w:rPr>
                <w:rFonts w:ascii="仿宋" w:hAnsi="仿宋" w:eastAsia="仿宋" w:cs="Times New Roman"/>
                <w:kern w:val="2"/>
                <w:sz w:val="24"/>
                <w:szCs w:val="24"/>
              </w:rPr>
            </w:pPr>
            <w:r>
              <w:rPr>
                <w:rFonts w:hint="eastAsia" w:ascii="仿宋" w:hAnsi="仿宋" w:eastAsia="仿宋" w:cs="Times New Roman"/>
                <w:kern w:val="2"/>
                <w:sz w:val="24"/>
                <w:szCs w:val="24"/>
              </w:rPr>
              <w:t>价格分值：</w:t>
            </w:r>
            <w:r>
              <w:rPr>
                <w:rFonts w:hint="eastAsia" w:ascii="仿宋" w:hAnsi="仿宋" w:eastAsia="仿宋" w:cs="Times New Roman"/>
                <w:kern w:val="2"/>
                <w:sz w:val="24"/>
                <w:szCs w:val="24"/>
                <w:u w:val="single"/>
              </w:rPr>
              <w:t xml:space="preserve">  20    </w:t>
            </w:r>
            <w:r>
              <w:rPr>
                <w:rFonts w:hint="eastAsia" w:ascii="仿宋" w:hAnsi="仿宋" w:eastAsia="仿宋" w:cs="Times New Roman"/>
                <w:kern w:val="2"/>
                <w:sz w:val="24"/>
                <w:szCs w:val="24"/>
              </w:rPr>
              <w:t>分</w:t>
            </w:r>
          </w:p>
          <w:p>
            <w:pPr>
              <w:widowControl w:val="0"/>
              <w:adjustRightInd/>
              <w:snapToGrid/>
              <w:spacing w:after="0" w:line="360" w:lineRule="auto"/>
              <w:ind w:firstLine="480" w:firstLineChars="200"/>
              <w:jc w:val="both"/>
              <w:rPr>
                <w:rFonts w:ascii="仿宋" w:hAnsi="仿宋" w:eastAsia="仿宋" w:cs="Times New Roman"/>
                <w:kern w:val="2"/>
                <w:sz w:val="24"/>
                <w:szCs w:val="24"/>
              </w:rPr>
            </w:pPr>
            <w:r>
              <w:rPr>
                <w:rFonts w:hint="eastAsia" w:ascii="仿宋" w:hAnsi="仿宋" w:eastAsia="仿宋" w:cs="Times New Roman"/>
                <w:kern w:val="2"/>
                <w:sz w:val="24"/>
                <w:szCs w:val="24"/>
              </w:rPr>
              <w:t>商务部分：</w:t>
            </w:r>
            <w:r>
              <w:rPr>
                <w:rFonts w:hint="eastAsia" w:ascii="仿宋" w:hAnsi="仿宋" w:eastAsia="仿宋" w:cs="Times New Roman"/>
                <w:kern w:val="2"/>
                <w:sz w:val="24"/>
                <w:szCs w:val="24"/>
                <w:u w:val="single"/>
              </w:rPr>
              <w:t xml:space="preserve">  45    </w:t>
            </w:r>
            <w:r>
              <w:rPr>
                <w:rFonts w:hint="eastAsia" w:ascii="仿宋" w:hAnsi="仿宋" w:eastAsia="仿宋" w:cs="Times New Roman"/>
                <w:kern w:val="2"/>
                <w:sz w:val="24"/>
                <w:szCs w:val="24"/>
              </w:rPr>
              <w:t>分</w:t>
            </w:r>
          </w:p>
          <w:p>
            <w:pPr>
              <w:widowControl w:val="0"/>
              <w:adjustRightInd/>
              <w:snapToGrid/>
              <w:spacing w:after="0" w:line="360" w:lineRule="auto"/>
              <w:ind w:firstLine="480" w:firstLineChars="200"/>
              <w:jc w:val="both"/>
              <w:rPr>
                <w:rFonts w:ascii="仿宋" w:hAnsi="仿宋" w:eastAsia="仿宋" w:cs="Times New Roman"/>
                <w:kern w:val="2"/>
                <w:sz w:val="24"/>
                <w:szCs w:val="24"/>
              </w:rPr>
            </w:pPr>
            <w:r>
              <w:rPr>
                <w:rFonts w:hint="eastAsia" w:ascii="仿宋" w:hAnsi="仿宋" w:eastAsia="仿宋" w:cs="Times New Roman"/>
                <w:kern w:val="2"/>
                <w:sz w:val="24"/>
                <w:szCs w:val="24"/>
              </w:rPr>
              <w:t>技术部分：</w:t>
            </w:r>
            <w:r>
              <w:rPr>
                <w:rFonts w:hint="eastAsia" w:ascii="仿宋" w:hAnsi="仿宋" w:eastAsia="仿宋" w:cs="Times New Roman"/>
                <w:kern w:val="2"/>
                <w:sz w:val="24"/>
                <w:szCs w:val="24"/>
                <w:u w:val="single"/>
              </w:rPr>
              <w:t xml:space="preserve">  35    </w:t>
            </w:r>
            <w:r>
              <w:rPr>
                <w:rFonts w:hint="eastAsia" w:ascii="仿宋" w:hAnsi="仿宋" w:eastAsia="仿宋" w:cs="Times New Roman"/>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8966" w:type="dxa"/>
            <w:gridSpan w:val="3"/>
            <w:tcBorders>
              <w:bottom w:val="single" w:color="auto" w:sz="4" w:space="0"/>
            </w:tcBorders>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一、价格部分（满分</w:t>
            </w:r>
            <w:r>
              <w:rPr>
                <w:rFonts w:hint="eastAsia" w:ascii="仿宋" w:hAnsi="仿宋" w:eastAsia="仿宋" w:cs="Times New Roman"/>
                <w:b/>
                <w:kern w:val="2"/>
                <w:sz w:val="24"/>
                <w:szCs w:val="24"/>
                <w:u w:val="single"/>
              </w:rPr>
              <w:t xml:space="preserve"> 20  </w:t>
            </w:r>
            <w:r>
              <w:rPr>
                <w:rFonts w:hint="eastAsia" w:ascii="仿宋" w:hAnsi="仿宋" w:eastAsia="仿宋" w:cs="Times New Roman"/>
                <w:b/>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2046" w:type="dxa"/>
            <w:tcBorders>
              <w:top w:val="single" w:color="auto" w:sz="4" w:space="0"/>
            </w:tcBorders>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评分因素</w:t>
            </w:r>
          </w:p>
        </w:tc>
        <w:tc>
          <w:tcPr>
            <w:tcW w:w="5953" w:type="dxa"/>
            <w:tcBorders>
              <w:top w:val="single" w:color="auto" w:sz="4" w:space="0"/>
            </w:tcBorders>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评分标准</w:t>
            </w:r>
          </w:p>
        </w:tc>
        <w:tc>
          <w:tcPr>
            <w:tcW w:w="967" w:type="dxa"/>
            <w:tcBorders>
              <w:top w:val="single" w:color="auto" w:sz="4" w:space="0"/>
            </w:tcBorders>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2046" w:type="dxa"/>
            <w:tcBorders>
              <w:top w:val="single" w:color="auto" w:sz="4" w:space="0"/>
            </w:tcBorders>
            <w:vAlign w:val="center"/>
          </w:tcPr>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rPr>
              <w:t>投标报价</w:t>
            </w:r>
          </w:p>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rPr>
              <w:t>评分标准</w:t>
            </w:r>
          </w:p>
        </w:tc>
        <w:tc>
          <w:tcPr>
            <w:tcW w:w="5953" w:type="dxa"/>
            <w:tcBorders>
              <w:top w:val="single" w:color="auto" w:sz="4" w:space="0"/>
            </w:tcBorders>
            <w:vAlign w:val="center"/>
          </w:tcPr>
          <w:p>
            <w:pPr>
              <w:widowControl w:val="0"/>
              <w:adjustRightInd/>
              <w:snapToGrid/>
              <w:spacing w:after="0"/>
              <w:jc w:val="both"/>
              <w:rPr>
                <w:rFonts w:ascii="仿宋" w:hAnsi="仿宋" w:eastAsia="仿宋" w:cs="Times New Roman"/>
                <w:kern w:val="2"/>
                <w:sz w:val="24"/>
                <w:szCs w:val="24"/>
              </w:rPr>
            </w:pPr>
            <w:r>
              <w:rPr>
                <w:rFonts w:hint="eastAsia" w:ascii="仿宋" w:hAnsi="仿宋" w:eastAsia="仿宋" w:cs="Times New Roman"/>
                <w:kern w:val="2"/>
                <w:sz w:val="24"/>
                <w:szCs w:val="24"/>
              </w:rPr>
              <w:t>评标基准价：满足招标文件要求的有效投标报价中，最低的投标报价为评标基准价。</w:t>
            </w:r>
          </w:p>
          <w:p>
            <w:pPr>
              <w:widowControl w:val="0"/>
              <w:adjustRightInd/>
              <w:snapToGrid/>
              <w:spacing w:after="0"/>
              <w:jc w:val="both"/>
              <w:rPr>
                <w:rFonts w:ascii="仿宋" w:hAnsi="仿宋" w:eastAsia="仿宋" w:cs="Times New Roman"/>
                <w:kern w:val="2"/>
                <w:sz w:val="24"/>
                <w:szCs w:val="24"/>
              </w:rPr>
            </w:pPr>
            <w:r>
              <w:rPr>
                <w:rFonts w:hint="eastAsia" w:ascii="仿宋" w:hAnsi="仿宋" w:eastAsia="仿宋" w:cs="Times New Roman"/>
                <w:kern w:val="2"/>
                <w:sz w:val="24"/>
                <w:szCs w:val="24"/>
              </w:rPr>
              <w:t>投标报价得分=（评标基准价/投标报价）×</w:t>
            </w:r>
            <w:r>
              <w:rPr>
                <w:rFonts w:hint="eastAsia" w:ascii="仿宋" w:hAnsi="仿宋" w:eastAsia="仿宋" w:cs="Times New Roman"/>
                <w:kern w:val="2"/>
                <w:sz w:val="24"/>
                <w:szCs w:val="24"/>
                <w:u w:val="single"/>
              </w:rPr>
              <w:t xml:space="preserve"> 20 </w:t>
            </w:r>
          </w:p>
        </w:tc>
        <w:tc>
          <w:tcPr>
            <w:tcW w:w="967" w:type="dxa"/>
            <w:tcBorders>
              <w:top w:val="single" w:color="auto" w:sz="4" w:space="0"/>
            </w:tcBorders>
            <w:vAlign w:val="center"/>
          </w:tcPr>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u w:val="single"/>
              </w:rPr>
              <w:t xml:space="preserve"> 20 </w:t>
            </w:r>
            <w:r>
              <w:rPr>
                <w:rFonts w:hint="eastAsia" w:ascii="仿宋" w:hAnsi="仿宋" w:eastAsia="仿宋" w:cs="Times New Roman"/>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6" w:type="dxa"/>
            <w:gridSpan w:val="3"/>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二、商务部分（满分</w:t>
            </w:r>
            <w:r>
              <w:rPr>
                <w:rFonts w:hint="eastAsia" w:ascii="仿宋" w:hAnsi="仿宋" w:eastAsia="仿宋" w:cs="Times New Roman"/>
                <w:b/>
                <w:kern w:val="2"/>
                <w:sz w:val="24"/>
                <w:szCs w:val="24"/>
                <w:u w:val="single"/>
              </w:rPr>
              <w:t xml:space="preserve"> 45 </w:t>
            </w:r>
            <w:r>
              <w:rPr>
                <w:rFonts w:hint="eastAsia" w:ascii="仿宋" w:hAnsi="仿宋" w:eastAsia="仿宋" w:cs="Times New Roman"/>
                <w:b/>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2046" w:type="dxa"/>
            <w:tcBorders>
              <w:bottom w:val="single" w:color="auto" w:sz="4" w:space="0"/>
            </w:tcBorders>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评分因素</w:t>
            </w:r>
          </w:p>
        </w:tc>
        <w:tc>
          <w:tcPr>
            <w:tcW w:w="5953" w:type="dxa"/>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评分标准</w:t>
            </w:r>
          </w:p>
        </w:tc>
        <w:tc>
          <w:tcPr>
            <w:tcW w:w="967" w:type="dxa"/>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1" w:hRule="atLeast"/>
          <w:jc w:val="center"/>
        </w:trPr>
        <w:tc>
          <w:tcPr>
            <w:tcW w:w="2046" w:type="dxa"/>
            <w:vAlign w:val="center"/>
          </w:tcPr>
          <w:p>
            <w:pPr>
              <w:widowControl w:val="0"/>
              <w:adjustRightInd/>
              <w:snapToGrid/>
              <w:spacing w:after="0" w:line="360" w:lineRule="exact"/>
              <w:jc w:val="center"/>
              <w:rPr>
                <w:rFonts w:ascii="仿宋" w:hAnsi="仿宋" w:eastAsia="仿宋" w:cs="Times New Roman"/>
                <w:kern w:val="2"/>
                <w:sz w:val="24"/>
                <w:szCs w:val="24"/>
              </w:rPr>
            </w:pPr>
            <w:r>
              <w:rPr>
                <w:rFonts w:hint="eastAsia" w:ascii="仿宋" w:hAnsi="仿宋" w:eastAsia="仿宋" w:cs="Times New Roman"/>
                <w:kern w:val="2"/>
                <w:sz w:val="24"/>
                <w:szCs w:val="24"/>
              </w:rPr>
              <w:t>信誉</w:t>
            </w:r>
          </w:p>
        </w:tc>
        <w:tc>
          <w:tcPr>
            <w:tcW w:w="5953" w:type="dxa"/>
            <w:vAlign w:val="center"/>
          </w:tcPr>
          <w:p>
            <w:pPr>
              <w:widowControl w:val="0"/>
              <w:adjustRightInd/>
              <w:snapToGrid/>
              <w:spacing w:after="0"/>
              <w:jc w:val="both"/>
              <w:rPr>
                <w:rFonts w:ascii="仿宋" w:hAnsi="仿宋" w:eastAsia="仿宋" w:cs="Times New Roman"/>
                <w:b/>
                <w:i/>
                <w:color w:val="548DD4"/>
                <w:sz w:val="24"/>
                <w:szCs w:val="24"/>
              </w:rPr>
            </w:pPr>
            <w:r>
              <w:rPr>
                <w:rFonts w:hint="eastAsia" w:ascii="仿宋" w:hAnsi="仿宋" w:eastAsia="仿宋" w:cs="Times New Roman"/>
                <w:kern w:val="2"/>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967" w:type="dxa"/>
            <w:vAlign w:val="center"/>
          </w:tcPr>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widowControl w:val="0"/>
              <w:adjustRightInd/>
              <w:snapToGrid/>
              <w:spacing w:after="0" w:line="360" w:lineRule="exact"/>
              <w:jc w:val="center"/>
              <w:rPr>
                <w:rFonts w:ascii="仿宋" w:hAnsi="仿宋" w:eastAsia="仿宋" w:cs="Times New Roman"/>
                <w:kern w:val="2"/>
                <w:sz w:val="24"/>
                <w:szCs w:val="24"/>
              </w:rPr>
            </w:pPr>
            <w:r>
              <w:rPr>
                <w:rFonts w:hint="eastAsia" w:ascii="仿宋" w:hAnsi="仿宋" w:eastAsia="仿宋" w:cs="Times New Roman"/>
                <w:kern w:val="2"/>
                <w:sz w:val="24"/>
                <w:szCs w:val="24"/>
              </w:rPr>
              <w:t>企业实力</w:t>
            </w:r>
          </w:p>
        </w:tc>
        <w:tc>
          <w:tcPr>
            <w:tcW w:w="5953" w:type="dxa"/>
            <w:vAlign w:val="center"/>
          </w:tcPr>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1、投标人自2014年1月1日以来，类似物业管理项目获得过住建部门授予的优秀（示范）项目或者优秀公共物业项目荣誉称号，</w:t>
            </w:r>
            <w:r>
              <w:rPr>
                <w:rFonts w:hint="eastAsia" w:ascii="仿宋" w:hAnsi="仿宋" w:eastAsia="仿宋" w:cs="Times New Roman"/>
                <w:b/>
                <w:kern w:val="2"/>
                <w:sz w:val="24"/>
                <w:szCs w:val="24"/>
              </w:rPr>
              <w:t>市级的</w:t>
            </w:r>
            <w:r>
              <w:rPr>
                <w:rFonts w:hint="eastAsia" w:ascii="仿宋" w:hAnsi="仿宋" w:eastAsia="仿宋" w:cs="Times New Roman"/>
                <w:b/>
                <w:kern w:val="2"/>
                <w:sz w:val="24"/>
                <w:szCs w:val="24"/>
                <w:lang w:eastAsia="zh-CN"/>
              </w:rPr>
              <w:t>得</w:t>
            </w:r>
            <w:r>
              <w:rPr>
                <w:rFonts w:hint="eastAsia" w:ascii="仿宋" w:hAnsi="仿宋" w:eastAsia="仿宋" w:cs="Times New Roman"/>
                <w:kern w:val="2"/>
                <w:sz w:val="24"/>
                <w:szCs w:val="24"/>
              </w:rPr>
              <w:t>2分；</w:t>
            </w:r>
            <w:r>
              <w:rPr>
                <w:rFonts w:hint="eastAsia" w:ascii="仿宋" w:hAnsi="仿宋" w:eastAsia="仿宋" w:cs="Times New Roman"/>
                <w:b/>
                <w:kern w:val="2"/>
                <w:sz w:val="24"/>
                <w:szCs w:val="24"/>
              </w:rPr>
              <w:t>省级</w:t>
            </w:r>
            <w:r>
              <w:rPr>
                <w:rFonts w:hint="eastAsia" w:ascii="仿宋" w:hAnsi="仿宋" w:eastAsia="仿宋" w:cs="Times New Roman"/>
                <w:kern w:val="2"/>
                <w:sz w:val="24"/>
                <w:szCs w:val="24"/>
              </w:rPr>
              <w:t>及以上的</w:t>
            </w:r>
            <w:r>
              <w:rPr>
                <w:rFonts w:hint="eastAsia" w:ascii="仿宋" w:hAnsi="仿宋" w:eastAsia="仿宋" w:cs="Times New Roman"/>
                <w:kern w:val="2"/>
                <w:sz w:val="24"/>
                <w:szCs w:val="24"/>
                <w:lang w:eastAsia="zh-CN"/>
              </w:rPr>
              <w:t>得</w:t>
            </w:r>
            <w:r>
              <w:rPr>
                <w:rFonts w:hint="eastAsia" w:ascii="仿宋" w:hAnsi="仿宋" w:eastAsia="仿宋" w:cs="Times New Roman"/>
                <w:kern w:val="2"/>
                <w:sz w:val="24"/>
                <w:szCs w:val="24"/>
              </w:rPr>
              <w:t>4分，此项满分4分，同</w:t>
            </w:r>
            <w:r>
              <w:rPr>
                <w:rFonts w:hint="eastAsia" w:ascii="仿宋" w:hAnsi="仿宋" w:eastAsia="仿宋" w:cs="Times New Roman"/>
                <w:kern w:val="2"/>
                <w:sz w:val="24"/>
                <w:szCs w:val="24"/>
                <w:lang w:eastAsia="zh-CN"/>
              </w:rPr>
              <w:t>一项目</w:t>
            </w:r>
            <w:r>
              <w:rPr>
                <w:rFonts w:hint="eastAsia" w:ascii="仿宋" w:hAnsi="仿宋" w:eastAsia="仿宋" w:cs="Times New Roman"/>
                <w:kern w:val="2"/>
                <w:sz w:val="24"/>
                <w:szCs w:val="24"/>
              </w:rPr>
              <w:t>奖项不累计加分，取最高分；</w:t>
            </w:r>
          </w:p>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2、投标人通过质量管理体系认证、环境管理体系认证，每项</w:t>
            </w:r>
            <w:r>
              <w:rPr>
                <w:rFonts w:hint="eastAsia" w:ascii="仿宋" w:hAnsi="仿宋" w:eastAsia="仿宋" w:cs="Times New Roman"/>
                <w:kern w:val="2"/>
                <w:sz w:val="24"/>
                <w:szCs w:val="24"/>
                <w:lang w:val="en-US" w:eastAsia="zh-CN"/>
              </w:rPr>
              <w:t>2</w:t>
            </w:r>
            <w:r>
              <w:rPr>
                <w:rFonts w:hint="eastAsia" w:ascii="仿宋" w:hAnsi="仿宋" w:eastAsia="仿宋" w:cs="Times New Roman"/>
                <w:kern w:val="2"/>
                <w:sz w:val="24"/>
                <w:szCs w:val="24"/>
              </w:rPr>
              <w:t>分，满分</w:t>
            </w:r>
            <w:r>
              <w:rPr>
                <w:rFonts w:hint="eastAsia" w:ascii="仿宋" w:hAnsi="仿宋" w:eastAsia="仿宋" w:cs="Times New Roman"/>
                <w:kern w:val="2"/>
                <w:sz w:val="24"/>
                <w:szCs w:val="24"/>
                <w:lang w:val="en-US" w:eastAsia="zh-CN"/>
              </w:rPr>
              <w:t>4</w:t>
            </w:r>
            <w:r>
              <w:rPr>
                <w:rFonts w:hint="eastAsia" w:ascii="仿宋" w:hAnsi="仿宋" w:eastAsia="仿宋" w:cs="Times New Roman"/>
                <w:kern w:val="2"/>
                <w:sz w:val="24"/>
                <w:szCs w:val="24"/>
              </w:rPr>
              <w:t>分。</w:t>
            </w:r>
          </w:p>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3、投标人通过第三方认证机构出具的信用等级AAA级认证的</w:t>
            </w:r>
            <w:r>
              <w:rPr>
                <w:rFonts w:hint="eastAsia" w:ascii="仿宋" w:hAnsi="仿宋" w:eastAsia="仿宋" w:cs="Times New Roman"/>
                <w:kern w:val="2"/>
                <w:sz w:val="24"/>
                <w:szCs w:val="24"/>
                <w:lang w:eastAsia="zh-CN"/>
              </w:rPr>
              <w:t>得</w:t>
            </w:r>
            <w:r>
              <w:rPr>
                <w:rFonts w:hint="eastAsia" w:ascii="仿宋" w:hAnsi="仿宋" w:eastAsia="仿宋" w:cs="Times New Roman"/>
                <w:kern w:val="2"/>
                <w:sz w:val="24"/>
                <w:szCs w:val="24"/>
                <w:lang w:val="en-US" w:eastAsia="zh-CN"/>
              </w:rPr>
              <w:t>2</w:t>
            </w:r>
            <w:r>
              <w:rPr>
                <w:rFonts w:hint="eastAsia" w:ascii="仿宋" w:hAnsi="仿宋" w:eastAsia="仿宋" w:cs="Times New Roman"/>
                <w:kern w:val="2"/>
                <w:sz w:val="24"/>
                <w:szCs w:val="24"/>
              </w:rPr>
              <w:t>分。</w:t>
            </w:r>
          </w:p>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4、投标人设有企业党组织者的</w:t>
            </w:r>
            <w:r>
              <w:rPr>
                <w:rFonts w:hint="eastAsia" w:ascii="仿宋" w:hAnsi="仿宋" w:eastAsia="仿宋" w:cs="Times New Roman"/>
                <w:kern w:val="2"/>
                <w:sz w:val="24"/>
                <w:szCs w:val="24"/>
                <w:lang w:eastAsia="zh-CN"/>
              </w:rPr>
              <w:t>得</w:t>
            </w:r>
            <w:r>
              <w:rPr>
                <w:rFonts w:hint="eastAsia" w:ascii="仿宋" w:hAnsi="仿宋" w:eastAsia="仿宋" w:cs="Times New Roman"/>
                <w:kern w:val="2"/>
                <w:sz w:val="24"/>
                <w:szCs w:val="24"/>
              </w:rPr>
              <w:t>3分（以组织部门的审批文件为准）。</w:t>
            </w:r>
          </w:p>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5、根据投标人在本项目以</w:t>
            </w:r>
            <w:r>
              <w:rPr>
                <w:rFonts w:hint="eastAsia" w:ascii="仿宋" w:hAnsi="仿宋" w:eastAsia="仿宋" w:cs="Times New Roman"/>
                <w:kern w:val="2"/>
                <w:sz w:val="24"/>
                <w:szCs w:val="24"/>
                <w:lang w:eastAsia="zh-CN"/>
              </w:rPr>
              <w:t>前</w:t>
            </w:r>
            <w:r>
              <w:rPr>
                <w:rFonts w:hint="eastAsia" w:ascii="仿宋" w:hAnsi="仿宋" w:eastAsia="仿宋" w:cs="Times New Roman"/>
                <w:kern w:val="2"/>
                <w:sz w:val="24"/>
                <w:szCs w:val="24"/>
              </w:rPr>
              <w:t>工商</w:t>
            </w:r>
            <w:r>
              <w:rPr>
                <w:rFonts w:hint="eastAsia" w:ascii="仿宋" w:hAnsi="仿宋" w:eastAsia="仿宋" w:cs="Times New Roman"/>
                <w:kern w:val="2"/>
                <w:sz w:val="24"/>
                <w:szCs w:val="24"/>
                <w:lang w:eastAsia="zh-CN"/>
              </w:rPr>
              <w:t>、</w:t>
            </w:r>
            <w:r>
              <w:rPr>
                <w:rFonts w:hint="eastAsia" w:ascii="仿宋" w:hAnsi="仿宋" w:eastAsia="仿宋" w:cs="Times New Roman"/>
                <w:kern w:val="2"/>
                <w:sz w:val="24"/>
                <w:szCs w:val="24"/>
              </w:rPr>
              <w:t>行业</w:t>
            </w:r>
            <w:r>
              <w:rPr>
                <w:rFonts w:hint="eastAsia" w:ascii="仿宋" w:hAnsi="仿宋" w:eastAsia="仿宋" w:cs="Times New Roman"/>
                <w:kern w:val="2"/>
                <w:sz w:val="24"/>
                <w:szCs w:val="24"/>
                <w:lang w:eastAsia="zh-CN"/>
              </w:rPr>
              <w:t>协会</w:t>
            </w:r>
            <w:r>
              <w:rPr>
                <w:rFonts w:hint="eastAsia" w:ascii="仿宋" w:hAnsi="仿宋" w:eastAsia="仿宋" w:cs="Times New Roman"/>
                <w:kern w:val="2"/>
                <w:sz w:val="24"/>
                <w:szCs w:val="24"/>
              </w:rPr>
              <w:t>颁发的荣誉证书等情况，每提供一份荣誉证书加1分；满分</w:t>
            </w:r>
            <w:r>
              <w:rPr>
                <w:rFonts w:hint="eastAsia" w:ascii="仿宋" w:hAnsi="仿宋" w:eastAsia="仿宋" w:cs="Times New Roman"/>
                <w:kern w:val="2"/>
                <w:sz w:val="24"/>
                <w:szCs w:val="24"/>
                <w:lang w:val="en-US" w:eastAsia="zh-CN"/>
              </w:rPr>
              <w:t>4</w:t>
            </w:r>
            <w:r>
              <w:rPr>
                <w:rFonts w:hint="eastAsia" w:ascii="仿宋" w:hAnsi="仿宋" w:eastAsia="仿宋" w:cs="Times New Roman"/>
                <w:kern w:val="2"/>
                <w:sz w:val="24"/>
                <w:szCs w:val="24"/>
              </w:rPr>
              <w:t>分。</w:t>
            </w:r>
          </w:p>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（以上证书要求在投标文件中均须提供复印件加盖公章）</w:t>
            </w:r>
          </w:p>
        </w:tc>
        <w:tc>
          <w:tcPr>
            <w:tcW w:w="967" w:type="dxa"/>
            <w:vAlign w:val="center"/>
          </w:tcPr>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u w:val="single"/>
              </w:rPr>
              <w:t>17</w:t>
            </w:r>
            <w:r>
              <w:rPr>
                <w:rFonts w:hint="eastAsia" w:ascii="仿宋" w:hAnsi="仿宋" w:eastAsia="仿宋" w:cs="Times New Roman"/>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widowControl w:val="0"/>
              <w:adjustRightInd/>
              <w:snapToGrid/>
              <w:spacing w:after="0" w:line="400" w:lineRule="exact"/>
              <w:jc w:val="center"/>
              <w:rPr>
                <w:rFonts w:ascii="仿宋" w:hAnsi="仿宋" w:eastAsia="仿宋" w:cs="Times New Roman"/>
                <w:kern w:val="2"/>
                <w:sz w:val="24"/>
                <w:szCs w:val="24"/>
              </w:rPr>
            </w:pPr>
            <w:r>
              <w:rPr>
                <w:rFonts w:hint="eastAsia" w:ascii="仿宋" w:hAnsi="仿宋" w:eastAsia="仿宋" w:cs="Times New Roman"/>
                <w:kern w:val="2"/>
                <w:sz w:val="24"/>
                <w:szCs w:val="24"/>
              </w:rPr>
              <w:t>业绩</w:t>
            </w:r>
          </w:p>
        </w:tc>
        <w:tc>
          <w:tcPr>
            <w:tcW w:w="5953" w:type="dxa"/>
            <w:vAlign w:val="center"/>
          </w:tcPr>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具有物业管理项目业绩，合同金额在90万元及以上（含90万元）的每份加4分，此项最高20分。（以上业绩需提供合同及验收报告，以合同签订日期为准）。</w:t>
            </w:r>
          </w:p>
        </w:tc>
        <w:tc>
          <w:tcPr>
            <w:tcW w:w="967" w:type="dxa"/>
            <w:vAlign w:val="center"/>
          </w:tcPr>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u w:val="single"/>
              </w:rPr>
              <w:t xml:space="preserve"> 20 </w:t>
            </w:r>
            <w:r>
              <w:rPr>
                <w:rFonts w:hint="eastAsia" w:ascii="仿宋" w:hAnsi="仿宋" w:eastAsia="仿宋" w:cs="Times New Roman"/>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rPr>
              <w:t>投标文件编制</w:t>
            </w:r>
          </w:p>
        </w:tc>
        <w:tc>
          <w:tcPr>
            <w:tcW w:w="5953" w:type="dxa"/>
            <w:vAlign w:val="center"/>
          </w:tcPr>
          <w:p>
            <w:pPr>
              <w:widowControl w:val="0"/>
              <w:adjustRightInd/>
              <w:snapToGrid/>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1、装订规范、文字清晰、无差错1分。</w:t>
            </w:r>
          </w:p>
          <w:p>
            <w:pPr>
              <w:widowControl w:val="0"/>
              <w:adjustRightInd/>
              <w:snapToGrid/>
              <w:spacing w:after="0" w:line="40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2、所提供资料准确完整1分。</w:t>
            </w:r>
          </w:p>
        </w:tc>
        <w:tc>
          <w:tcPr>
            <w:tcW w:w="967" w:type="dxa"/>
            <w:vAlign w:val="center"/>
          </w:tcPr>
          <w:p>
            <w:pPr>
              <w:widowControl w:val="0"/>
              <w:adjustRightInd/>
              <w:snapToGrid/>
              <w:spacing w:after="0"/>
              <w:jc w:val="center"/>
              <w:rPr>
                <w:rFonts w:ascii="仿宋" w:hAnsi="仿宋" w:eastAsia="仿宋" w:cs="宋体"/>
                <w:kern w:val="2"/>
                <w:sz w:val="24"/>
                <w:szCs w:val="24"/>
              </w:rPr>
            </w:pPr>
            <w:r>
              <w:rPr>
                <w:rFonts w:hint="eastAsia" w:ascii="仿宋" w:hAnsi="仿宋" w:eastAsia="仿宋" w:cs="Times New Roman"/>
                <w:kern w:val="2"/>
                <w:sz w:val="24"/>
                <w:szCs w:val="24"/>
                <w:u w:val="single"/>
              </w:rPr>
              <w:t>2</w:t>
            </w:r>
            <w:r>
              <w:rPr>
                <w:rFonts w:hint="eastAsia" w:ascii="仿宋" w:hAnsi="仿宋" w:eastAsia="仿宋" w:cs="Times New Roman"/>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rPr>
              <w:t>拟派驻人员</w:t>
            </w:r>
          </w:p>
        </w:tc>
        <w:tc>
          <w:tcPr>
            <w:tcW w:w="5953" w:type="dxa"/>
            <w:vAlign w:val="center"/>
          </w:tcPr>
          <w:p>
            <w:pPr>
              <w:widowControl w:val="0"/>
              <w:adjustRightInd/>
              <w:snapToGrid/>
              <w:spacing w:after="0" w:line="400" w:lineRule="exact"/>
              <w:jc w:val="both"/>
              <w:rPr>
                <w:rFonts w:hint="eastAsia" w:ascii="仿宋" w:hAnsi="仿宋" w:eastAsia="仿宋" w:cs="Times New Roman"/>
                <w:kern w:val="2"/>
                <w:sz w:val="24"/>
                <w:szCs w:val="24"/>
              </w:rPr>
            </w:pPr>
            <w:r>
              <w:rPr>
                <w:rFonts w:hint="eastAsia" w:ascii="仿宋" w:hAnsi="仿宋" w:eastAsia="仿宋" w:cs="Times New Roman"/>
                <w:kern w:val="2"/>
                <w:sz w:val="24"/>
                <w:szCs w:val="24"/>
              </w:rPr>
              <w:t>在满足招标文件基础之上，每增加1名监控员加2分，满分4分（需提供</w:t>
            </w:r>
            <w:r>
              <w:rPr>
                <w:rFonts w:hint="eastAsia" w:ascii="仿宋" w:hAnsi="仿宋" w:eastAsia="仿宋" w:cs="Times New Roman"/>
                <w:kern w:val="2"/>
                <w:sz w:val="24"/>
                <w:szCs w:val="24"/>
                <w:lang w:eastAsia="zh-CN"/>
              </w:rPr>
              <w:t>建（构）筑物消防员资格证</w:t>
            </w:r>
            <w:r>
              <w:rPr>
                <w:rFonts w:hint="eastAsia" w:ascii="仿宋" w:hAnsi="仿宋" w:eastAsia="仿宋" w:cs="Times New Roman"/>
                <w:kern w:val="2"/>
                <w:sz w:val="24"/>
                <w:szCs w:val="24"/>
              </w:rPr>
              <w:t>）。</w:t>
            </w:r>
          </w:p>
        </w:tc>
        <w:tc>
          <w:tcPr>
            <w:tcW w:w="967" w:type="dxa"/>
            <w:vAlign w:val="center"/>
          </w:tcPr>
          <w:p>
            <w:pPr>
              <w:widowControl w:val="0"/>
              <w:adjustRightInd/>
              <w:snapToGrid/>
              <w:spacing w:after="0" w:line="400" w:lineRule="exact"/>
              <w:jc w:val="center"/>
              <w:rPr>
                <w:rFonts w:hint="eastAsia" w:ascii="仿宋" w:hAnsi="仿宋" w:eastAsia="仿宋" w:cs="Times New Roman"/>
                <w:kern w:val="2"/>
                <w:sz w:val="24"/>
                <w:szCs w:val="24"/>
              </w:rPr>
            </w:pPr>
            <w:r>
              <w:rPr>
                <w:rFonts w:hint="eastAsia" w:ascii="仿宋" w:hAnsi="仿宋" w:eastAsia="仿宋" w:cs="Times New Roman"/>
                <w:kern w:val="2"/>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966" w:type="dxa"/>
            <w:gridSpan w:val="3"/>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三、技术部分（满分</w:t>
            </w:r>
            <w:r>
              <w:rPr>
                <w:rFonts w:hint="eastAsia" w:ascii="仿宋" w:hAnsi="仿宋" w:eastAsia="仿宋" w:cs="Times New Roman"/>
                <w:b/>
                <w:kern w:val="2"/>
                <w:sz w:val="24"/>
                <w:szCs w:val="24"/>
                <w:u w:val="single"/>
              </w:rPr>
              <w:t xml:space="preserve"> 35 </w:t>
            </w:r>
            <w:r>
              <w:rPr>
                <w:rFonts w:hint="eastAsia" w:ascii="仿宋" w:hAnsi="仿宋" w:eastAsia="仿宋" w:cs="Times New Roman"/>
                <w:b/>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046" w:type="dxa"/>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评分因素</w:t>
            </w:r>
          </w:p>
        </w:tc>
        <w:tc>
          <w:tcPr>
            <w:tcW w:w="5953" w:type="dxa"/>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评分标准</w:t>
            </w:r>
          </w:p>
        </w:tc>
        <w:tc>
          <w:tcPr>
            <w:tcW w:w="967" w:type="dxa"/>
            <w:vAlign w:val="center"/>
          </w:tcPr>
          <w:p>
            <w:pPr>
              <w:widowControl w:val="0"/>
              <w:adjustRightInd/>
              <w:snapToGrid/>
              <w:spacing w:after="0"/>
              <w:jc w:val="center"/>
              <w:rPr>
                <w:rFonts w:ascii="仿宋" w:hAnsi="仿宋" w:eastAsia="仿宋" w:cs="Times New Roman"/>
                <w:b/>
                <w:kern w:val="2"/>
                <w:sz w:val="24"/>
                <w:szCs w:val="24"/>
              </w:rPr>
            </w:pPr>
            <w:r>
              <w:rPr>
                <w:rFonts w:hint="eastAsia" w:ascii="仿宋" w:hAnsi="仿宋" w:eastAsia="仿宋" w:cs="Times New Roman"/>
                <w:b/>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rPr>
              <w:t>服务方案</w:t>
            </w:r>
          </w:p>
        </w:tc>
        <w:tc>
          <w:tcPr>
            <w:tcW w:w="5953" w:type="dxa"/>
            <w:vAlign w:val="center"/>
          </w:tcPr>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1、对服务项目背景现状、实际需求、运作要求等理解到位、分析全面深入的得7分，有相关描述的得3分，不提供不得分。</w:t>
            </w:r>
          </w:p>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2、工作流程、作业程序及管理方案全面、规范、无漏项的，得7分，有相关描述的得3分，不提供不得分。</w:t>
            </w:r>
          </w:p>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3、员工培训计划方案、绩效考核、管理全面、有效的，得7分，有相关描述的得3分，不提供不得分。</w:t>
            </w:r>
          </w:p>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4、应急情况处理方案全面、有效的，得7分，有相关描述的得3分，不提供不得分。</w:t>
            </w:r>
          </w:p>
          <w:p>
            <w:pPr>
              <w:widowControl w:val="0"/>
              <w:adjustRightInd/>
              <w:snapToGrid/>
              <w:spacing w:after="0" w:line="360" w:lineRule="exact"/>
              <w:jc w:val="both"/>
              <w:rPr>
                <w:rFonts w:ascii="仿宋" w:hAnsi="仿宋" w:eastAsia="仿宋" w:cs="Times New Roman"/>
                <w:kern w:val="2"/>
                <w:sz w:val="24"/>
                <w:szCs w:val="24"/>
              </w:rPr>
            </w:pPr>
            <w:r>
              <w:rPr>
                <w:rFonts w:hint="eastAsia" w:ascii="仿宋" w:hAnsi="仿宋" w:eastAsia="仿宋" w:cs="Times New Roman"/>
                <w:kern w:val="2"/>
                <w:sz w:val="24"/>
                <w:szCs w:val="24"/>
              </w:rPr>
              <w:t>5、管理人员岗位配置全面无缺岗，且人员数量科学合理的，得7分，有相关描述的得3分，不提供不得分。</w:t>
            </w:r>
          </w:p>
        </w:tc>
        <w:tc>
          <w:tcPr>
            <w:tcW w:w="967" w:type="dxa"/>
            <w:vAlign w:val="center"/>
          </w:tcPr>
          <w:p>
            <w:pPr>
              <w:widowControl w:val="0"/>
              <w:adjustRightInd/>
              <w:snapToGrid/>
              <w:spacing w:after="0"/>
              <w:jc w:val="center"/>
              <w:rPr>
                <w:rFonts w:ascii="仿宋" w:hAnsi="仿宋" w:eastAsia="仿宋" w:cs="Times New Roman"/>
                <w:kern w:val="2"/>
                <w:sz w:val="24"/>
                <w:szCs w:val="24"/>
              </w:rPr>
            </w:pPr>
            <w:r>
              <w:rPr>
                <w:rFonts w:hint="eastAsia" w:ascii="仿宋" w:hAnsi="仿宋" w:eastAsia="仿宋" w:cs="Times New Roman"/>
                <w:kern w:val="2"/>
                <w:sz w:val="24"/>
                <w:szCs w:val="24"/>
                <w:u w:val="single"/>
              </w:rPr>
              <w:t xml:space="preserve"> 35</w:t>
            </w:r>
            <w:r>
              <w:rPr>
                <w:rFonts w:hint="eastAsia" w:ascii="仿宋" w:hAnsi="仿宋" w:eastAsia="仿宋" w:cs="Times New Roman"/>
                <w:kern w:val="2"/>
                <w:sz w:val="24"/>
                <w:szCs w:val="24"/>
              </w:rPr>
              <w:t>分</w:t>
            </w:r>
          </w:p>
        </w:tc>
      </w:tr>
    </w:tbl>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宋体" w:eastAsia="黑体"/>
          <w:color w:val="000000"/>
          <w:sz w:val="30"/>
          <w:szCs w:val="30"/>
        </w:rPr>
        <w:t>六、采购资金支付</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仿宋"/>
          <w:color w:val="000000"/>
          <w:sz w:val="30"/>
          <w:szCs w:val="30"/>
        </w:rPr>
        <w:t>（一）支付方式：银行转账</w:t>
      </w:r>
    </w:p>
    <w:p>
      <w:pPr>
        <w:shd w:val="clear" w:color="auto" w:fill="FFFFFF"/>
        <w:adjustRightInd/>
        <w:snapToGrid/>
        <w:spacing w:after="0" w:line="360" w:lineRule="auto"/>
        <w:ind w:firstLine="600"/>
        <w:rPr>
          <w:rFonts w:ascii="仿宋" w:hAnsi="仿宋" w:eastAsia="仿宋" w:cs="仿宋"/>
          <w:color w:val="000000"/>
          <w:sz w:val="30"/>
          <w:szCs w:val="30"/>
        </w:rPr>
      </w:pPr>
      <w:r>
        <w:rPr>
          <w:rFonts w:hint="eastAsia" w:ascii="仿宋" w:hAnsi="仿宋" w:eastAsia="仿宋" w:cs="仿宋"/>
          <w:color w:val="000000"/>
          <w:sz w:val="30"/>
          <w:szCs w:val="30"/>
        </w:rPr>
        <w:t>（二）</w:t>
      </w:r>
      <w:r>
        <w:rPr>
          <w:rFonts w:hint="eastAsia" w:ascii="仿宋" w:hAnsi="仿宋" w:eastAsia="仿宋" w:cs="仿宋"/>
          <w:sz w:val="30"/>
          <w:szCs w:val="30"/>
        </w:rPr>
        <w:t>支付时间及条件：</w:t>
      </w:r>
      <w:r>
        <w:rPr>
          <w:rFonts w:hint="eastAsia" w:ascii="仿宋" w:hAnsi="仿宋" w:eastAsia="仿宋" w:cs="仿宋"/>
          <w:color w:val="000000"/>
          <w:sz w:val="30"/>
          <w:szCs w:val="30"/>
        </w:rPr>
        <w:t>招标人按照中标价每月平均支付物业服务费用。</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宋体" w:eastAsia="黑体"/>
          <w:color w:val="000000"/>
          <w:sz w:val="30"/>
          <w:szCs w:val="30"/>
        </w:rPr>
        <w:t>七、联系方式</w:t>
      </w:r>
    </w:p>
    <w:p>
      <w:pPr>
        <w:shd w:val="clear" w:color="auto" w:fill="FFFFFF"/>
        <w:adjustRightInd/>
        <w:snapToGrid/>
        <w:spacing w:after="0" w:line="360" w:lineRule="auto"/>
        <w:ind w:firstLine="795"/>
        <w:rPr>
          <w:rFonts w:ascii="宋体" w:hAnsi="宋体" w:eastAsia="宋体" w:cs="宋体"/>
          <w:color w:val="000000"/>
          <w:sz w:val="24"/>
          <w:szCs w:val="24"/>
        </w:rPr>
      </w:pPr>
      <w:r>
        <w:rPr>
          <w:rFonts w:hint="eastAsia" w:ascii="仿宋" w:hAnsi="仿宋" w:eastAsia="仿宋" w:cs="仿宋"/>
          <w:color w:val="000000"/>
          <w:sz w:val="30"/>
          <w:szCs w:val="30"/>
        </w:rPr>
        <w:t>联系人姓名：邹先生     联系电话：</w:t>
      </w:r>
      <w:r>
        <w:rPr>
          <w:rFonts w:hint="eastAsia" w:ascii="仿宋" w:hAnsi="仿宋" w:eastAsia="仿宋" w:cs="仿宋"/>
          <w:color w:val="000000"/>
          <w:sz w:val="30"/>
          <w:szCs w:val="30"/>
          <w:lang w:val="zh-CN"/>
        </w:rPr>
        <w:t>13938787766</w:t>
      </w:r>
    </w:p>
    <w:p>
      <w:pPr>
        <w:shd w:val="clear" w:color="auto" w:fill="FFFFFF"/>
        <w:adjustRightInd/>
        <w:snapToGrid/>
        <w:spacing w:after="0" w:line="360" w:lineRule="auto"/>
        <w:ind w:firstLine="795"/>
        <w:rPr>
          <w:rFonts w:ascii="仿宋" w:hAnsi="仿宋" w:eastAsia="仿宋" w:cs="仿宋"/>
          <w:color w:val="000000"/>
          <w:sz w:val="30"/>
          <w:szCs w:val="30"/>
        </w:rPr>
      </w:pPr>
      <w:r>
        <w:rPr>
          <w:rFonts w:hint="eastAsia" w:ascii="仿宋" w:hAnsi="仿宋" w:eastAsia="仿宋" w:cs="仿宋"/>
          <w:color w:val="000000"/>
          <w:sz w:val="30"/>
          <w:szCs w:val="30"/>
        </w:rPr>
        <w:t>单位地址：许昌市学院</w:t>
      </w:r>
      <w:r>
        <w:rPr>
          <w:rFonts w:hint="eastAsia" w:ascii="仿宋" w:hAnsi="仿宋" w:eastAsia="仿宋" w:cs="仿宋"/>
          <w:color w:val="000000"/>
          <w:sz w:val="30"/>
          <w:szCs w:val="30"/>
          <w:lang w:eastAsia="zh-CN"/>
        </w:rPr>
        <w:t>北</w:t>
      </w:r>
      <w:r>
        <w:rPr>
          <w:rFonts w:hint="eastAsia" w:ascii="仿宋" w:hAnsi="仿宋" w:eastAsia="仿宋" w:cs="仿宋"/>
          <w:color w:val="000000"/>
          <w:sz w:val="30"/>
          <w:szCs w:val="30"/>
        </w:rPr>
        <w:t>路和</w:t>
      </w:r>
      <w:r>
        <w:rPr>
          <w:rFonts w:hint="eastAsia" w:ascii="仿宋" w:hAnsi="仿宋" w:eastAsia="仿宋" w:cs="仿宋"/>
          <w:color w:val="000000"/>
          <w:sz w:val="30"/>
          <w:szCs w:val="30"/>
          <w:lang w:eastAsia="zh-CN"/>
        </w:rPr>
        <w:t>东城街</w:t>
      </w:r>
      <w:r>
        <w:rPr>
          <w:rFonts w:hint="eastAsia" w:ascii="仿宋" w:hAnsi="仿宋" w:eastAsia="仿宋" w:cs="仿宋"/>
          <w:color w:val="000000"/>
          <w:sz w:val="30"/>
          <w:szCs w:val="30"/>
        </w:rPr>
        <w:t>交叉口</w:t>
      </w:r>
    </w:p>
    <w:p>
      <w:pPr>
        <w:shd w:val="clear" w:color="auto" w:fill="FFFFFF"/>
        <w:adjustRightInd/>
        <w:snapToGrid/>
        <w:spacing w:after="0" w:line="360" w:lineRule="auto"/>
        <w:ind w:firstLine="4350"/>
        <w:jc w:val="right"/>
        <w:rPr>
          <w:rFonts w:hint="eastAsia" w:ascii="仿宋" w:hAnsi="仿宋" w:eastAsia="仿宋" w:cs="仿宋"/>
          <w:color w:val="000000"/>
          <w:sz w:val="30"/>
          <w:szCs w:val="30"/>
        </w:rPr>
      </w:pPr>
    </w:p>
    <w:p>
      <w:pPr>
        <w:shd w:val="clear" w:color="auto" w:fill="FFFFFF"/>
        <w:adjustRightInd/>
        <w:snapToGrid/>
        <w:spacing w:after="0" w:line="360" w:lineRule="auto"/>
        <w:ind w:firstLine="4350"/>
        <w:jc w:val="right"/>
        <w:rPr>
          <w:rFonts w:ascii="仿宋" w:hAnsi="仿宋" w:eastAsia="仿宋" w:cs="仿宋"/>
          <w:color w:val="000000"/>
          <w:sz w:val="30"/>
          <w:szCs w:val="30"/>
        </w:rPr>
      </w:pPr>
      <w:r>
        <w:rPr>
          <w:rFonts w:hint="eastAsia" w:ascii="仿宋" w:hAnsi="仿宋" w:eastAsia="仿宋" w:cs="仿宋"/>
          <w:color w:val="000000"/>
          <w:sz w:val="30"/>
          <w:szCs w:val="30"/>
        </w:rPr>
        <w:t>许昌市人民防空办公室</w:t>
      </w:r>
    </w:p>
    <w:p>
      <w:pPr>
        <w:shd w:val="clear" w:color="auto" w:fill="FFFFFF"/>
        <w:adjustRightInd/>
        <w:snapToGrid/>
        <w:spacing w:after="0" w:line="360" w:lineRule="auto"/>
        <w:ind w:firstLine="4350"/>
        <w:jc w:val="right"/>
        <w:rPr>
          <w:rFonts w:hint="eastAsia" w:ascii="仿宋" w:hAnsi="仿宋" w:eastAsia="仿宋" w:cs="仿宋"/>
          <w:color w:val="000000"/>
          <w:sz w:val="30"/>
          <w:szCs w:val="30"/>
        </w:rPr>
      </w:pPr>
      <w:r>
        <w:rPr>
          <w:rFonts w:hint="eastAsia" w:ascii="仿宋" w:hAnsi="仿宋" w:eastAsia="仿宋" w:cs="仿宋"/>
          <w:color w:val="000000"/>
          <w:sz w:val="30"/>
          <w:szCs w:val="30"/>
        </w:rPr>
        <w:t>（加盖单位公章）</w:t>
      </w:r>
    </w:p>
    <w:p>
      <w:pPr>
        <w:shd w:val="clear" w:color="auto" w:fill="FFFFFF"/>
        <w:adjustRightInd/>
        <w:snapToGrid/>
        <w:spacing w:after="0" w:line="360" w:lineRule="auto"/>
        <w:ind w:firstLine="4350"/>
        <w:jc w:val="right"/>
        <w:rPr>
          <w:rFonts w:ascii="宋体" w:hAnsi="宋体" w:eastAsia="宋体" w:cs="宋体"/>
          <w:color w:val="000000"/>
          <w:sz w:val="24"/>
          <w:szCs w:val="24"/>
        </w:rPr>
      </w:pPr>
      <w:r>
        <w:rPr>
          <w:rFonts w:hint="eastAsia" w:ascii="仿宋" w:hAnsi="仿宋" w:eastAsia="仿宋" w:cs="仿宋"/>
          <w:color w:val="000000"/>
          <w:sz w:val="30"/>
          <w:szCs w:val="30"/>
          <w:lang w:val="en-US" w:eastAsia="zh-CN"/>
        </w:rPr>
        <w:t>2018</w:t>
      </w:r>
      <w:r>
        <w:rPr>
          <w:rFonts w:hint="eastAsia" w:ascii="仿宋" w:hAnsi="仿宋" w:eastAsia="仿宋" w:cs="仿宋"/>
          <w:color w:val="000000"/>
          <w:sz w:val="30"/>
          <w:szCs w:val="30"/>
        </w:rPr>
        <w:t xml:space="preserve">年 </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月</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日</w:t>
      </w:r>
    </w:p>
    <w:p>
      <w:pPr>
        <w:spacing w:line="360" w:lineRule="auto"/>
      </w:pPr>
      <w:bookmarkStart w:id="0" w:name="_GoBack"/>
      <w:bookmarkEnd w:id="0"/>
    </w:p>
    <w:p>
      <w:pPr>
        <w:spacing w:line="360" w:lineRule="auto"/>
      </w:pPr>
    </w:p>
    <w:p>
      <w:pPr>
        <w:spacing w:line="360" w:lineRule="auto"/>
        <w:rPr>
          <w:b w:val="0"/>
          <w:bCs/>
          <w:sz w:val="32"/>
          <w:szCs w:val="32"/>
        </w:rPr>
      </w:pPr>
    </w:p>
    <w:sectPr>
      <w:pgSz w:w="11906" w:h="16838"/>
      <w:pgMar w:top="1304" w:right="1418" w:bottom="1304"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79A1E"/>
    <w:multiLevelType w:val="singleLevel"/>
    <w:tmpl w:val="98279A1E"/>
    <w:lvl w:ilvl="0" w:tentative="0">
      <w:start w:val="1"/>
      <w:numFmt w:val="chineseCounting"/>
      <w:suff w:val="nothing"/>
      <w:lvlText w:val="（%1）"/>
      <w:lvlJc w:val="left"/>
      <w:rPr>
        <w:rFonts w:hint="eastAsia"/>
      </w:rPr>
    </w:lvl>
  </w:abstractNum>
  <w:abstractNum w:abstractNumId="1">
    <w:nsid w:val="5AC099A7"/>
    <w:multiLevelType w:val="singleLevel"/>
    <w:tmpl w:val="5AC099A7"/>
    <w:lvl w:ilvl="0" w:tentative="0">
      <w:start w:val="5"/>
      <w:numFmt w:val="decimal"/>
      <w:suff w:val="nothing"/>
      <w:lvlText w:val="%1、"/>
      <w:lvlJc w:val="left"/>
    </w:lvl>
  </w:abstractNum>
  <w:abstractNum w:abstractNumId="2">
    <w:nsid w:val="5AC09B17"/>
    <w:multiLevelType w:val="singleLevel"/>
    <w:tmpl w:val="5AC09B17"/>
    <w:lvl w:ilvl="0" w:tentative="0">
      <w:start w:val="6"/>
      <w:numFmt w:val="decimal"/>
      <w:suff w:val="nothing"/>
      <w:lvlText w:val="%1."/>
      <w:lvlJc w:val="left"/>
    </w:lvl>
  </w:abstractNum>
  <w:abstractNum w:abstractNumId="3">
    <w:nsid w:val="5AC09C1C"/>
    <w:multiLevelType w:val="singleLevel"/>
    <w:tmpl w:val="5AC09C1C"/>
    <w:lvl w:ilvl="0" w:tentative="0">
      <w:start w:val="7"/>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88B4053"/>
    <w:rsid w:val="26C97C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semiHidden/>
    <w:unhideWhenUsed/>
    <w:uiPriority w:val="99"/>
    <w:rPr>
      <w:b/>
      <w:bCs/>
    </w:rPr>
  </w:style>
  <w:style w:type="paragraph" w:styleId="3">
    <w:name w:val="annotation text"/>
    <w:basedOn w:val="1"/>
    <w:link w:val="12"/>
    <w:semiHidden/>
    <w:unhideWhenUsed/>
    <w:qFormat/>
    <w:uiPriority w:val="99"/>
  </w:style>
  <w:style w:type="paragraph" w:styleId="4">
    <w:name w:val="Balloon Text"/>
    <w:basedOn w:val="1"/>
    <w:link w:val="14"/>
    <w:semiHidden/>
    <w:unhideWhenUsed/>
    <w:qFormat/>
    <w:uiPriority w:val="99"/>
    <w:pPr>
      <w:spacing w:after="0"/>
    </w:pPr>
    <w:rPr>
      <w:sz w:val="18"/>
      <w:szCs w:val="18"/>
    </w:rPr>
  </w:style>
  <w:style w:type="paragraph" w:styleId="5">
    <w:name w:val="footer"/>
    <w:basedOn w:val="1"/>
    <w:link w:val="16"/>
    <w:semiHidden/>
    <w:unhideWhenUsed/>
    <w:qFormat/>
    <w:uiPriority w:val="99"/>
    <w:pPr>
      <w:tabs>
        <w:tab w:val="center" w:pos="4153"/>
        <w:tab w:val="right" w:pos="8306"/>
      </w:tabs>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adjustRightInd/>
      <w:snapToGrid/>
      <w:spacing w:after="0"/>
    </w:pPr>
    <w:rPr>
      <w:rFonts w:ascii="宋体" w:hAnsi="宋体" w:eastAsia="宋体" w:cs="宋体"/>
      <w:sz w:val="24"/>
      <w:szCs w:val="24"/>
    </w:rPr>
  </w:style>
  <w:style w:type="character" w:styleId="9">
    <w:name w:val="annotation reference"/>
    <w:basedOn w:val="8"/>
    <w:semiHidden/>
    <w:unhideWhenUsed/>
    <w:qFormat/>
    <w:uiPriority w:val="99"/>
    <w:rPr>
      <w:sz w:val="21"/>
      <w:szCs w:val="21"/>
    </w:rPr>
  </w:style>
  <w:style w:type="paragraph" w:customStyle="1" w:styleId="11">
    <w:name w:val="列出段落1"/>
    <w:basedOn w:val="1"/>
    <w:qFormat/>
    <w:uiPriority w:val="34"/>
    <w:pPr>
      <w:ind w:firstLine="420" w:firstLineChars="200"/>
    </w:pPr>
  </w:style>
  <w:style w:type="character" w:customStyle="1" w:styleId="12">
    <w:name w:val="批注文字 Char"/>
    <w:basedOn w:val="8"/>
    <w:link w:val="3"/>
    <w:semiHidden/>
    <w:qFormat/>
    <w:uiPriority w:val="99"/>
    <w:rPr>
      <w:rFonts w:ascii="Tahoma" w:hAnsi="Tahoma"/>
    </w:rPr>
  </w:style>
  <w:style w:type="character" w:customStyle="1" w:styleId="13">
    <w:name w:val="批注主题 Char"/>
    <w:basedOn w:val="12"/>
    <w:link w:val="2"/>
    <w:semiHidden/>
    <w:qFormat/>
    <w:uiPriority w:val="99"/>
    <w:rPr>
      <w:b/>
      <w:bCs/>
    </w:rPr>
  </w:style>
  <w:style w:type="character" w:customStyle="1" w:styleId="14">
    <w:name w:val="批注框文本 Char"/>
    <w:basedOn w:val="8"/>
    <w:link w:val="4"/>
    <w:semiHidden/>
    <w:qFormat/>
    <w:uiPriority w:val="99"/>
    <w:rPr>
      <w:rFonts w:ascii="Tahoma" w:hAnsi="Tahoma"/>
      <w:sz w:val="18"/>
      <w:szCs w:val="18"/>
    </w:rPr>
  </w:style>
  <w:style w:type="character" w:customStyle="1" w:styleId="15">
    <w:name w:val="页眉 Char"/>
    <w:basedOn w:val="8"/>
    <w:link w:val="6"/>
    <w:semiHidden/>
    <w:qFormat/>
    <w:uiPriority w:val="99"/>
    <w:rPr>
      <w:rFonts w:ascii="Tahoma" w:hAnsi="Tahoma"/>
      <w:sz w:val="18"/>
      <w:szCs w:val="18"/>
    </w:rPr>
  </w:style>
  <w:style w:type="character" w:customStyle="1" w:styleId="16">
    <w:name w:val="页脚 Char"/>
    <w:basedOn w:val="8"/>
    <w:link w:val="5"/>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669</Words>
  <Characters>3814</Characters>
  <Lines>31</Lines>
  <Paragraphs>8</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许昌市公共资源交易中心:杨丹丹</cp:lastModifiedBy>
  <cp:lastPrinted>2018-04-02T23:10:00Z</cp:lastPrinted>
  <dcterms:modified xsi:type="dcterms:W3CDTF">2018-04-03T06:51:36Z</dcterms:modified>
  <dc:title>政府采购项目采购需求提交说明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