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许昌市中心血站无偿献血纪念品采购项目</w:t>
      </w:r>
    </w:p>
    <w:p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采购需求、评标标准等说明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（一）项目名称：许昌市中心血站无偿献血纪念品采购项目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（二）采购方式：公开招标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（三）主要内容、数量及要求：</w:t>
      </w:r>
    </w:p>
    <w:tbl>
      <w:tblPr>
        <w:tblStyle w:val="7"/>
        <w:tblW w:w="8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578"/>
        <w:gridCol w:w="144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1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4578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产品名称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4578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奶锅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4578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雨伞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把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4578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旅行壶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578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毛巾（两条装）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盒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4578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玻璃杯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4578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充电宝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tabs>
                <w:tab w:val="left" w:pos="720"/>
                <w:tab w:val="left" w:pos="992"/>
              </w:tabs>
              <w:spacing w:line="360" w:lineRule="auto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5000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（四）最高限价：90万元。</w:t>
      </w:r>
    </w:p>
    <w:p>
      <w:pPr>
        <w:widowControl/>
        <w:shd w:val="clear" w:color="auto" w:fill="FFFFFF"/>
        <w:spacing w:line="360" w:lineRule="atLeast"/>
        <w:ind w:firstLine="1500" w:firstLineChars="5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其中：奶锅：16万元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雨伞：16万元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旅行壶：15万元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毛巾：12万元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玻璃杯：16万元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充电宝：15万元。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（五）交付时间：签定合同后</w:t>
      </w:r>
      <w:r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10</w:t>
      </w: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个工作日内供货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（六）交付地点：许昌市中心血站仓库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（七）进口产品：不允许。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（八）分包：不允许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本项目落实节能环保</w:t>
      </w:r>
      <w:r>
        <w:rPr>
          <w:rFonts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、中小微型企业扶持</w:t>
      </w:r>
      <w:r>
        <w:rPr>
          <w:rFonts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、支持监狱企业发展</w:t>
      </w:r>
      <w:r>
        <w:rPr>
          <w:rFonts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、残疾人福利性单位扶持</w:t>
      </w:r>
      <w:r>
        <w:rPr>
          <w:rFonts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等相关政府采购政策。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（二）本次招标不接受</w:t>
      </w:r>
      <w:r>
        <w:rPr>
          <w:rFonts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联合体投标。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宋体" w:eastAsia="仿宋" w:cs="仿宋"/>
          <w:color w:val="000000" w:themeColor="text1"/>
          <w:kern w:val="0"/>
          <w:sz w:val="30"/>
          <w:szCs w:val="30"/>
          <w:shd w:val="clear" w:color="auto" w:fill="FFFFFF"/>
        </w:rPr>
        <w:t>（一）</w:t>
      </w: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采购清单</w:t>
      </w:r>
    </w:p>
    <w:tbl>
      <w:tblPr>
        <w:tblStyle w:val="7"/>
        <w:tblW w:w="850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868"/>
        <w:gridCol w:w="4234"/>
        <w:gridCol w:w="641"/>
        <w:gridCol w:w="111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b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42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b/>
                <w:color w:val="000000"/>
                <w:kern w:val="0"/>
                <w:sz w:val="24"/>
              </w:rPr>
              <w:t>技术规格及主要参数</w:t>
            </w:r>
          </w:p>
        </w:tc>
        <w:tc>
          <w:tcPr>
            <w:tcW w:w="6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宋体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b/>
                <w:color w:val="000000"/>
                <w:kern w:val="0"/>
                <w:sz w:val="24"/>
              </w:rPr>
              <w:t>核心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宋体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b/>
                <w:color w:val="000000"/>
                <w:kern w:val="0"/>
                <w:sz w:val="24"/>
              </w:rPr>
              <w:t>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奶锅</w:t>
            </w: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1.规格：≥16cm、单底、单柄</w:t>
            </w:r>
          </w:p>
          <w:p>
            <w:pPr>
              <w:widowControl/>
              <w:spacing w:line="240" w:lineRule="atLeast"/>
              <w:jc w:val="lef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2.材质：优质不锈钢，锅盖为耐高温高强度钢化玻璃，手柄材料为电木，可适用现下主流灶具。</w:t>
            </w:r>
          </w:p>
          <w:p>
            <w:pPr>
              <w:widowControl/>
              <w:spacing w:line="240" w:lineRule="atLeast"/>
              <w:jc w:val="lef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3.产品等级：合格品</w:t>
            </w:r>
          </w:p>
          <w:p>
            <w:pPr>
              <w:widowControl/>
              <w:spacing w:line="240" w:lineRule="atLeast"/>
              <w:jc w:val="left"/>
              <w:rPr>
                <w:rFonts w:ascii="Arial" w:hAnsi="Arial" w:cs="Arial"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4.包装：独立彩盒包装。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8000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雨伞</w:t>
            </w: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三折四节钢杆钢骨伞，国内驰名品牌；</w:t>
            </w:r>
          </w:p>
          <w:p>
            <w:pPr>
              <w:widowControl/>
              <w:spacing w:line="24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伞架：</w:t>
            </w:r>
          </w:p>
          <w:p>
            <w:pPr>
              <w:widowControl/>
              <w:spacing w:line="24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1、规格：57CM*8K</w:t>
            </w:r>
          </w:p>
          <w:p>
            <w:pPr>
              <w:widowControl/>
              <w:spacing w:line="24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2、开关次数：≥400次（GB/T23147-2008标准：400次）</w:t>
            </w:r>
          </w:p>
          <w:p>
            <w:pPr>
              <w:widowControl/>
              <w:spacing w:line="24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3、伞架零部件：</w:t>
            </w:r>
          </w:p>
          <w:p>
            <w:pPr>
              <w:widowControl/>
              <w:spacing w:line="24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1.伞杆：优质碳素钢，表面镀铬。</w:t>
            </w:r>
          </w:p>
          <w:p>
            <w:pPr>
              <w:widowControl/>
              <w:spacing w:line="24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2.伞骨：优质碳素钢/碳素弹簧钢。电镀：锌+表面树脂封闭。</w:t>
            </w:r>
          </w:p>
          <w:p>
            <w:pPr>
              <w:widowControl/>
              <w:spacing w:line="24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3.伞面：银胶布面料。</w:t>
            </w:r>
          </w:p>
          <w:p>
            <w:pPr>
              <w:widowControl/>
              <w:spacing w:line="24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4.面料防雨性能强，防紫外线。</w:t>
            </w:r>
          </w:p>
          <w:p>
            <w:pPr>
              <w:widowControl/>
              <w:spacing w:line="360" w:lineRule="atLeast"/>
              <w:rPr>
                <w:rFonts w:ascii="宋体" w:hAnsi="宋体" w:cs="宋体"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5.伞面饱满，无脱线现象。</w:t>
            </w:r>
            <w:r>
              <w:rPr>
                <w:rFonts w:hint="eastAsia" w:ascii="宋体" w:hAnsi="宋体" w:cs="宋体"/>
                <w:iCs/>
                <w:color w:val="000000"/>
                <w:kern w:val="0"/>
                <w:sz w:val="24"/>
              </w:rPr>
              <w:t> 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把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8000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宋体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宋体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旅行壶</w:t>
            </w: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1、双层不锈钢结构，材料符合食品及卫生标准，容量与标称容量相符；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2、产品表面光洁，边部无毛刺；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3、容量：≥750ml；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4、双层真空保温，阻断空气传热；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5、选用优质不锈钢材质，表面烤漆无偿献血图案标语；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6、保温24小时，达到50度以上；持久保温；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7、一个内胆，一个瓶塞，一个背带，一个包装盒；</w:t>
            </w:r>
          </w:p>
          <w:p>
            <w:pPr>
              <w:widowControl/>
              <w:spacing w:line="360" w:lineRule="atLeast"/>
              <w:rPr>
                <w:rFonts w:ascii="宋体" w:hAnsi="宋体" w:cs="宋体"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8、单个献血专版彩盒包装。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5000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宋体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宋体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毛巾（两条装）</w:t>
            </w: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1、重量：≥95g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2、规格（长*宽）：≥74*34cm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3、含棉量：100%全棉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4、产品特点：柔滑软暖，吸水性、透气性强，绿色环保，纺织无偿献血标语图案。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5、染色：绿色环保染料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6、包装：献血专版礼品盒，独立外包装</w:t>
            </w:r>
          </w:p>
          <w:p>
            <w:pPr>
              <w:widowControl/>
              <w:spacing w:line="360" w:lineRule="atLeast"/>
              <w:rPr>
                <w:rFonts w:ascii="宋体" w:hAnsi="宋体" w:cs="宋体"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7、装盒量：2条/盒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盒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6000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宋体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宋体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玻璃杯</w:t>
            </w: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1、容量：≥300ml；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2、材质：高硼硅玻璃材质；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3、防滑水晶底座，双层隔热构造；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4、水晶杯盖，食品级PP内芯；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5、手感舒适，外观靓丽，雅致大方；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6、杯体内部加印无偿献血宣传标语、标志、血站名称、联系电话等（由需方提供并确认）；</w:t>
            </w:r>
          </w:p>
          <w:p>
            <w:pPr>
              <w:widowControl/>
              <w:spacing w:line="360" w:lineRule="atLeast"/>
              <w:rPr>
                <w:rFonts w:ascii="宋体" w:hAnsi="宋体" w:cs="宋体"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7、高档无偿献血专版包装盒。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8000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宋体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宋体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充电宝</w:t>
            </w: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1.规格：容量≥8000mAH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2.电芯：聚合物锂电池；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3.输入：DC5V；</w:t>
            </w:r>
          </w:p>
          <w:p>
            <w:pPr>
              <w:widowControl/>
              <w:spacing w:line="360" w:lineRule="atLeast"/>
              <w:rPr>
                <w:rFonts w:ascii="仿宋" w:hAnsi="Arial" w:eastAsia="仿宋" w:cs="仿宋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4.输出：DC5V；</w:t>
            </w:r>
          </w:p>
          <w:p>
            <w:pPr>
              <w:widowControl/>
              <w:spacing w:line="360" w:lineRule="atLeast"/>
              <w:rPr>
                <w:rFonts w:ascii="宋体" w:hAnsi="宋体" w:cs="宋体"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Arial" w:eastAsia="仿宋" w:cs="仿宋"/>
                <w:b/>
                <w:iCs/>
                <w:color w:val="000000"/>
                <w:kern w:val="0"/>
                <w:sz w:val="24"/>
              </w:rPr>
              <w:t>特点：造型小巧、美观、携带方便。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</w:rPr>
              <w:t>5000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hd w:val="clear" w:color="auto" w:fill="FFFFFF"/>
                <w:lang w:eastAsia="zh-CN"/>
              </w:rPr>
              <w:t>否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宋体" w:eastAsia="仿宋" w:cs="仿宋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b/>
          <w:color w:val="000000"/>
          <w:kern w:val="0"/>
          <w:sz w:val="30"/>
          <w:szCs w:val="30"/>
          <w:shd w:val="clear" w:color="auto" w:fill="FFFFFF"/>
        </w:rPr>
        <w:t>（三）服务标准、期限、效率等要求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1.提供24小时服务电话；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2.售后服务质保期为一年；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3.如遇产品问题，接采购人通知后24小时内赶到现场处理问题。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宋体" w:eastAsia="仿宋" w:cs="仿宋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b/>
          <w:color w:val="000000"/>
          <w:kern w:val="0"/>
          <w:sz w:val="30"/>
          <w:szCs w:val="30"/>
          <w:shd w:val="clear" w:color="auto" w:fill="FFFFFF"/>
        </w:rPr>
        <w:t>（四）验收标准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1.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2.按照招标文件要求、投标文件响应和承诺验收。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（一）评标方法：综合评分法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（二）综合评分法评标标准：</w:t>
      </w:r>
    </w:p>
    <w:tbl>
      <w:tblPr>
        <w:tblStyle w:val="7"/>
        <w:tblW w:w="9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0"/>
        <w:gridCol w:w="6926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  <w:t>分值构成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3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(总分100分)</w:t>
            </w:r>
          </w:p>
        </w:tc>
        <w:tc>
          <w:tcPr>
            <w:tcW w:w="8041" w:type="dxa"/>
            <w:gridSpan w:val="2"/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价格分值：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  <w:t> 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30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  <w:t>   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分</w:t>
            </w:r>
          </w:p>
          <w:p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商务部分：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25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  <w:t>    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分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技术部分：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45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  <w:t>    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3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31"/>
              </w:rPr>
              <w:t>一、价格部分（满分30分）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评标因素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评分标准</w:t>
            </w:r>
          </w:p>
        </w:tc>
        <w:tc>
          <w:tcPr>
            <w:tcW w:w="111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242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投标报价评分标准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评标基准价：满足招标文件要求的有效投标报价中，最低的投标报价为评标基准价。</w:t>
            </w:r>
          </w:p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投标报价得分</w:t>
            </w:r>
            <w:r>
              <w:rPr>
                <w:rFonts w:ascii="宋体" w:hAnsi="宋体"/>
                <w:color w:val="000000"/>
              </w:rPr>
              <w:t>=</w:t>
            </w:r>
            <w:r>
              <w:rPr>
                <w:rFonts w:hint="eastAsia" w:ascii="宋体" w:hAnsi="宋体"/>
                <w:color w:val="000000"/>
              </w:rPr>
              <w:t>（评标基准价/投标报价）×</w:t>
            </w:r>
            <w:r>
              <w:rPr>
                <w:rFonts w:ascii="宋体" w:hAnsi="宋体"/>
                <w:color w:val="000000"/>
              </w:rPr>
              <w:t>30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30</w:t>
            </w:r>
            <w:r>
              <w:rPr>
                <w:rFonts w:hint="eastAsia" w:ascii="宋体" w:hAnsi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303" w:type="dxa"/>
            <w:gridSpan w:val="4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600"/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/>
                <w:b/>
                <w:color w:val="000000"/>
                <w:sz w:val="31"/>
              </w:rPr>
              <w:t>二、商务部分（</w:t>
            </w:r>
            <w:r>
              <w:rPr>
                <w:rFonts w:ascii="宋体" w:hAnsi="宋体"/>
                <w:b/>
                <w:color w:val="000000"/>
                <w:sz w:val="31"/>
              </w:rPr>
              <w:t>25</w:t>
            </w:r>
            <w:r>
              <w:rPr>
                <w:rFonts w:hint="eastAsia" w:ascii="宋体" w:hAnsi="宋体"/>
                <w:b/>
                <w:color w:val="000000"/>
                <w:sz w:val="3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评标因素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评分标准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信誉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投标人提供工商企业信用信息公示报告【国家企业信用信息公示系统</w:t>
            </w:r>
            <w:r>
              <w:fldChar w:fldCharType="begin"/>
            </w:r>
            <w:r>
              <w:instrText xml:space="preserve"> HYPERLINK "http://www.gsxt.gov.cn/"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</w:rPr>
              <w:t>http://www.gsxt.gov.cn</w:t>
            </w:r>
            <w:r>
              <w:rPr>
                <w:rFonts w:hint="eastAsia" w:ascii="宋体" w:hAnsi="宋体"/>
                <w:color w:val="000000"/>
              </w:rPr>
              <w:fldChar w:fldCharType="end"/>
            </w:r>
            <w:r>
              <w:rPr>
                <w:rFonts w:hint="eastAsia" w:ascii="宋体" w:hAnsi="宋体"/>
                <w:color w:val="000000"/>
              </w:rPr>
              <w:t>包括基础信息、行政许可信息、行政处罚信息、列入经营异常名录信息、列入严重违法失信企业名单（黑名单）信息】；企业所在地税务主管部门出具的纳税情况证明等信用情况（加盖企业所在地税务主管部门公章）。无不良信息者每项1分，未提供或有不良信息者不得分，满分2分。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企业实力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spacing w:line="300" w:lineRule="auto"/>
              <w:rPr>
                <w:rFonts w:eastAsia="宋体-18030"/>
                <w:color w:val="000000"/>
              </w:rPr>
            </w:pPr>
            <w:r>
              <w:rPr>
                <w:rFonts w:hint="eastAsia" w:eastAsia="宋体-18030"/>
                <w:color w:val="000000"/>
              </w:rPr>
              <w:t>1、根据投标人提供项目管理方案：（1）项目实施和管理完备得2分，有相关描述者得1分，不提供者不得分。（2）质量保证内容完备得2分，有相关描述者得1分，不提供者不得分。(3)供货期保证措施可行得1分，有相关描述者得0.5分，不提供者不得分.</w:t>
            </w:r>
          </w:p>
          <w:p>
            <w:pPr>
              <w:spacing w:line="300" w:lineRule="auto"/>
              <w:rPr>
                <w:rFonts w:ascii="宋体" w:hAnsi="宋体"/>
                <w:color w:val="000000"/>
              </w:rPr>
            </w:pPr>
            <w:r>
              <w:rPr>
                <w:rFonts w:eastAsia="宋体-18030"/>
                <w:color w:val="000000"/>
              </w:rPr>
              <w:t>2</w:t>
            </w:r>
            <w:r>
              <w:rPr>
                <w:rFonts w:hint="eastAsia" w:eastAsia="宋体-18030"/>
                <w:color w:val="000000"/>
              </w:rPr>
              <w:t>、提供</w:t>
            </w:r>
            <w:r>
              <w:rPr>
                <w:rFonts w:eastAsia="宋体-18030"/>
                <w:color w:val="000000"/>
              </w:rPr>
              <w:t>2015</w:t>
            </w:r>
            <w:r>
              <w:rPr>
                <w:rFonts w:hint="eastAsia" w:eastAsia="宋体-18030"/>
                <w:color w:val="000000"/>
              </w:rPr>
              <w:t>年以来政府采购项目中类似业绩（90万元以上，以合同和中标通知书原件为准）每项得</w:t>
            </w:r>
            <w:r>
              <w:rPr>
                <w:rFonts w:eastAsia="宋体-18030"/>
                <w:color w:val="000000"/>
              </w:rPr>
              <w:t>3</w:t>
            </w:r>
            <w:r>
              <w:rPr>
                <w:rFonts w:hint="eastAsia" w:eastAsia="宋体-18030"/>
                <w:color w:val="000000"/>
              </w:rPr>
              <w:t>分，此项最高得</w:t>
            </w:r>
            <w:r>
              <w:rPr>
                <w:rFonts w:eastAsia="宋体-18030"/>
                <w:color w:val="000000"/>
              </w:rPr>
              <w:t>12</w:t>
            </w:r>
            <w:r>
              <w:rPr>
                <w:rFonts w:hint="eastAsia" w:eastAsia="宋体-18030"/>
                <w:color w:val="000000"/>
              </w:rPr>
              <w:t>分。</w:t>
            </w:r>
            <w:r>
              <w:rPr>
                <w:rFonts w:eastAsia="宋体-18030"/>
                <w:color w:val="000000" w:themeColor="text1"/>
              </w:rPr>
              <w:t>3</w:t>
            </w:r>
            <w:r>
              <w:rPr>
                <w:rFonts w:hint="eastAsia" w:eastAsia="宋体-18030"/>
                <w:color w:val="000000" w:themeColor="text1"/>
              </w:rPr>
              <w:t>、具有第三方机构出具的《企业信用报告》A</w:t>
            </w:r>
            <w:r>
              <w:rPr>
                <w:rFonts w:eastAsia="宋体-18030"/>
                <w:color w:val="000000" w:themeColor="text1"/>
              </w:rPr>
              <w:t>AA</w:t>
            </w:r>
            <w:r>
              <w:rPr>
                <w:rFonts w:hint="eastAsia" w:eastAsia="宋体-18030"/>
                <w:color w:val="000000" w:themeColor="text1"/>
              </w:rPr>
              <w:t>级的</w:t>
            </w:r>
            <w:r>
              <w:rPr>
                <w:rFonts w:eastAsia="宋体-18030"/>
                <w:color w:val="000000" w:themeColor="text1"/>
              </w:rPr>
              <w:t>6</w:t>
            </w:r>
            <w:r>
              <w:rPr>
                <w:rFonts w:hint="eastAsia" w:eastAsia="宋体-18030"/>
                <w:color w:val="000000" w:themeColor="text1"/>
              </w:rPr>
              <w:t>分，A</w:t>
            </w:r>
            <w:r>
              <w:rPr>
                <w:rFonts w:eastAsia="宋体-18030"/>
                <w:color w:val="000000" w:themeColor="text1"/>
              </w:rPr>
              <w:t>A</w:t>
            </w:r>
            <w:r>
              <w:rPr>
                <w:rFonts w:hint="eastAsia" w:eastAsia="宋体-18030"/>
                <w:color w:val="000000" w:themeColor="text1"/>
              </w:rPr>
              <w:t>级的</w:t>
            </w:r>
            <w:r>
              <w:rPr>
                <w:rFonts w:eastAsia="宋体-18030"/>
                <w:color w:val="000000" w:themeColor="text1"/>
              </w:rPr>
              <w:t>3</w:t>
            </w:r>
            <w:r>
              <w:rPr>
                <w:rFonts w:hint="eastAsia" w:eastAsia="宋体-18030"/>
                <w:color w:val="000000" w:themeColor="text1"/>
              </w:rPr>
              <w:t>分，A级的</w:t>
            </w:r>
            <w:r>
              <w:rPr>
                <w:rFonts w:eastAsia="宋体-18030"/>
                <w:color w:val="000000" w:themeColor="text1"/>
              </w:rPr>
              <w:t>1</w:t>
            </w:r>
            <w:r>
              <w:rPr>
                <w:rFonts w:hint="eastAsia" w:eastAsia="宋体-18030"/>
                <w:color w:val="000000" w:themeColor="text1"/>
              </w:rPr>
              <w:t>分。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2</w:t>
            </w:r>
            <w:r>
              <w:rPr>
                <w:rFonts w:ascii="宋体" w:hAnsi="宋体" w:cs="仿宋"/>
              </w:rPr>
              <w:t>3</w:t>
            </w:r>
            <w:r>
              <w:rPr>
                <w:rFonts w:hint="eastAsia" w:ascii="宋体" w:hAnsi="宋体" w:cs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303" w:type="dxa"/>
            <w:gridSpan w:val="4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600"/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/>
                <w:b/>
                <w:color w:val="000000"/>
                <w:sz w:val="31"/>
              </w:rPr>
              <w:t>三、技术部分（45分）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评标因素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评分标准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对招标文件的响应程度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jc w:val="left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满足招标文件技术参数与要求得基本分25分；</w:t>
            </w:r>
          </w:p>
          <w:p>
            <w:pPr>
              <w:jc w:val="left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投标文件内容，优于投标文件需求中技术参数要求的（正偏离），每项加1分，最多加10分；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售后服务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946" w:type="dxa"/>
            <w:gridSpan w:val="2"/>
          </w:tcPr>
          <w:p>
            <w:pPr>
              <w:spacing w:line="300" w:lineRule="auto"/>
              <w:rPr>
                <w:rFonts w:eastAsia="宋体-18030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、（1）</w:t>
            </w:r>
            <w:r>
              <w:rPr>
                <w:rFonts w:hint="eastAsia" w:eastAsia="宋体-18030"/>
                <w:color w:val="000000"/>
              </w:rPr>
              <w:t>投标文件有售后服务方案得2分，有相关描述者得1分，不提供者不得分。（2）投标文件有服务内容得2分，有相关描述者得1分，不提供者不得分。(3) 投标文件有响应时间得2分，有相关描述者得1分，不提供者不得分。（4）投标文件有解决问题的时间得2分，有相关描述者得1分，不提供者不得分。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</w:t>
            </w:r>
            <w:r>
              <w:rPr>
                <w:rFonts w:hint="eastAsia" w:ascii="宋体" w:hAnsi="宋体"/>
              </w:rPr>
              <w:t>符合质保期基本要求，质保期每增加6个月加1分，最多加2分。</w:t>
            </w:r>
          </w:p>
        </w:tc>
        <w:tc>
          <w:tcPr>
            <w:tcW w:w="1115" w:type="dxa"/>
            <w:vAlign w:val="center"/>
          </w:tcPr>
          <w:p>
            <w:pPr>
              <w:spacing w:line="300" w:lineRule="auto"/>
              <w:jc w:val="center"/>
              <w:rPr>
                <w:rFonts w:eastAsia="宋体-18030"/>
                <w:color w:val="000000"/>
              </w:rPr>
            </w:pPr>
            <w:r>
              <w:rPr>
                <w:rFonts w:hint="eastAsia" w:eastAsia="宋体-18030"/>
                <w:color w:val="000000"/>
              </w:rPr>
              <w:t>10分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</w:pP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仿宋" w:cs="宋体"/>
          <w:color w:val="000000"/>
          <w:kern w:val="0"/>
          <w:sz w:val="24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（一）支付方式：银行转账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（二）支付时间及条件：经验收合格付合同总价款的90%，剩余10%满一年无质量问题一次付清。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eastAsia="仿宋" w:cs="宋体"/>
          <w:color w:val="000000"/>
          <w:kern w:val="0"/>
          <w:sz w:val="24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联系人姓名：张少戈    联系电话：0374-2952609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单位地址：许昌市前进路与学院路交叉口 </w:t>
      </w:r>
    </w:p>
    <w:p>
      <w:pPr>
        <w:widowControl/>
        <w:shd w:val="clear" w:color="auto" w:fill="FFFFFF"/>
        <w:spacing w:line="330" w:lineRule="atLeast"/>
        <w:ind w:firstLine="4350"/>
        <w:jc w:val="right"/>
        <w:rPr>
          <w:rFonts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jc w:val="right"/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许昌市中心血站</w:t>
      </w:r>
    </w:p>
    <w:p>
      <w:pPr>
        <w:widowControl/>
        <w:shd w:val="clear" w:color="auto" w:fill="FFFFFF"/>
        <w:spacing w:line="330" w:lineRule="atLeast"/>
        <w:jc w:val="right"/>
      </w:pP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2018</w:t>
      </w: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宋体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1803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112C10"/>
    <w:rsid w:val="00142CF0"/>
    <w:rsid w:val="002C1A80"/>
    <w:rsid w:val="002F389A"/>
    <w:rsid w:val="003576C2"/>
    <w:rsid w:val="00587F7C"/>
    <w:rsid w:val="00D545B8"/>
    <w:rsid w:val="00DA64B2"/>
    <w:rsid w:val="00E923BA"/>
    <w:rsid w:val="02751DD1"/>
    <w:rsid w:val="06ED633F"/>
    <w:rsid w:val="0B463137"/>
    <w:rsid w:val="0B4B1630"/>
    <w:rsid w:val="0BB96B1C"/>
    <w:rsid w:val="0E384753"/>
    <w:rsid w:val="0EEB12A8"/>
    <w:rsid w:val="164C0676"/>
    <w:rsid w:val="19312A8C"/>
    <w:rsid w:val="1C1425CD"/>
    <w:rsid w:val="1CBC3CBE"/>
    <w:rsid w:val="1FA93D4F"/>
    <w:rsid w:val="221A5C38"/>
    <w:rsid w:val="23466DD2"/>
    <w:rsid w:val="24221ACF"/>
    <w:rsid w:val="26D14DD7"/>
    <w:rsid w:val="28E10F26"/>
    <w:rsid w:val="2BC758BD"/>
    <w:rsid w:val="2C081930"/>
    <w:rsid w:val="2CB069FC"/>
    <w:rsid w:val="306C0629"/>
    <w:rsid w:val="31DB418A"/>
    <w:rsid w:val="3BB32595"/>
    <w:rsid w:val="40701D10"/>
    <w:rsid w:val="44112C10"/>
    <w:rsid w:val="44E45685"/>
    <w:rsid w:val="45EA33B3"/>
    <w:rsid w:val="46B23703"/>
    <w:rsid w:val="4AC170E9"/>
    <w:rsid w:val="4ECB1845"/>
    <w:rsid w:val="51E121DE"/>
    <w:rsid w:val="52DC0A60"/>
    <w:rsid w:val="537A5708"/>
    <w:rsid w:val="53DB14BB"/>
    <w:rsid w:val="559113C6"/>
    <w:rsid w:val="561F0F76"/>
    <w:rsid w:val="58116F20"/>
    <w:rsid w:val="589C4271"/>
    <w:rsid w:val="58F603B8"/>
    <w:rsid w:val="5AFA4EF7"/>
    <w:rsid w:val="5C722007"/>
    <w:rsid w:val="5D9A3E82"/>
    <w:rsid w:val="5DE90804"/>
    <w:rsid w:val="61B156F0"/>
    <w:rsid w:val="64101DE3"/>
    <w:rsid w:val="65121775"/>
    <w:rsid w:val="69B02D3F"/>
    <w:rsid w:val="6BF77B5F"/>
    <w:rsid w:val="6D535020"/>
    <w:rsid w:val="79573CD6"/>
    <w:rsid w:val="7F067386"/>
    <w:rsid w:val="7F6C5A39"/>
    <w:rsid w:val="7FC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character" w:customStyle="1" w:styleId="8">
    <w:name w:val="green"/>
    <w:basedOn w:val="3"/>
    <w:qFormat/>
    <w:uiPriority w:val="0"/>
    <w:rPr>
      <w:color w:val="66AE00"/>
      <w:sz w:val="18"/>
      <w:szCs w:val="18"/>
    </w:rPr>
  </w:style>
  <w:style w:type="character" w:customStyle="1" w:styleId="9">
    <w:name w:val="green1"/>
    <w:basedOn w:val="3"/>
    <w:uiPriority w:val="0"/>
    <w:rPr>
      <w:color w:val="66AE00"/>
      <w:sz w:val="18"/>
      <w:szCs w:val="18"/>
    </w:rPr>
  </w:style>
  <w:style w:type="character" w:customStyle="1" w:styleId="10">
    <w:name w:val="right"/>
    <w:basedOn w:val="3"/>
    <w:uiPriority w:val="0"/>
    <w:rPr>
      <w:color w:val="999999"/>
      <w:sz w:val="18"/>
      <w:szCs w:val="18"/>
    </w:rPr>
  </w:style>
  <w:style w:type="character" w:customStyle="1" w:styleId="11">
    <w:name w:val="blue"/>
    <w:basedOn w:val="3"/>
    <w:uiPriority w:val="0"/>
    <w:rPr>
      <w:color w:val="0371C6"/>
      <w:sz w:val="21"/>
      <w:szCs w:val="21"/>
    </w:rPr>
  </w:style>
  <w:style w:type="character" w:customStyle="1" w:styleId="12">
    <w:name w:val="red"/>
    <w:basedOn w:val="3"/>
    <w:uiPriority w:val="0"/>
    <w:rPr>
      <w:color w:val="FF0000"/>
      <w:sz w:val="18"/>
      <w:szCs w:val="18"/>
    </w:rPr>
  </w:style>
  <w:style w:type="character" w:customStyle="1" w:styleId="13">
    <w:name w:val="red1"/>
    <w:basedOn w:val="3"/>
    <w:uiPriority w:val="0"/>
    <w:rPr>
      <w:color w:val="FF0000"/>
      <w:sz w:val="18"/>
      <w:szCs w:val="18"/>
    </w:rPr>
  </w:style>
  <w:style w:type="character" w:customStyle="1" w:styleId="14">
    <w:name w:val="red2"/>
    <w:basedOn w:val="3"/>
    <w:qFormat/>
    <w:uiPriority w:val="0"/>
    <w:rPr>
      <w:color w:val="FF0000"/>
    </w:rPr>
  </w:style>
  <w:style w:type="character" w:customStyle="1" w:styleId="15">
    <w:name w:val="hover25"/>
    <w:basedOn w:val="3"/>
    <w:qFormat/>
    <w:uiPriority w:val="0"/>
  </w:style>
  <w:style w:type="character" w:customStyle="1" w:styleId="16">
    <w:name w:val="gb-j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509</Words>
  <Characters>2903</Characters>
  <Lines>24</Lines>
  <Paragraphs>6</Paragraphs>
  <TotalTime>0</TotalTime>
  <ScaleCrop>false</ScaleCrop>
  <LinksUpToDate>false</LinksUpToDate>
  <CharactersWithSpaces>3406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2018-04-03T07:27:00Z</dcterms:created>
  <dc:creator>商水团委</dc:creator>
  <cp:lastModifiedBy>Administrator</cp:lastModifiedBy>
  <cp:lastPrinted>2018-04-04T01:45:00Z</cp:lastPrinted>
  <dcterms:modified xsi:type="dcterms:W3CDTF">2018-04-04T07:16:17Z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