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tLeast"/>
        <w:ind w:firstLine="600"/>
        <w:jc w:val="center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1" w:name="_GoBack"/>
      <w:bookmarkEnd w:id="1"/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许昌市第五高级中学</w:t>
      </w:r>
    </w:p>
    <w:p>
      <w:pPr>
        <w:pStyle w:val="2"/>
        <w:widowControl/>
        <w:snapToGrid w:val="0"/>
        <w:spacing w:line="480" w:lineRule="auto"/>
        <w:jc w:val="center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新校区空调项目采购需求、评标标准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说明</w:t>
      </w:r>
    </w:p>
    <w:p>
      <w:pPr>
        <w:spacing w:line="460" w:lineRule="exac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一、项目概况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（一）项目名称：许昌市第五高级中学新校区购置空调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（二）采购方式：公开招标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（三）主要内容、数量及要求：1.5匹分体机800套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3匹柜机80套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（四）预算金额：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233.6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万元，最高限价：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233.6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万元。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（五）交付服务时间：合同签订后一个月内；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（六）交付地点：许昌市第五高级中学新校区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（七）进口产品：允许□不允许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position w:val="-4"/>
          <w:sz w:val="36"/>
          <w:szCs w:val="24"/>
          <w:shd w:val="clear" w:color="auto" w:fill="FFFFFF"/>
          <w:lang w:val="zh-CN" w:bidi="ar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position w:val="0"/>
          <w:sz w:val="24"/>
          <w:szCs w:val="24"/>
          <w:shd w:val="clear" w:color="auto" w:fill="FFFFFF"/>
          <w:lang w:val="zh-CN" w:bidi="ar"/>
        </w:rPr>
        <w:instrText xml:space="preserve">,√)</w:instrTex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（八）分包：允许□不允许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position w:val="-4"/>
          <w:sz w:val="36"/>
          <w:szCs w:val="24"/>
          <w:shd w:val="clear" w:color="auto" w:fill="FFFFFF"/>
          <w:lang w:val="zh-CN" w:bidi="ar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position w:val="0"/>
          <w:sz w:val="24"/>
          <w:szCs w:val="24"/>
          <w:shd w:val="clear" w:color="auto" w:fill="FFFFFF"/>
          <w:lang w:val="zh-CN" w:bidi="ar"/>
        </w:rPr>
        <w:instrText xml:space="preserve">,√)</w:instrTex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  <w:t>二、需要落实的政府采购政策（</w:t>
      </w:r>
      <w:r>
        <w:rPr>
          <w:rFonts w:hint="eastAsia" w:ascii="Calibri" w:hAnsi="Calibri" w:eastAsia="仿宋_GB2312" w:cs="仿宋_GB2312"/>
          <w:i/>
          <w:color w:val="000000"/>
          <w:kern w:val="0"/>
          <w:sz w:val="24"/>
          <w:szCs w:val="24"/>
          <w:shd w:val="clear" w:color="auto" w:fill="FFFFFF"/>
          <w:lang w:bidi="ar"/>
        </w:rPr>
        <w:t>必填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  <w:t>）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i/>
          <w:color w:val="000000"/>
          <w:kern w:val="0"/>
          <w:sz w:val="24"/>
          <w:szCs w:val="24"/>
          <w:shd w:val="clear" w:color="auto" w:fill="FFFFFF"/>
          <w:lang w:bidi="ar"/>
        </w:rPr>
        <w:t>选填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）等相关政府采购政策。</w:t>
      </w:r>
    </w:p>
    <w:p>
      <w:pPr>
        <w:spacing w:line="460" w:lineRule="exact"/>
        <w:ind w:firstLine="480" w:firstLineChars="200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三、投标条件</w:t>
      </w:r>
    </w:p>
    <w:p>
      <w:pPr>
        <w:spacing w:line="360" w:lineRule="auto"/>
        <w:ind w:firstLine="420" w:firstLineChars="175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投标人通常应当具备下列条件：</w:t>
      </w:r>
    </w:p>
    <w:p>
      <w:pPr>
        <w:spacing w:line="360" w:lineRule="auto"/>
        <w:ind w:firstLine="420" w:firstLineChars="175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（一）符合《中华人民共和国政府采购法》第二十二条之第一款规定条件并提供相关材料；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（二）本次招标接受□不接受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position w:val="-4"/>
          <w:sz w:val="36"/>
          <w:szCs w:val="24"/>
          <w:shd w:val="clear" w:color="auto" w:fill="FFFFFF"/>
          <w:lang w:val="zh-CN" w:bidi="ar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position w:val="0"/>
          <w:sz w:val="24"/>
          <w:szCs w:val="24"/>
          <w:shd w:val="clear" w:color="auto" w:fill="FFFFFF"/>
          <w:lang w:val="zh-CN" w:bidi="ar"/>
        </w:rPr>
        <w:instrText xml:space="preserve">,√)</w:instrTex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shd w:val="clear" w:color="auto" w:fill="FFFFFF"/>
          <w:lang w:val="zh-CN"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联合体投标。</w:t>
      </w:r>
    </w:p>
    <w:p>
      <w:pPr>
        <w:spacing w:line="360" w:lineRule="auto"/>
        <w:ind w:firstLine="420" w:firstLineChars="175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（三）根据采购项目特殊要求，规定投标人的特定条件：无</w:t>
      </w:r>
    </w:p>
    <w:p>
      <w:pPr>
        <w:spacing w:line="460" w:lineRule="exact"/>
        <w:ind w:firstLine="480" w:firstLineChars="200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四、货物需求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（一）本项目需实现的功能或者目标：壁挂式空调主要满足学生宿舍，教师办公室及酒店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服务专业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、护理专业实训室；立柜式空调主要用于计算机专业、机电专业、数控技术专业实训室、学校会议室、幼师专业琴房。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（二）采购清单：</w:t>
      </w:r>
    </w:p>
    <w:tbl>
      <w:tblPr>
        <w:tblStyle w:val="6"/>
        <w:tblpPr w:leftFromText="180" w:rightFromText="180" w:vertAnchor="text" w:horzAnchor="margin" w:tblpXSpec="center" w:tblpY="124"/>
        <w:tblOverlap w:val="never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08"/>
        <w:gridCol w:w="6420"/>
        <w:gridCol w:w="756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参数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壁挂式空调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大1.5匹空调，制冷量(W)</w:t>
            </w:r>
            <w:bookmarkStart w:id="0" w:name="OLE_LINK1"/>
            <w:r>
              <w:rPr>
                <w:rFonts w:hint="eastAsia" w:ascii="仿宋" w:hAnsi="仿宋" w:eastAsia="仿宋" w:cs="宋体"/>
                <w:sz w:val="24"/>
                <w:szCs w:val="24"/>
              </w:rPr>
              <w:t>3550</w:t>
            </w:r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，制热量(W)3910，制冷功率(W)1030，制热功率(W)1150，循环风量（</w:t>
            </w:r>
            <w:r>
              <w:rPr>
                <w:rFonts w:hint="eastAsia" w:ascii="Batang" w:hAnsi="Batang" w:eastAsia="Batang" w:cs="Batang"/>
                <w:sz w:val="24"/>
                <w:szCs w:val="24"/>
              </w:rPr>
              <w:t>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/h）680，电辅加热(W)1080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800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立柜式空调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标准3匹空调，制冷量(W)7250，制热量(W)8200，制冷功率(W)2190，制热功率(W)2250，循环风量（㎥/h）1300，电辅加热(W)2500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80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</w:tr>
    </w:tbl>
    <w:p>
      <w:pPr>
        <w:rPr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采购标的执行标准：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hint="eastAsia" w:ascii="宋体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服务标准、期限、效率等要求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（五）验收标准（</w:t>
      </w:r>
      <w:r>
        <w:rPr>
          <w:rFonts w:hint="eastAsia" w:ascii="仿宋" w:hAnsi="仿宋" w:eastAsia="仿宋" w:cs="仿宋"/>
          <w:i/>
          <w:color w:val="000000"/>
          <w:kern w:val="0"/>
          <w:sz w:val="24"/>
          <w:szCs w:val="24"/>
          <w:shd w:val="clear" w:color="auto" w:fill="FFFFFF"/>
        </w:rPr>
        <w:t>必填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）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由采购人成立验收小组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按照采购合同的约定对中标人履约情况进行验收。验收时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出具验收书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列明各项标准的验收情况及项目总体评价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（六）采购标的的其他技术、服务等要求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保修及服务</w:t>
      </w:r>
    </w:p>
    <w:p>
      <w:pPr>
        <w:widowControl/>
        <w:tabs>
          <w:tab w:val="left" w:pos="425"/>
        </w:tabs>
        <w:spacing w:line="360" w:lineRule="auto"/>
        <w:ind w:right="210" w:rightChars="100"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投标人所投项目中设备必须提供至少六年免费质保，单独要求除外，并每年进行免费巡检，质保期内所有设备免费保修或更换，终身保修。</w:t>
      </w:r>
    </w:p>
    <w:p>
      <w:pPr>
        <w:adjustRightInd w:val="0"/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2中标人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应负责免费提供现场操作、运行、维护的培训方案及必需的培训资料，并对买方受训人员分批、分次进行免费操作培训，培训至所有参加培训人员可独立操作为止。</w:t>
      </w:r>
    </w:p>
    <w:p>
      <w:pPr>
        <w:widowControl/>
        <w:tabs>
          <w:tab w:val="left" w:pos="425"/>
        </w:tabs>
        <w:spacing w:line="360" w:lineRule="auto"/>
        <w:ind w:right="210" w:rightChars="100"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3投标人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须明确在接到服务要求时的响应时间。须明确维修点地址、负责人、联系人和联系电话，维修点具备何等维修能力等详细资料，否则为无效投标。保修期内提供</w:t>
      </w: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小时免费技术支持服务。自验收合格之日起，质保期内发生的相关一切费用由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中标人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承担，并且在保修范围内损坏而更换的部件质保期顺延。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、设备要求：供应商保证其提供的设备是全新的、未使用过的设备，在各个方面符合合同规定的质量、规格和性能要求。合同设备经过正确安装、合理操作和维护保养，在设备寿命期内运转良好。在规定的质保期内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中标人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应对由于设计、工艺或材料的缺陷或故障负责。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、所提供的技术资料完整正确，数据和资料准确无误，能够保证设备按时正确地安装、调试和验收，并能满足正常运行和维修保养的需要。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/>
        </w:rPr>
        <w:t>4、采购人于中标公示期内现场勘查投标方的备件备品库，产生交通费由采购人承担。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（一）评标方法：最低评标价法□ 综合评分法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i/>
          <w:color w:val="000000"/>
          <w:kern w:val="0"/>
          <w:sz w:val="24"/>
          <w:szCs w:val="24"/>
          <w:shd w:val="clear" w:color="auto" w:fill="FFFFFF"/>
          <w:lang w:bidi="ar"/>
        </w:rPr>
        <w:t>选填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（二）综合评分法评标标准：</w:t>
      </w:r>
    </w:p>
    <w:tbl>
      <w:tblPr>
        <w:tblStyle w:val="6"/>
        <w:tblW w:w="8731" w:type="dxa"/>
        <w:tblInd w:w="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0"/>
        <w:gridCol w:w="20"/>
        <w:gridCol w:w="5762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分值构成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(总分100分)</w:t>
            </w:r>
          </w:p>
        </w:tc>
        <w:tc>
          <w:tcPr>
            <w:tcW w:w="7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价格分值：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商务部分：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技术部分：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一、价格部分（满分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评分因素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投标报价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投标报价得分=（评标基准价/投标报价）×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二、商务部分（满分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评分因素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信誉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实力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1、根据投标人在本项目以前社会对其认可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度以及行政主管部门、工商、银行、行业部门颁发的荣誉证书等情况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评定，基本分1分，每提供一份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省级及以上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荣誉证书加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荣誉证书加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满分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分。</w:t>
            </w:r>
          </w:p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2、投标人须提供工商企业信用信息公示报告【国家企业信用信息公示系统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HYPERLINK "http://www.gsxt.gov.cn/"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http://www.gsxt.gov.cn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包括基础信息、行政许可信息、行政处罚信息、列入经营异常名录信息、列入严重违法失信企业名单（黑名单）信息】（加盖投标人公章）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企业所在地税务主管部门出具的纳税情况证明等信用情况（加盖企业所在地税务主管部门公章）。无不良信息者每项1分，未提供或有不良信息者不得分，满分2分。</w:t>
            </w:r>
          </w:p>
          <w:p>
            <w:pPr>
              <w:topLinePunct/>
              <w:snapToGrid w:val="0"/>
              <w:spacing w:line="360" w:lineRule="auto"/>
              <w:ind w:firstLine="48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3、投标人通过质量体系认证、环境体系认证的，每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1分，满分2分。</w:t>
            </w:r>
          </w:p>
          <w:p>
            <w:pPr>
              <w:topLinePunct/>
              <w:snapToGrid w:val="0"/>
              <w:spacing w:line="360" w:lineRule="auto"/>
              <w:ind w:firstLine="48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4、投标人被省级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行政主管部门认定为省级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服务标准化示范单位的4分。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投标文件规范程度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1、装订规范、文字清晰、无差错1分；</w:t>
            </w:r>
          </w:p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2、所提供资料准确完整1分。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安装资质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投标人安装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行政主管部门颁发的空调行业上岗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操作证的，每个0.5分，满分1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分。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三、技术部分（满分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评分因素</w:t>
            </w:r>
          </w:p>
        </w:tc>
        <w:tc>
          <w:tcPr>
            <w:tcW w:w="5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对招标文件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响应程度</w:t>
            </w:r>
          </w:p>
        </w:tc>
        <w:tc>
          <w:tcPr>
            <w:tcW w:w="5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autoSpaceDN w:val="0"/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供应商所投产品的规格和技术参数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参数数值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要求的，得基本分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制冷量、制热量大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于产品技术参数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的每项加1分，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制冷功率、制热功率、循环风量、电辅加热小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于产品技术参数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的每项加1分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分.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售后服务</w:t>
            </w:r>
          </w:p>
        </w:tc>
        <w:tc>
          <w:tcPr>
            <w:tcW w:w="57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报修响应上门时间1小时内2分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2小时内1分，超过两小时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完善的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空调备件备品库3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提供地址、联系人、电话、仓库实景照片，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没有不得分。</w:t>
            </w:r>
          </w:p>
          <w:p>
            <w:pPr>
              <w:topLinePunct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3、安装组织方案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分，没有不得分。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snapToGrid w:val="0"/>
        <w:spacing w:line="500" w:lineRule="exact"/>
        <w:rPr>
          <w:rFonts w:hint="eastAsia" w:ascii="黑体" w:hAnsi="黑体" w:eastAsia="黑体"/>
          <w:color w:val="000000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  <w:t>六、采购资金支付</w:t>
      </w:r>
    </w:p>
    <w:p>
      <w:pPr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（一）支付方式：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银行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 xml:space="preserve">转账 </w:t>
      </w:r>
    </w:p>
    <w:p>
      <w:pPr>
        <w:snapToGrid w:val="0"/>
        <w:spacing w:line="50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（二）支付时间及条件：全部设备安装、调试完成并验收通过后，支付合同价款的95%，一年质保期满后，支付合同价款的5%。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  <w:t>七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shd w:val="clear" w:color="auto" w:fill="FFFFFF"/>
          <w:lang w:bidi="ar"/>
        </w:rPr>
        <w:t>采购单位联系方式及地址</w:t>
      </w:r>
    </w:p>
    <w:p>
      <w:pPr>
        <w:widowControl/>
        <w:shd w:val="clear" w:color="auto" w:fill="FFFFFF"/>
        <w:spacing w:line="525" w:lineRule="atLeast"/>
        <w:ind w:firstLine="720" w:firstLineChars="3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联系人：陈老师               联系电话：13937405806</w:t>
      </w:r>
    </w:p>
    <w:p>
      <w:pPr>
        <w:widowControl/>
        <w:shd w:val="clear" w:color="auto" w:fill="FFFFFF"/>
        <w:spacing w:line="525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bidi="ar"/>
        </w:rPr>
        <w:t>递交书面材料地址：许昌市新兴路38号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47680"/>
    <w:multiLevelType w:val="singleLevel"/>
    <w:tmpl w:val="BFA47680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46512"/>
    <w:rsid w:val="00027504"/>
    <w:rsid w:val="000B0A2D"/>
    <w:rsid w:val="001C5234"/>
    <w:rsid w:val="00421EA0"/>
    <w:rsid w:val="00422748"/>
    <w:rsid w:val="005D1992"/>
    <w:rsid w:val="00610A53"/>
    <w:rsid w:val="00641A93"/>
    <w:rsid w:val="007A0DA7"/>
    <w:rsid w:val="007D17E0"/>
    <w:rsid w:val="008D27C9"/>
    <w:rsid w:val="00902B25"/>
    <w:rsid w:val="00BE5517"/>
    <w:rsid w:val="00C84B40"/>
    <w:rsid w:val="00D1740B"/>
    <w:rsid w:val="00E73C0A"/>
    <w:rsid w:val="00F14151"/>
    <w:rsid w:val="00F86376"/>
    <w:rsid w:val="03112627"/>
    <w:rsid w:val="04795749"/>
    <w:rsid w:val="07430E51"/>
    <w:rsid w:val="0C775EC8"/>
    <w:rsid w:val="0C962C50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8426938"/>
    <w:rsid w:val="1AB227F0"/>
    <w:rsid w:val="1AB75A2F"/>
    <w:rsid w:val="1AD56DF0"/>
    <w:rsid w:val="1B860633"/>
    <w:rsid w:val="1D993982"/>
    <w:rsid w:val="1ED70BAA"/>
    <w:rsid w:val="213C7057"/>
    <w:rsid w:val="22694F55"/>
    <w:rsid w:val="243F4C59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7800BBD"/>
    <w:rsid w:val="38036291"/>
    <w:rsid w:val="3B96326E"/>
    <w:rsid w:val="3DBF015D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B2E45DD"/>
    <w:rsid w:val="50C958B8"/>
    <w:rsid w:val="52E228F6"/>
    <w:rsid w:val="53CA6F57"/>
    <w:rsid w:val="56984FDF"/>
    <w:rsid w:val="5A322ACA"/>
    <w:rsid w:val="5B1D0C62"/>
    <w:rsid w:val="5B513BF5"/>
    <w:rsid w:val="5C810DC3"/>
    <w:rsid w:val="5E623816"/>
    <w:rsid w:val="5F1B2A2D"/>
    <w:rsid w:val="5F346512"/>
    <w:rsid w:val="602B3091"/>
    <w:rsid w:val="64550E2D"/>
    <w:rsid w:val="65B43EA9"/>
    <w:rsid w:val="66AA26C7"/>
    <w:rsid w:val="6C0415B9"/>
    <w:rsid w:val="71CA4F34"/>
    <w:rsid w:val="74255B8E"/>
    <w:rsid w:val="756918B9"/>
    <w:rsid w:val="79D17AE5"/>
    <w:rsid w:val="7AC83E71"/>
    <w:rsid w:val="7CB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2913</Words>
  <Characters>366</Characters>
  <Lines>3</Lines>
  <Paragraphs>6</Paragraphs>
  <ScaleCrop>false</ScaleCrop>
  <LinksUpToDate>false</LinksUpToDate>
  <CharactersWithSpaces>3273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2018-03-15T09:39:00Z</dcterms:created>
  <dc:creator>Administrator</dc:creator>
  <cp:lastModifiedBy>Administrator</cp:lastModifiedBy>
  <cp:lastPrinted>2018-04-02T23:53:00Z</cp:lastPrinted>
  <dcterms:modified xsi:type="dcterms:W3CDTF">2018-04-08T02:05:25Z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