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883" w:firstLineChars="200"/>
        <w:jc w:val="both"/>
        <w:rPr>
          <w:rFonts w:hint="eastAsia" w:ascii="仿宋" w:hAnsi="仿宋" w:eastAsia="仿宋" w:cs="仿宋"/>
          <w:b/>
          <w:bCs/>
          <w:sz w:val="44"/>
          <w:szCs w:val="44"/>
        </w:rPr>
      </w:pPr>
      <w:r>
        <w:rPr>
          <w:rFonts w:hint="eastAsia" w:ascii="仿宋" w:hAnsi="仿宋" w:eastAsia="仿宋" w:cs="仿宋"/>
          <w:b/>
          <w:bCs/>
          <w:sz w:val="44"/>
          <w:szCs w:val="44"/>
        </w:rPr>
        <w:t>禹州</w:t>
      </w:r>
      <w:r>
        <w:rPr>
          <w:rFonts w:hint="eastAsia" w:ascii="仿宋" w:hAnsi="仿宋" w:eastAsia="仿宋" w:cs="仿宋"/>
          <w:b/>
          <w:bCs/>
          <w:sz w:val="44"/>
          <w:szCs w:val="44"/>
          <w:lang w:val="en-US" w:eastAsia="zh-CN"/>
        </w:rPr>
        <w:t>2018年农村环境综合整治设计项目</w:t>
      </w:r>
    </w:p>
    <w:p>
      <w:pPr>
        <w:jc w:val="center"/>
        <w:rPr>
          <w:rFonts w:hint="eastAsia"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bookmarkStart w:id="1" w:name="_GoBack"/>
      <w:bookmarkEnd w:id="1"/>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w:t>
      </w:r>
      <w:r>
        <w:rPr>
          <w:rFonts w:hint="eastAsia" w:ascii="仿宋" w:hAnsi="仿宋" w:eastAsia="仿宋" w:cs="仿宋"/>
          <w:sz w:val="32"/>
          <w:szCs w:val="32"/>
          <w:lang w:eastAsia="zh-CN"/>
        </w:rPr>
        <w:t>环境保护</w:t>
      </w:r>
      <w:r>
        <w:rPr>
          <w:rFonts w:hint="eastAsia" w:ascii="仿宋" w:hAnsi="仿宋" w:eastAsia="仿宋" w:cs="仿宋"/>
          <w:sz w:val="32"/>
          <w:szCs w:val="32"/>
        </w:rPr>
        <w:t>局</w:t>
      </w:r>
    </w:p>
    <w:p>
      <w:pPr>
        <w:autoSpaceDE w:val="0"/>
        <w:autoSpaceDN w:val="0"/>
        <w:spacing w:line="360" w:lineRule="auto"/>
        <w:ind w:right="-20" w:firstLine="320" w:firstLineChars="100"/>
        <w:outlineLvl w:val="0"/>
        <w:rPr>
          <w:rFonts w:hint="eastAsia" w:ascii="仿宋" w:hAnsi="仿宋" w:eastAsia="仿宋"/>
          <w:sz w:val="32"/>
        </w:rPr>
      </w:pPr>
      <w:r>
        <w:rPr>
          <w:rFonts w:hint="eastAsia" w:ascii="仿宋" w:hAnsi="仿宋" w:eastAsia="仿宋"/>
          <w:sz w:val="32"/>
        </w:rPr>
        <w:t>项目名称：禹州</w:t>
      </w:r>
      <w:r>
        <w:rPr>
          <w:rFonts w:hint="eastAsia" w:ascii="仿宋" w:hAnsi="仿宋" w:eastAsia="仿宋"/>
          <w:sz w:val="32"/>
          <w:lang w:val="en-US" w:eastAsia="zh-CN"/>
        </w:rPr>
        <w:t>2018年农村环境综合整治设计项目</w:t>
      </w:r>
    </w:p>
    <w:p>
      <w:pPr>
        <w:autoSpaceDE w:val="0"/>
        <w:autoSpaceDN w:val="0"/>
        <w:spacing w:line="360" w:lineRule="auto"/>
        <w:ind w:right="-20" w:firstLine="320" w:firstLineChars="100"/>
        <w:outlineLvl w:val="0"/>
        <w:rPr>
          <w:rFonts w:ascii="仿宋" w:hAnsi="仿宋" w:eastAsia="仿宋"/>
          <w:sz w:val="32"/>
          <w:lang w:val="en-US"/>
        </w:rPr>
      </w:pPr>
      <w:r>
        <w:rPr>
          <w:rFonts w:hint="eastAsia" w:ascii="仿宋" w:hAnsi="仿宋" w:eastAsia="仿宋"/>
          <w:sz w:val="32"/>
        </w:rPr>
        <w:t>项目编号：YZCG-G201</w:t>
      </w:r>
      <w:r>
        <w:rPr>
          <w:rFonts w:hint="eastAsia" w:ascii="仿宋" w:hAnsi="仿宋" w:eastAsia="仿宋"/>
          <w:sz w:val="32"/>
          <w:lang w:val="en-US" w:eastAsia="zh-CN"/>
        </w:rPr>
        <w:t>8100</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四</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keepNext w:val="0"/>
        <w:keepLines w:val="0"/>
        <w:pageBreakBefore w:val="0"/>
        <w:kinsoku/>
        <w:overflowPunct/>
        <w:bidi w:val="0"/>
        <w:spacing w:line="520" w:lineRule="exact"/>
        <w:ind w:right="0" w:rightChars="0"/>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禹州</w:t>
      </w:r>
      <w:r>
        <w:rPr>
          <w:rFonts w:hint="eastAsia" w:ascii="仿宋" w:hAnsi="仿宋" w:eastAsia="仿宋" w:cs="仿宋"/>
          <w:b/>
          <w:bCs/>
          <w:sz w:val="36"/>
          <w:szCs w:val="36"/>
          <w:lang w:val="en-US" w:eastAsia="zh-CN"/>
        </w:rPr>
        <w:t>2018年农村环境综合整治设计项目</w:t>
      </w:r>
    </w:p>
    <w:p>
      <w:pPr>
        <w:keepNext w:val="0"/>
        <w:keepLines w:val="0"/>
        <w:pageBreakBefore w:val="0"/>
        <w:kinsoku/>
        <w:overflowPunct/>
        <w:bidi w:val="0"/>
        <w:spacing w:line="520" w:lineRule="exact"/>
        <w:ind w:right="0" w:rightChars="0"/>
        <w:jc w:val="center"/>
        <w:textAlignment w:val="auto"/>
        <w:outlineLvl w:val="9"/>
        <w:rPr>
          <w:rFonts w:hint="eastAsia" w:eastAsiaTheme="minorEastAsia"/>
          <w:b/>
          <w:bCs/>
          <w:sz w:val="44"/>
          <w:szCs w:val="44"/>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keepNext w:val="0"/>
        <w:keepLines w:val="0"/>
        <w:pageBreakBefore w:val="0"/>
        <w:kinsoku/>
        <w:overflowPunct/>
        <w:bidi w:val="0"/>
        <w:spacing w:line="520" w:lineRule="exact"/>
        <w:ind w:right="0" w:rightChars="0" w:firstLine="360" w:firstLineChars="150"/>
        <w:textAlignment w:val="auto"/>
        <w:outlineLvl w:val="9"/>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环境保护局</w:t>
      </w:r>
      <w:r>
        <w:rPr>
          <w:rFonts w:hint="eastAsia" w:ascii="仿宋" w:hAnsi="仿宋" w:eastAsia="仿宋" w:cs="仿宋"/>
          <w:sz w:val="24"/>
          <w:szCs w:val="24"/>
        </w:rPr>
        <w:t>的委托，就“禹州市2018年农村环境综合整治设计项目”进行公开招标，欢迎合格的投标人前来投标。</w:t>
      </w:r>
    </w:p>
    <w:p>
      <w:pPr>
        <w:keepNext w:val="0"/>
        <w:keepLines w:val="0"/>
        <w:pageBreakBefore w:val="0"/>
        <w:widowControl/>
        <w:numPr>
          <w:ilvl w:val="0"/>
          <w:numId w:val="3"/>
        </w:numPr>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1、</w:t>
      </w:r>
      <w:r>
        <w:rPr>
          <w:rFonts w:hint="eastAsia" w:ascii="仿宋" w:hAnsi="仿宋" w:eastAsia="仿宋" w:cs="仿宋"/>
          <w:sz w:val="24"/>
          <w:szCs w:val="24"/>
        </w:rPr>
        <w:t>采购人：禹州市</w:t>
      </w:r>
      <w:r>
        <w:rPr>
          <w:rFonts w:hint="eastAsia" w:ascii="仿宋" w:hAnsi="仿宋" w:eastAsia="仿宋" w:cs="仿宋"/>
          <w:sz w:val="24"/>
          <w:szCs w:val="24"/>
          <w:lang w:eastAsia="zh-CN"/>
        </w:rPr>
        <w:t>环境保护</w:t>
      </w:r>
      <w:r>
        <w:rPr>
          <w:rFonts w:hint="eastAsia" w:ascii="仿宋" w:hAnsi="仿宋" w:eastAsia="仿宋" w:cs="仿宋"/>
          <w:sz w:val="24"/>
          <w:szCs w:val="24"/>
        </w:rPr>
        <w:t>局</w:t>
      </w:r>
    </w:p>
    <w:p>
      <w:pPr>
        <w:pStyle w:val="41"/>
        <w:keepNext w:val="0"/>
        <w:keepLines w:val="0"/>
        <w:pageBreakBefore w:val="0"/>
        <w:numPr>
          <w:ilvl w:val="0"/>
          <w:numId w:val="0"/>
        </w:numPr>
        <w:kinsoku/>
        <w:overflowPunct/>
        <w:bidi w:val="0"/>
        <w:spacing w:line="520" w:lineRule="exact"/>
        <w:ind w:left="630" w:leftChars="0" w:right="0" w:rightChars="0"/>
        <w:textAlignment w:val="auto"/>
        <w:outlineLvl w:val="9"/>
        <w:rPr>
          <w:rFonts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采购编号：YZCG-G201</w:t>
      </w:r>
      <w:r>
        <w:rPr>
          <w:rFonts w:hint="eastAsia" w:ascii="仿宋" w:hAnsi="仿宋" w:eastAsia="仿宋" w:cs="仿宋"/>
          <w:sz w:val="24"/>
          <w:szCs w:val="24"/>
          <w:lang w:val="en-US" w:eastAsia="zh-CN"/>
        </w:rPr>
        <w:t>8100</w:t>
      </w:r>
    </w:p>
    <w:p>
      <w:pPr>
        <w:pStyle w:val="12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项目需求：（详见招标文件）</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4、采购预算：18.64万元</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5、最高限价：18.64万元</w:t>
      </w:r>
    </w:p>
    <w:p>
      <w:pPr>
        <w:keepNext w:val="0"/>
        <w:keepLines w:val="0"/>
        <w:pageBreakBefore w:val="0"/>
        <w:widowControl/>
        <w:shd w:val="clear" w:color="auto" w:fill="FFFFFF"/>
        <w:kinsoku/>
        <w:overflowPunct/>
        <w:bidi w:val="0"/>
        <w:spacing w:line="520" w:lineRule="exact"/>
        <w:ind w:right="0" w:rightChars="0" w:firstLine="354" w:firstLineChars="147"/>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2.投标商须具备建设行政主管部门颁发的环境工程专项水污染防治或市政给排水工程设计乙级资质以上；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3、投标商拟派项目负责人须具有中级以上环保专业工程师或注册给排水资格证书；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numPr>
          <w:ilvl w:val="0"/>
          <w:numId w:val="0"/>
        </w:numPr>
        <w:shd w:val="clear" w:color="auto" w:fill="FFFFFF"/>
        <w:kinsoku/>
        <w:overflowPunct/>
        <w:bidi w:val="0"/>
        <w:spacing w:line="520" w:lineRule="exact"/>
        <w:ind w:right="0" w:rightChars="0"/>
        <w:jc w:val="left"/>
        <w:textAlignment w:val="auto"/>
        <w:outlineLvl w:val="9"/>
        <w:rPr>
          <w:rFonts w:ascii="仿宋" w:hAnsi="仿宋" w:eastAsia="仿宋" w:cs="仿宋"/>
          <w:b/>
          <w:color w:val="000000"/>
          <w:kern w:val="0"/>
          <w:sz w:val="24"/>
          <w:szCs w:val="24"/>
        </w:rPr>
      </w:pPr>
    </w:p>
    <w:p>
      <w:pPr>
        <w:keepNext w:val="0"/>
        <w:keepLines w:val="0"/>
        <w:pageBreakBefore w:val="0"/>
        <w:widowControl/>
        <w:shd w:val="clear" w:color="auto" w:fill="FFFFFF"/>
        <w:kinsoku/>
        <w:overflowPunct/>
        <w:bidi w:val="0"/>
        <w:spacing w:line="520" w:lineRule="exact"/>
        <w:ind w:left="0" w:leftChars="0" w:right="0" w:rightChars="0" w:firstLine="482"/>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四、获取招标文件的方式、时间、地点</w:t>
      </w:r>
      <w:r>
        <w:rPr>
          <w:rFonts w:hint="eastAsia" w:ascii="仿宋" w:hAnsi="仿宋" w:eastAsia="仿宋" w:cs="仿宋"/>
          <w:b/>
          <w:color w:val="000000"/>
          <w:kern w:val="0"/>
          <w:sz w:val="24"/>
          <w:szCs w:val="24"/>
          <w:lang w:eastAsia="zh-CN"/>
        </w:rPr>
        <w:t>：</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10</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15：00</w:t>
      </w:r>
      <w:r>
        <w:rPr>
          <w:rFonts w:hint="eastAsia" w:ascii="仿宋" w:hAnsi="仿宋" w:eastAsia="仿宋" w:cs="仿宋"/>
          <w:color w:val="000000"/>
          <w:kern w:val="0"/>
          <w:sz w:val="24"/>
          <w:szCs w:val="24"/>
        </w:rPr>
        <w:t xml:space="preserve"> （北京时间），逾期送达或不符合规定的投标文件不予接受。</w:t>
      </w:r>
    </w:p>
    <w:p>
      <w:pPr>
        <w:keepNext w:val="0"/>
        <w:keepLines w:val="0"/>
        <w:pageBreakBefore w:val="0"/>
        <w:kinsoku/>
        <w:overflowPunct/>
        <w:bidi w:val="0"/>
        <w:spacing w:line="520" w:lineRule="exact"/>
        <w:ind w:right="0" w:rightChars="0" w:firstLine="480" w:firstLineChars="200"/>
        <w:textAlignment w:val="auto"/>
        <w:outlineLvl w:val="9"/>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环境保护局</w:t>
      </w:r>
    </w:p>
    <w:p>
      <w:pPr>
        <w:keepNext w:val="0"/>
        <w:keepLines w:val="0"/>
        <w:pageBreakBefore w:val="0"/>
        <w:widowControl/>
        <w:shd w:val="clear" w:color="auto" w:fill="FFFFFF"/>
        <w:kinsoku/>
        <w:overflowPunct/>
        <w:bidi w:val="0"/>
        <w:spacing w:line="520" w:lineRule="exact"/>
        <w:ind w:right="0" w:rightChars="0" w:firstLine="720" w:firstLineChars="3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创业大厦</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lang w:val="en-US"/>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王先生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13937413079</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p>
    <w:p>
      <w:pPr>
        <w:keepNext w:val="0"/>
        <w:keepLines w:val="0"/>
        <w:pageBreakBefore w:val="0"/>
        <w:kinsoku/>
        <w:overflowPunct/>
        <w:bidi w:val="0"/>
        <w:spacing w:line="520" w:lineRule="exact"/>
        <w:ind w:right="0" w:rightChars="0" w:firstLine="5760" w:firstLineChars="2400"/>
        <w:textAlignment w:val="auto"/>
        <w:outlineLvl w:val="9"/>
        <w:rPr>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19</w:t>
      </w:r>
      <w:r>
        <w:rPr>
          <w:rFonts w:hint="eastAsia" w:ascii="仿宋" w:hAnsi="仿宋" w:eastAsia="仿宋" w:cs="仿宋"/>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cs="仿宋"/>
                <w:sz w:val="24"/>
                <w:szCs w:val="24"/>
              </w:rPr>
              <w:t>YZCG-G201</w:t>
            </w:r>
            <w:r>
              <w:rPr>
                <w:rFonts w:hint="eastAsia" w:ascii="仿宋" w:hAnsi="仿宋" w:eastAsia="仿宋" w:cs="仿宋"/>
                <w:sz w:val="24"/>
                <w:szCs w:val="24"/>
                <w:lang w:val="en-US" w:eastAsia="zh-CN"/>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禹州市2018年农村环境综合整治设计项目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叁仟</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10</w:t>
            </w:r>
            <w:r>
              <w:rPr>
                <w:rFonts w:hint="eastAsia" w:ascii="仿宋" w:hAnsi="仿宋" w:eastAsia="仿宋"/>
                <w:sz w:val="24"/>
                <w:szCs w:val="24"/>
              </w:rPr>
              <w:t>日</w:t>
            </w:r>
            <w:r>
              <w:rPr>
                <w:rFonts w:hint="eastAsia" w:ascii="仿宋" w:hAnsi="仿宋" w:eastAsia="仿宋"/>
                <w:sz w:val="24"/>
                <w:szCs w:val="24"/>
                <w:lang w:val="en-US" w:eastAsia="zh-CN"/>
              </w:rPr>
              <w:t>15</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提供电子版投标文件一份</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2018年</w:t>
            </w:r>
            <w:r>
              <w:rPr>
                <w:rFonts w:hint="eastAsia" w:ascii="仿宋" w:hAnsi="仿宋" w:eastAsia="仿宋"/>
                <w:sz w:val="24"/>
                <w:szCs w:val="24"/>
                <w:lang w:val="zh-CN" w:eastAsia="zh-CN"/>
              </w:rPr>
              <w:t>5</w:t>
            </w:r>
            <w:r>
              <w:rPr>
                <w:rFonts w:hint="eastAsia" w:ascii="仿宋" w:hAnsi="仿宋" w:eastAsia="仿宋"/>
                <w:sz w:val="24"/>
                <w:szCs w:val="24"/>
                <w:lang w:val="zh-CN"/>
              </w:rPr>
              <w:t>月</w:t>
            </w:r>
            <w:r>
              <w:rPr>
                <w:rFonts w:hint="eastAsia" w:ascii="仿宋" w:hAnsi="仿宋" w:eastAsia="仿宋"/>
                <w:sz w:val="24"/>
                <w:szCs w:val="24"/>
                <w:lang w:val="zh-CN" w:eastAsia="zh-CN"/>
              </w:rPr>
              <w:t>10</w:t>
            </w:r>
            <w:r>
              <w:rPr>
                <w:rFonts w:hint="eastAsia" w:ascii="仿宋" w:hAnsi="仿宋" w:eastAsia="仿宋"/>
                <w:sz w:val="24"/>
                <w:szCs w:val="24"/>
                <w:lang w:val="zh-CN"/>
              </w:rPr>
              <w:t>日</w:t>
            </w:r>
            <w:r>
              <w:rPr>
                <w:rFonts w:hint="eastAsia" w:ascii="仿宋" w:hAnsi="仿宋" w:eastAsia="仿宋"/>
                <w:sz w:val="24"/>
                <w:szCs w:val="24"/>
                <w:lang w:val="zh-CN" w:eastAsia="zh-CN"/>
              </w:rPr>
              <w:t>15</w:t>
            </w:r>
            <w:r>
              <w:rPr>
                <w:rFonts w:hint="eastAsia" w:ascii="仿宋" w:hAnsi="仿宋" w:eastAsia="仿宋"/>
                <w:sz w:val="24"/>
                <w:szCs w:val="24"/>
                <w:lang w:val="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2018年</w:t>
            </w:r>
            <w:r>
              <w:rPr>
                <w:rFonts w:hint="eastAsia" w:ascii="仿宋" w:hAnsi="仿宋" w:eastAsia="仿宋"/>
                <w:sz w:val="24"/>
                <w:szCs w:val="24"/>
                <w:lang w:val="zh-CN" w:eastAsia="zh-CN"/>
              </w:rPr>
              <w:t>5</w:t>
            </w:r>
            <w:r>
              <w:rPr>
                <w:rFonts w:hint="eastAsia" w:ascii="仿宋" w:hAnsi="仿宋" w:eastAsia="仿宋"/>
                <w:sz w:val="24"/>
                <w:szCs w:val="24"/>
                <w:lang w:val="zh-CN"/>
              </w:rPr>
              <w:t>月</w:t>
            </w:r>
            <w:r>
              <w:rPr>
                <w:rFonts w:hint="eastAsia" w:ascii="仿宋" w:hAnsi="仿宋" w:eastAsia="仿宋"/>
                <w:sz w:val="24"/>
                <w:szCs w:val="24"/>
                <w:lang w:val="zh-CN" w:eastAsia="zh-CN"/>
              </w:rPr>
              <w:t>10</w:t>
            </w:r>
            <w:r>
              <w:rPr>
                <w:rFonts w:hint="eastAsia" w:ascii="仿宋" w:hAnsi="仿宋" w:eastAsia="仿宋"/>
                <w:sz w:val="24"/>
                <w:szCs w:val="24"/>
                <w:lang w:val="zh-CN"/>
              </w:rPr>
              <w:t>日</w:t>
            </w:r>
            <w:r>
              <w:rPr>
                <w:rFonts w:hint="eastAsia" w:ascii="仿宋" w:hAnsi="仿宋" w:eastAsia="仿宋"/>
                <w:sz w:val="24"/>
                <w:szCs w:val="24"/>
                <w:lang w:val="zh-CN" w:eastAsia="zh-CN"/>
              </w:rPr>
              <w:t>15</w:t>
            </w:r>
            <w:r>
              <w:rPr>
                <w:rFonts w:hint="eastAsia" w:ascii="仿宋" w:hAnsi="仿宋" w:eastAsia="仿宋"/>
                <w:sz w:val="24"/>
                <w:szCs w:val="24"/>
                <w:lang w:val="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18.64</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50" w:firstLineChars="600"/>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widowControl/>
        <w:spacing w:line="440" w:lineRule="exact"/>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both"/>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spacing w:line="400" w:lineRule="exact"/>
        <w:ind w:firstLine="0" w:firstLineChars="0"/>
        <w:rPr>
          <w:rFonts w:hint="eastAsia" w:ascii="仿宋" w:hAnsi="仿宋" w:eastAsia="仿宋" w:cs="仿宋"/>
          <w:b/>
          <w:bCs/>
          <w:sz w:val="24"/>
          <w:szCs w:val="24"/>
        </w:rPr>
      </w:pPr>
      <w:r>
        <w:rPr>
          <w:rFonts w:hint="eastAsia" w:ascii="宋体" w:hAnsi="宋体"/>
          <w:b/>
          <w:bCs/>
          <w:sz w:val="24"/>
          <w:szCs w:val="24"/>
        </w:rPr>
        <w:t>一、</w:t>
      </w:r>
      <w:r>
        <w:rPr>
          <w:rFonts w:hint="eastAsia" w:ascii="仿宋" w:hAnsi="仿宋" w:eastAsia="仿宋" w:cs="仿宋"/>
          <w:b/>
          <w:bCs/>
          <w:sz w:val="24"/>
          <w:szCs w:val="24"/>
        </w:rPr>
        <w:t>设计要求</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招标人应当根据项目情况在本章中明确相应的设计要求，一般应包括以下内容：</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1.项目概况</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包括项目名称、建设单位、建设规模、项目地理位置、周边环境、树木情况、文物情况、地址地貌、气候及气象条件、道路交通状况、市政情况等。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2.设计范围及内容</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3.设计依据</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4.项目使用功能的要求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5.设计人员要求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6.其他要求</w:t>
      </w:r>
    </w:p>
    <w:p>
      <w:pPr>
        <w:spacing w:line="4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二、适用规范标准</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1.国家、行业、项目所在地规范名录</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2.国家、行业、项目所在地标准名录</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3.国家、行业、项目所在地规程名录</w:t>
      </w:r>
    </w:p>
    <w:p>
      <w:pPr>
        <w:spacing w:line="4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三、成果文件要求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1.成果文件的组成：设计说明、图纸等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2.成果文件的深度</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3.成果文件的格式要求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4.成果文件的份数要求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5.成果文件的载体要求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（1）纸质版的要求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（2）电子版的要求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3）其他要求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6.成果文件的展板、模型、沙盘、动画要求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7.成果文件的其他要求</w:t>
      </w:r>
    </w:p>
    <w:p>
      <w:pPr>
        <w:pStyle w:val="2"/>
        <w:rPr>
          <w:rFonts w:hint="eastAsia" w:eastAsia="仿宋"/>
          <w:lang w:val="en-US" w:eastAsia="zh-CN"/>
        </w:rPr>
      </w:pPr>
      <w:r>
        <w:rPr>
          <w:rFonts w:hint="eastAsia" w:ascii="仿宋" w:hAnsi="仿宋" w:eastAsia="仿宋" w:cs="仿宋"/>
          <w:sz w:val="24"/>
          <w:szCs w:val="24"/>
          <w:lang w:val="en-US" w:eastAsia="zh-CN"/>
        </w:rPr>
        <w:t xml:space="preserve">  8、成果符合业主需求、</w:t>
      </w:r>
    </w:p>
    <w:p>
      <w:pPr>
        <w:spacing w:line="40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四、发包人财产清单</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（一）发包人提供的设备、设施</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1.发包人提供的办公房屋及冷暖设施：如办公室数量及面积、空调等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2.发包人提供的设备清单：如电脑、投影、打印机、复印机等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3.发包人提供的设施清单：如办公桌椅、文件柜等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（二）发包人提供的资料</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pict>
          <v:shape id="自选图形 13" o:spid="_x0000_s1026" style="position:absolute;left:0pt;margin-left:2.25pt;margin-top:-0.75pt;height:792.1pt;width:612.1pt;mso-position-horizontal-relative:page;mso-position-vertical-relative:page;z-index:-251517952;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LtHN3UAAAA&#10;BwEAAA8AAAAAAAAAAQAgAAAAIgAAAGRycy9kb3ducmV2LnhtbFBLAQIUABQAAAAIAIdO4kD537vw&#10;rwEAADIDAAAOAAAAAAAAAAEAIAAAACMBAABkcnMvZTJvRG9jLnhtbFBLBQYAAAAABgAGAFkBAABE&#10;BQ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w:r>
      <w:r>
        <w:rPr>
          <w:rFonts w:hint="eastAsia" w:ascii="仿宋" w:hAnsi="仿宋" w:eastAsia="仿宋" w:cs="仿宋"/>
          <w:sz w:val="24"/>
          <w:szCs w:val="24"/>
        </w:rPr>
        <w:t>1.施工场地及毗邻区域内的供水、排水、供电、供气、供热、通信、广播电视等地下管线资料、气象和水文观测资料，相邻建筑物和构筑物、地下工程的有关资料，以及其他与建设工程有关的原始资料</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2.定位放线的基准点、基准线和基准标高</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3.发包人取得的有关审批、核准和备案材料，如规划许可证</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4.发包人提供的资料</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5.发包人提供的技术标准、规范</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6.其他资料</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（三）发包人财产使用要求及退还要求</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1.发包人财产使用要求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2.发包人财产退还要求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spacing w:line="4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五、发包人提供的便利条件</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1.发包人提供的生活条件</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2.发包人提供的交通条件</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3.发包人提供的网络、通讯条件</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4.发包人提供的协助人员</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spacing w:line="40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六、设计人需要自备的工作条件</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1.设计人自备的工作手册：如本项目必备的规范标准、图集等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2.设计人自备的办公设备：如电脑、软件、投影、打印机、复印机、照相机等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3.设计人自备的交通工具：如出行车辆等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4.设计人自备的现场办公设施：如办公桌椅、文件柜等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5.设计人自备的安全设施：如安全帽、安全鞋、手电筒等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七</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须合理的工作方案，</w:t>
      </w:r>
      <w:r>
        <w:rPr>
          <w:rFonts w:hint="eastAsia" w:ascii="仿宋" w:hAnsi="仿宋" w:eastAsia="仿宋" w:cs="仿宋"/>
          <w:sz w:val="24"/>
          <w:szCs w:val="24"/>
        </w:rPr>
        <w:t>否则为无效投标。</w:t>
      </w:r>
    </w:p>
    <w:p>
      <w:pPr>
        <w:spacing w:line="420" w:lineRule="exact"/>
        <w:rPr>
          <w:rFonts w:hint="eastAsia" w:ascii="仿宋" w:hAnsi="仿宋" w:eastAsia="仿宋" w:cs="仿宋"/>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 xml:space="preserve">  3</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w:t>
      </w:r>
      <w:r>
        <w:rPr>
          <w:rFonts w:hint="eastAsia" w:ascii="仿宋" w:hAnsi="仿宋" w:eastAsia="仿宋" w:cs="仿宋_GB2312"/>
          <w:sz w:val="24"/>
          <w:szCs w:val="24"/>
          <w:lang w:eastAsia="zh-CN"/>
        </w:rPr>
        <w:t>评标委员会</w:t>
      </w:r>
      <w:r>
        <w:rPr>
          <w:rFonts w:hint="eastAsia" w:ascii="仿宋" w:hAnsi="仿宋" w:eastAsia="仿宋" w:cs="仿宋_GB2312"/>
          <w:sz w:val="24"/>
          <w:szCs w:val="24"/>
        </w:rPr>
        <w:t>询问，并予作出书面解答。</w:t>
      </w:r>
    </w:p>
    <w:p>
      <w:pPr>
        <w:spacing w:line="520" w:lineRule="exact"/>
        <w:ind w:firstLine="2209" w:firstLineChars="500"/>
        <w:rPr>
          <w:rFonts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（三证合一副本）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资质证书、项目负责人证书、法定代表人授权代表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p>
      <w:pPr>
        <w:numPr>
          <w:ilvl w:val="0"/>
          <w:numId w:val="0"/>
        </w:numPr>
        <w:spacing w:line="600" w:lineRule="exact"/>
        <w:ind w:firstLine="1928" w:firstLineChars="600"/>
        <w:jc w:val="both"/>
        <w:rPr>
          <w:rFonts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p>
    <w:tbl>
      <w:tblPr>
        <w:tblStyle w:val="36"/>
        <w:tblW w:w="10038" w:type="dxa"/>
        <w:jc w:val="center"/>
        <w:tblInd w:w="94" w:type="dxa"/>
        <w:tblLayout w:type="fixed"/>
        <w:tblCellMar>
          <w:top w:w="0" w:type="dxa"/>
          <w:left w:w="0" w:type="dxa"/>
          <w:bottom w:w="0" w:type="dxa"/>
          <w:right w:w="0" w:type="dxa"/>
        </w:tblCellMar>
      </w:tblPr>
      <w:tblGrid>
        <w:gridCol w:w="900"/>
        <w:gridCol w:w="1123"/>
        <w:gridCol w:w="2477"/>
        <w:gridCol w:w="5538"/>
      </w:tblGrid>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pacing w:val="2"/>
                <w:sz w:val="24"/>
                <w:szCs w:val="24"/>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pacing w:val="2"/>
                <w:sz w:val="24"/>
                <w:szCs w:val="24"/>
              </w:rPr>
              <w:t>评分因素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pacing w:val="2"/>
                <w:sz w:val="24"/>
                <w:szCs w:val="24"/>
              </w:rPr>
              <w:t>评分标准</w:t>
            </w:r>
          </w:p>
        </w:tc>
      </w:tr>
      <w:tr>
        <w:tblPrEx>
          <w:tblLayout w:type="fixed"/>
          <w:tblCellMar>
            <w:top w:w="0" w:type="dxa"/>
            <w:left w:w="0" w:type="dxa"/>
            <w:bottom w:w="0" w:type="dxa"/>
            <w:right w:w="0" w:type="dxa"/>
          </w:tblCellMar>
        </w:tblPrEx>
        <w:trPr>
          <w:trHeight w:val="131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z w:val="24"/>
                <w:szCs w:val="24"/>
              </w:rPr>
              <w:t>2.2.1</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分值构成</w:t>
            </w:r>
          </w:p>
          <w:p>
            <w:pPr>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z w:val="24"/>
                <w:szCs w:val="24"/>
              </w:rPr>
              <w:t>(总分100分)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hint="eastAsia" w:ascii="仿宋" w:hAnsi="仿宋" w:eastAsia="仿宋" w:cs="仿宋"/>
                <w:spacing w:val="2"/>
                <w:sz w:val="24"/>
                <w:szCs w:val="24"/>
              </w:rPr>
            </w:pPr>
            <w:r>
              <w:rPr>
                <w:rFonts w:hint="eastAsia" w:ascii="仿宋" w:hAnsi="仿宋" w:eastAsia="仿宋" w:cs="仿宋"/>
                <w:spacing w:val="2"/>
                <w:sz w:val="24"/>
                <w:szCs w:val="24"/>
              </w:rPr>
              <w:t>投标报价部分：30分</w:t>
            </w:r>
          </w:p>
          <w:p>
            <w:pPr>
              <w:snapToGrid w:val="0"/>
              <w:spacing w:line="360" w:lineRule="exact"/>
              <w:ind w:firstLine="488"/>
              <w:jc w:val="both"/>
              <w:rPr>
                <w:rFonts w:hint="eastAsia" w:ascii="仿宋" w:hAnsi="仿宋" w:eastAsia="仿宋" w:cs="仿宋"/>
                <w:spacing w:val="2"/>
                <w:sz w:val="24"/>
                <w:szCs w:val="24"/>
              </w:rPr>
            </w:pPr>
            <w:r>
              <w:rPr>
                <w:rFonts w:hint="eastAsia" w:ascii="仿宋" w:hAnsi="仿宋" w:eastAsia="仿宋" w:cs="仿宋"/>
                <w:spacing w:val="2"/>
                <w:sz w:val="24"/>
                <w:szCs w:val="24"/>
              </w:rPr>
              <w:t>资信业绩部分：</w:t>
            </w:r>
            <w:r>
              <w:rPr>
                <w:rFonts w:hint="eastAsia" w:ascii="仿宋" w:hAnsi="仿宋" w:eastAsia="仿宋" w:cs="仿宋"/>
                <w:spacing w:val="2"/>
                <w:sz w:val="24"/>
                <w:szCs w:val="24"/>
                <w:lang w:val="en-US" w:eastAsia="zh-CN"/>
              </w:rPr>
              <w:t>30</w:t>
            </w:r>
            <w:r>
              <w:rPr>
                <w:rFonts w:hint="eastAsia" w:ascii="仿宋" w:hAnsi="仿宋" w:eastAsia="仿宋" w:cs="仿宋"/>
                <w:spacing w:val="2"/>
                <w:sz w:val="24"/>
                <w:szCs w:val="24"/>
              </w:rPr>
              <w:t>分</w:t>
            </w:r>
          </w:p>
          <w:p>
            <w:pPr>
              <w:snapToGrid w:val="0"/>
              <w:spacing w:line="360" w:lineRule="exact"/>
              <w:ind w:firstLine="488"/>
              <w:jc w:val="both"/>
              <w:rPr>
                <w:rFonts w:hint="eastAsia" w:ascii="仿宋" w:hAnsi="仿宋" w:eastAsia="仿宋" w:cs="仿宋"/>
                <w:spacing w:val="2"/>
                <w:sz w:val="24"/>
                <w:szCs w:val="24"/>
              </w:rPr>
            </w:pPr>
            <w:r>
              <w:rPr>
                <w:rFonts w:hint="eastAsia" w:ascii="仿宋" w:hAnsi="仿宋" w:eastAsia="仿宋" w:cs="仿宋"/>
                <w:spacing w:val="2"/>
                <w:sz w:val="24"/>
                <w:szCs w:val="24"/>
              </w:rPr>
              <w:t>设计方案部分：</w:t>
            </w:r>
            <w:r>
              <w:rPr>
                <w:rFonts w:hint="eastAsia" w:ascii="仿宋" w:hAnsi="仿宋" w:eastAsia="仿宋" w:cs="仿宋"/>
                <w:spacing w:val="2"/>
                <w:sz w:val="24"/>
                <w:szCs w:val="24"/>
                <w:lang w:val="en-US" w:eastAsia="zh-CN"/>
              </w:rPr>
              <w:t>40</w:t>
            </w:r>
            <w:r>
              <w:rPr>
                <w:rFonts w:hint="eastAsia" w:ascii="仿宋" w:hAnsi="仿宋" w:eastAsia="仿宋" w:cs="仿宋"/>
                <w:spacing w:val="2"/>
                <w:sz w:val="24"/>
                <w:szCs w:val="24"/>
              </w:rPr>
              <w:t>分</w:t>
            </w:r>
          </w:p>
        </w:tc>
      </w:tr>
      <w:tr>
        <w:tblPrEx>
          <w:tblLayout w:type="fixed"/>
          <w:tblCellMar>
            <w:top w:w="0" w:type="dxa"/>
            <w:left w:w="0" w:type="dxa"/>
            <w:bottom w:w="0" w:type="dxa"/>
            <w:right w:w="0" w:type="dxa"/>
          </w:tblCellMar>
        </w:tblPrEx>
        <w:trPr>
          <w:trHeight w:val="95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2.2.2</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pacing w:val="2"/>
                <w:sz w:val="24"/>
                <w:szCs w:val="24"/>
              </w:rPr>
              <w:t>投标报价（30分）</w:t>
            </w:r>
          </w:p>
        </w:tc>
        <w:tc>
          <w:tcPr>
            <w:tcW w:w="5538" w:type="dxa"/>
            <w:tcBorders>
              <w:top w:val="single" w:color="000000" w:sz="4" w:space="0"/>
              <w:left w:val="single" w:color="000000" w:sz="4" w:space="0"/>
              <w:bottom w:val="single" w:color="000000" w:sz="4" w:space="0"/>
              <w:right w:val="single" w:color="000000" w:sz="4" w:space="0"/>
            </w:tcBorders>
          </w:tcPr>
          <w:p>
            <w:pPr>
              <w:spacing w:line="360" w:lineRule="exact"/>
              <w:ind w:left="0" w:leftChars="0" w:firstLine="0" w:firstLineChars="0"/>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报价最低为计分基准价</w:t>
            </w:r>
          </w:p>
          <w:p>
            <w:pPr>
              <w:pStyle w:val="2"/>
              <w:ind w:left="0" w:leftChars="0" w:firstLine="0" w:firstLineChars="0"/>
              <w:rPr>
                <w:rFonts w:hint="eastAsia" w:ascii="仿宋" w:hAnsi="仿宋" w:eastAsia="仿宋" w:cs="仿宋"/>
                <w:sz w:val="24"/>
                <w:szCs w:val="24"/>
                <w:lang w:eastAsia="zh-CN"/>
              </w:rPr>
            </w:pPr>
            <w:r>
              <w:rPr>
                <w:rFonts w:hint="eastAsia" w:ascii="仿宋" w:hAnsi="仿宋" w:eastAsia="仿宋" w:cs="仿宋"/>
                <w:color w:val="000000" w:themeColor="text1"/>
                <w:kern w:val="0"/>
                <w:sz w:val="24"/>
                <w:szCs w:val="24"/>
                <w:shd w:val="clear" w:color="auto" w:fill="auto"/>
                <w:lang w:eastAsia="zh-CN"/>
              </w:rPr>
              <w:t>报价得分</w:t>
            </w:r>
            <w:r>
              <w:rPr>
                <w:rFonts w:hint="eastAsia" w:ascii="仿宋" w:hAnsi="仿宋" w:eastAsia="仿宋" w:cs="仿宋"/>
                <w:color w:val="000000" w:themeColor="text1"/>
                <w:kern w:val="0"/>
                <w:sz w:val="24"/>
                <w:szCs w:val="24"/>
                <w:shd w:val="clear" w:color="auto" w:fill="auto"/>
                <w:lang w:val="en-US" w:eastAsia="zh-CN"/>
              </w:rPr>
              <w:t>=评审基准价/有效报价×30</w:t>
            </w:r>
          </w:p>
        </w:tc>
      </w:tr>
      <w:tr>
        <w:tblPrEx>
          <w:tblLayout w:type="fixed"/>
          <w:tblCellMar>
            <w:top w:w="0" w:type="dxa"/>
            <w:left w:w="0" w:type="dxa"/>
            <w:bottom w:w="0" w:type="dxa"/>
            <w:right w:w="0" w:type="dxa"/>
          </w:tblCellMar>
        </w:tblPrEx>
        <w:trPr>
          <w:trHeight w:val="830" w:hRule="atLeast"/>
          <w:jc w:val="center"/>
        </w:trPr>
        <w:tc>
          <w:tcPr>
            <w:tcW w:w="900" w:type="dxa"/>
            <w:vMerge w:val="restart"/>
            <w:tcBorders>
              <w:top w:val="single" w:color="auto" w:sz="4" w:space="0"/>
              <w:left w:val="single" w:color="000000" w:sz="4" w:space="0"/>
              <w:right w:val="single" w:color="auto" w:sz="4" w:space="0"/>
            </w:tcBorders>
            <w:vAlign w:val="center"/>
          </w:tcPr>
          <w:p>
            <w:pPr>
              <w:snapToGrid w:val="0"/>
              <w:spacing w:line="400" w:lineRule="exact"/>
              <w:ind w:firstLine="0" w:firstLineChars="0"/>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2.2.3</w:t>
            </w:r>
          </w:p>
        </w:tc>
        <w:tc>
          <w:tcPr>
            <w:tcW w:w="1123" w:type="dxa"/>
            <w:vMerge w:val="restart"/>
            <w:tcBorders>
              <w:top w:val="single" w:color="auto" w:sz="4" w:space="0"/>
              <w:left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资信业绩评审标准（30分）</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、企业综合实力</w:t>
            </w:r>
          </w:p>
          <w:p>
            <w:pPr>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16</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（1）2015年1月1日以来，企业设计过农村环境综合整治项目者得3分</w:t>
            </w:r>
            <w:r>
              <w:rPr>
                <w:rFonts w:hint="eastAsia" w:ascii="仿宋" w:hAnsi="仿宋" w:eastAsia="仿宋" w:cs="仿宋"/>
                <w:sz w:val="24"/>
                <w:szCs w:val="24"/>
                <w:lang w:eastAsia="zh-CN"/>
              </w:rPr>
              <w:t>，最多得</w:t>
            </w:r>
            <w:r>
              <w:rPr>
                <w:rFonts w:hint="eastAsia" w:ascii="仿宋" w:hAnsi="仿宋" w:eastAsia="仿宋" w:cs="仿宋"/>
                <w:sz w:val="24"/>
                <w:szCs w:val="24"/>
                <w:lang w:val="en-US" w:eastAsia="zh-CN"/>
              </w:rPr>
              <w:t>12分</w:t>
            </w:r>
            <w:r>
              <w:rPr>
                <w:rFonts w:hint="eastAsia" w:ascii="仿宋" w:hAnsi="仿宋" w:eastAsia="仿宋" w:cs="仿宋"/>
                <w:sz w:val="24"/>
                <w:szCs w:val="24"/>
              </w:rPr>
              <w:t>（提供合同原件为准）</w:t>
            </w:r>
          </w:p>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企业须提供工商企业信用信息公示报告（国家企业信息公示系统</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"http://www.gsxt.gov.cn"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http://www.gsxt.gov.cn</w:t>
            </w:r>
            <w:r>
              <w:rPr>
                <w:rFonts w:hint="eastAsia" w:ascii="仿宋" w:hAnsi="仿宋" w:eastAsia="仿宋" w:cs="仿宋"/>
                <w:sz w:val="24"/>
                <w:szCs w:val="24"/>
              </w:rPr>
              <w:fldChar w:fldCharType="end"/>
            </w:r>
            <w:r>
              <w:rPr>
                <w:rFonts w:hint="eastAsia" w:ascii="仿宋" w:hAnsi="仿宋" w:eastAsia="仿宋" w:cs="仿宋"/>
                <w:sz w:val="24"/>
                <w:szCs w:val="24"/>
              </w:rPr>
              <w:t>）信息报告包括企业基础信息、行政许可信息、行政处罚信息、列入异常名录信息、列入严重违法失信企业名单（黑名单）信息，无不良信息者得</w:t>
            </w:r>
            <w:r>
              <w:rPr>
                <w:rFonts w:hint="eastAsia" w:ascii="仿宋" w:hAnsi="仿宋" w:eastAsia="仿宋" w:cs="仿宋"/>
                <w:sz w:val="24"/>
                <w:szCs w:val="24"/>
                <w:lang w:val="en-US" w:eastAsia="zh-CN"/>
              </w:rPr>
              <w:t>4</w:t>
            </w:r>
            <w:r>
              <w:rPr>
                <w:rFonts w:hint="eastAsia" w:ascii="仿宋" w:hAnsi="仿宋" w:eastAsia="仿宋" w:cs="仿宋"/>
                <w:sz w:val="24"/>
                <w:szCs w:val="24"/>
              </w:rPr>
              <w:t>分，未提供或有不良信息者不得分，本项最高得</w:t>
            </w:r>
            <w:r>
              <w:rPr>
                <w:rFonts w:hint="eastAsia" w:ascii="仿宋" w:hAnsi="仿宋" w:eastAsia="仿宋" w:cs="仿宋"/>
                <w:sz w:val="24"/>
                <w:szCs w:val="24"/>
                <w:lang w:val="en-US" w:eastAsia="zh-CN"/>
              </w:rPr>
              <w:t>4</w:t>
            </w:r>
            <w:r>
              <w:rPr>
                <w:rFonts w:hint="eastAsia" w:ascii="仿宋" w:hAnsi="仿宋" w:eastAsia="仿宋" w:cs="仿宋"/>
                <w:sz w:val="24"/>
                <w:szCs w:val="24"/>
              </w:rPr>
              <w:t>分（以网页截图为准）。</w:t>
            </w:r>
          </w:p>
          <w:p>
            <w:pPr>
              <w:spacing w:line="400" w:lineRule="exact"/>
              <w:ind w:firstLine="0" w:firstLineChars="0"/>
              <w:jc w:val="both"/>
              <w:rPr>
                <w:rFonts w:hint="eastAsia" w:ascii="仿宋" w:hAnsi="仿宋" w:eastAsia="仿宋" w:cs="仿宋"/>
                <w:sz w:val="24"/>
                <w:szCs w:val="24"/>
                <w:lang w:eastAsia="zh-CN"/>
              </w:rPr>
            </w:pPr>
          </w:p>
        </w:tc>
      </w:tr>
      <w:tr>
        <w:tblPrEx>
          <w:tblLayout w:type="fixed"/>
          <w:tblCellMar>
            <w:top w:w="0" w:type="dxa"/>
            <w:left w:w="0" w:type="dxa"/>
            <w:bottom w:w="0" w:type="dxa"/>
            <w:right w:w="0" w:type="dxa"/>
          </w:tblCellMar>
        </w:tblPrEx>
        <w:trPr>
          <w:trHeight w:val="1073"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w:t>
            </w:r>
            <w:r>
              <w:rPr>
                <w:rFonts w:hint="eastAsia" w:ascii="仿宋" w:hAnsi="仿宋" w:eastAsia="仿宋" w:cs="仿宋"/>
                <w:sz w:val="24"/>
                <w:szCs w:val="24"/>
              </w:rPr>
              <w:t>、投标工期（0-4分）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每低于目标工期2天者得2分，最高得4分。</w:t>
            </w:r>
          </w:p>
        </w:tc>
      </w:tr>
      <w:tr>
        <w:tblPrEx>
          <w:tblLayout w:type="fixed"/>
          <w:tblCellMar>
            <w:top w:w="0" w:type="dxa"/>
            <w:left w:w="0" w:type="dxa"/>
            <w:bottom w:w="0" w:type="dxa"/>
            <w:right w:w="0" w:type="dxa"/>
          </w:tblCellMar>
        </w:tblPrEx>
        <w:trPr>
          <w:trHeight w:val="1765"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hint="eastAsia" w:ascii="仿宋" w:hAnsi="仿宋" w:eastAsia="仿宋" w:cs="仿宋"/>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hint="eastAsia" w:ascii="仿宋" w:hAnsi="仿宋" w:eastAsia="仿宋" w:cs="仿宋"/>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、服务承诺（1-</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投标人针对招标项目的特点和要求，结合自身条件和潜力为招标人排忧解难，有优惠承诺者由评委进行综合评分，在1—</w:t>
            </w:r>
            <w:r>
              <w:rPr>
                <w:rFonts w:hint="eastAsia" w:ascii="仿宋" w:hAnsi="仿宋" w:eastAsia="仿宋" w:cs="仿宋"/>
                <w:sz w:val="24"/>
                <w:szCs w:val="24"/>
                <w:lang w:val="en-US" w:eastAsia="zh-CN"/>
              </w:rPr>
              <w:t>10</w:t>
            </w:r>
            <w:r>
              <w:rPr>
                <w:rFonts w:hint="eastAsia" w:ascii="仿宋" w:hAnsi="仿宋" w:eastAsia="仿宋" w:cs="仿宋"/>
                <w:sz w:val="24"/>
                <w:szCs w:val="24"/>
              </w:rPr>
              <w:t>分范围内进行打分。</w:t>
            </w:r>
          </w:p>
        </w:tc>
      </w:tr>
      <w:tr>
        <w:tblPrEx>
          <w:tblLayout w:type="fixed"/>
          <w:tblCellMar>
            <w:top w:w="0" w:type="dxa"/>
            <w:left w:w="0" w:type="dxa"/>
            <w:bottom w:w="0" w:type="dxa"/>
            <w:right w:w="0" w:type="dxa"/>
          </w:tblCellMar>
        </w:tblPrEx>
        <w:trPr>
          <w:trHeight w:val="90" w:hRule="atLeast"/>
          <w:jc w:val="center"/>
        </w:trPr>
        <w:tc>
          <w:tcPr>
            <w:tcW w:w="900"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pacing w:val="2"/>
                <w:sz w:val="24"/>
                <w:szCs w:val="24"/>
              </w:rPr>
              <w:t>2.2.4</w:t>
            </w:r>
          </w:p>
        </w:tc>
        <w:tc>
          <w:tcPr>
            <w:tcW w:w="1123"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hint="eastAsia" w:ascii="仿宋" w:hAnsi="仿宋" w:eastAsia="仿宋" w:cs="仿宋"/>
                <w:spacing w:val="2"/>
                <w:sz w:val="24"/>
                <w:szCs w:val="24"/>
              </w:rPr>
            </w:pPr>
            <w:r>
              <w:rPr>
                <w:rFonts w:hint="eastAsia" w:ascii="仿宋" w:hAnsi="仿宋" w:eastAsia="仿宋" w:cs="仿宋"/>
                <w:spacing w:val="2"/>
                <w:sz w:val="24"/>
                <w:szCs w:val="24"/>
              </w:rPr>
              <w:t>设计方案评分标准（</w:t>
            </w:r>
            <w:r>
              <w:rPr>
                <w:rFonts w:hint="eastAsia" w:ascii="仿宋" w:hAnsi="仿宋" w:eastAsia="仿宋" w:cs="仿宋"/>
                <w:spacing w:val="2"/>
                <w:sz w:val="24"/>
                <w:szCs w:val="24"/>
                <w:lang w:val="en-US" w:eastAsia="zh-CN"/>
              </w:rPr>
              <w:t>40</w:t>
            </w:r>
            <w:r>
              <w:rPr>
                <w:rFonts w:hint="eastAsia" w:ascii="仿宋" w:hAnsi="仿宋" w:eastAsia="仿宋" w:cs="仿宋"/>
                <w:spacing w:val="2"/>
                <w:sz w:val="24"/>
                <w:szCs w:val="24"/>
              </w:rPr>
              <w:t>分）</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p>
        </w:tc>
      </w:tr>
      <w:tr>
        <w:tblPrEx>
          <w:tblLayout w:type="fixed"/>
          <w:tblCellMar>
            <w:top w:w="0" w:type="dxa"/>
            <w:left w:w="0" w:type="dxa"/>
            <w:bottom w:w="0" w:type="dxa"/>
            <w:right w:w="0" w:type="dxa"/>
          </w:tblCellMar>
        </w:tblPrEx>
        <w:trPr>
          <w:trHeight w:val="9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、设计依据、设计工作目标（</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根据设计依据、设计工作目标</w:t>
            </w: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35"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、设计机构设置和岗位职责（</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根据设计机构设置和岗位职责的合理、科学性，在1-</w:t>
            </w:r>
            <w:r>
              <w:rPr>
                <w:rFonts w:hint="eastAsia" w:ascii="仿宋" w:hAnsi="仿宋" w:eastAsia="仿宋" w:cs="仿宋"/>
                <w:sz w:val="24"/>
                <w:szCs w:val="24"/>
                <w:lang w:val="en-US" w:eastAsia="zh-CN"/>
              </w:rPr>
              <w:t>5</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95"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、设计说明和设计方案（</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根据设计说明和设计方案是否合理、科学，在1-</w:t>
            </w:r>
            <w:r>
              <w:rPr>
                <w:rFonts w:hint="eastAsia" w:ascii="仿宋" w:hAnsi="仿宋" w:eastAsia="仿宋" w:cs="仿宋"/>
                <w:sz w:val="24"/>
                <w:szCs w:val="24"/>
                <w:lang w:val="en-US" w:eastAsia="zh-CN"/>
              </w:rPr>
              <w:t>8</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255"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、设计质量、进度等保证措施（</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根据设计质量、进度等保证措施是否合理、科学，在1-</w:t>
            </w:r>
            <w:r>
              <w:rPr>
                <w:rFonts w:hint="eastAsia" w:ascii="仿宋" w:hAnsi="仿宋" w:eastAsia="仿宋" w:cs="仿宋"/>
                <w:sz w:val="24"/>
                <w:szCs w:val="24"/>
                <w:lang w:val="en-US" w:eastAsia="zh-CN"/>
              </w:rPr>
              <w:t>8</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4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、设计工作重点、难点分析（</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根据设计工作重点、难点分析是否合理、科学，在1-</w:t>
            </w:r>
            <w:r>
              <w:rPr>
                <w:rFonts w:hint="eastAsia" w:ascii="仿宋" w:hAnsi="仿宋" w:eastAsia="仿宋" w:cs="仿宋"/>
                <w:sz w:val="24"/>
                <w:szCs w:val="24"/>
                <w:lang w:val="en-US" w:eastAsia="zh-CN"/>
              </w:rPr>
              <w:t>6</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4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、合理化建议（</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根据合理化建议的合理、科学性，在1-</w:t>
            </w:r>
            <w:r>
              <w:rPr>
                <w:rFonts w:hint="eastAsia" w:ascii="仿宋" w:hAnsi="仿宋" w:eastAsia="仿宋" w:cs="仿宋"/>
                <w:sz w:val="24"/>
                <w:szCs w:val="24"/>
                <w:lang w:val="en-US" w:eastAsia="zh-CN"/>
              </w:rPr>
              <w:t>3</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45"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、后续服务工作安排</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根据后续服务工作安排是否合理、科学，在1-</w:t>
            </w:r>
            <w:r>
              <w:rPr>
                <w:rFonts w:hint="eastAsia" w:ascii="仿宋" w:hAnsi="仿宋" w:eastAsia="仿宋" w:cs="仿宋"/>
                <w:sz w:val="24"/>
                <w:szCs w:val="24"/>
                <w:lang w:val="en-US" w:eastAsia="zh-CN"/>
              </w:rPr>
              <w:t>5</w:t>
            </w:r>
            <w:r>
              <w:rPr>
                <w:rFonts w:hint="eastAsia" w:ascii="仿宋" w:hAnsi="仿宋" w:eastAsia="仿宋" w:cs="仿宋"/>
                <w:sz w:val="24"/>
                <w:szCs w:val="24"/>
              </w:rPr>
              <w:t>分范围内酌情打分。缺项为0分。</w:t>
            </w:r>
          </w:p>
        </w:tc>
      </w:tr>
    </w:tbl>
    <w:p>
      <w:pPr>
        <w:spacing w:line="360" w:lineRule="auto"/>
        <w:textAlignment w:val="baseline"/>
        <w:rPr>
          <w:rFonts w:hint="eastAsia" w:ascii="仿宋" w:hAnsi="仿宋" w:eastAsia="仿宋" w:cs="仿宋"/>
          <w:sz w:val="24"/>
          <w:szCs w:val="24"/>
          <w:lang w:val="en-US" w:eastAsia="zh-CN"/>
        </w:rPr>
      </w:pPr>
    </w:p>
    <w:p>
      <w:pPr>
        <w:pStyle w:val="125"/>
        <w:spacing w:before="120" w:after="120"/>
        <w:ind w:firstLine="480"/>
        <w:rPr>
          <w:rFonts w:ascii="仿宋" w:hAnsi="仿宋" w:eastAsia="仿宋"/>
        </w:rPr>
      </w:pPr>
      <w:r>
        <w:rPr>
          <w:rFonts w:hint="eastAsia" w:ascii="仿宋" w:hAnsi="仿宋" w:eastAsia="仿宋" w:cs="仿宋"/>
          <w:sz w:val="24"/>
          <w:szCs w:val="24"/>
        </w:rPr>
        <w:t>（特别提示：以上评分表中所涉及到的证件投标人在开标时候均须携带原件，未</w:t>
      </w:r>
      <w:r>
        <w:rPr>
          <w:rFonts w:hint="eastAsia" w:ascii="仿宋" w:hAnsi="仿宋" w:eastAsia="仿宋"/>
        </w:rPr>
        <w:t>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ind w:firstLine="2168" w:firstLineChars="600"/>
        <w:jc w:val="both"/>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pStyle w:val="2"/>
        <w:rPr>
          <w:rFonts w:hint="eastAsia" w:ascii="仿宋_GB2312" w:hAnsi="仿宋_GB2312" w:eastAsia="仿宋_GB2312" w:cs="仿宋_GB2312"/>
          <w:b/>
          <w:sz w:val="44"/>
        </w:rPr>
      </w:pPr>
    </w:p>
    <w:p>
      <w:pPr>
        <w:pStyle w:val="2"/>
        <w:rPr>
          <w:rFonts w:hint="eastAsia" w:ascii="仿宋_GB2312" w:hAnsi="仿宋_GB2312" w:eastAsia="仿宋_GB2312" w:cs="仿宋_GB2312"/>
          <w:b/>
          <w:sz w:val="44"/>
        </w:rPr>
      </w:pPr>
    </w:p>
    <w:p>
      <w:pPr>
        <w:pStyle w:val="2"/>
        <w:rPr>
          <w:rFonts w:hint="eastAsia" w:ascii="仿宋_GB2312" w:hAnsi="仿宋_GB2312" w:eastAsia="仿宋_GB2312" w:cs="仿宋_GB2312"/>
          <w:b/>
          <w:sz w:val="44"/>
        </w:rPr>
      </w:pPr>
    </w:p>
    <w:p>
      <w:pPr>
        <w:pStyle w:val="2"/>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（1）2016年度经审计的财务报告，包括“三表一注”，即资产负债表、利润表、现金流量表及其附注，或基本开户银行出具的资信证明。（法人投标提供）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服务</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服务周期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（技术参数要求中相关证明材料）</w:t>
      </w:r>
    </w:p>
    <w:p>
      <w:pPr>
        <w:spacing w:line="360" w:lineRule="exact"/>
        <w:ind w:firstLine="2650" w:firstLineChars="1100"/>
        <w:jc w:val="left"/>
        <w:rPr>
          <w:rFonts w:ascii="仿宋" w:hAnsi="仿宋" w:eastAsia="仿宋" w:cs="仿宋_GB2312"/>
          <w:b/>
          <w:bCs/>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1E9E"/>
    <w:multiLevelType w:val="singleLevel"/>
    <w:tmpl w:val="5A051E9E"/>
    <w:lvl w:ilvl="0" w:tentative="0">
      <w:start w:val="1"/>
      <w:numFmt w:val="chineseCounting"/>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5"/>
  </w:num>
  <w:num w:numId="2">
    <w:abstractNumId w:val="8"/>
  </w:num>
  <w:num w:numId="3">
    <w:abstractNumId w:val="6"/>
  </w:num>
  <w:num w:numId="4">
    <w:abstractNumId w:val="4"/>
  </w:num>
  <w:num w:numId="5">
    <w:abstractNumId w:val="3"/>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3F7793"/>
    <w:rsid w:val="07BE7124"/>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240870"/>
    <w:rsid w:val="105F0CCD"/>
    <w:rsid w:val="10A25988"/>
    <w:rsid w:val="10A437C6"/>
    <w:rsid w:val="11472FC4"/>
    <w:rsid w:val="11662A8F"/>
    <w:rsid w:val="1171773E"/>
    <w:rsid w:val="12362245"/>
    <w:rsid w:val="127D4879"/>
    <w:rsid w:val="129F4391"/>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132933"/>
    <w:rsid w:val="17411E12"/>
    <w:rsid w:val="175B5BC6"/>
    <w:rsid w:val="17D43D54"/>
    <w:rsid w:val="17E545EE"/>
    <w:rsid w:val="183733AB"/>
    <w:rsid w:val="183D0ACD"/>
    <w:rsid w:val="186A4EF9"/>
    <w:rsid w:val="18AD21CB"/>
    <w:rsid w:val="19491C75"/>
    <w:rsid w:val="19786E3B"/>
    <w:rsid w:val="1A107C46"/>
    <w:rsid w:val="1A4540A3"/>
    <w:rsid w:val="1A717838"/>
    <w:rsid w:val="1A8E3CC9"/>
    <w:rsid w:val="1B1630FE"/>
    <w:rsid w:val="1BFB31C4"/>
    <w:rsid w:val="1CC57EEC"/>
    <w:rsid w:val="1D1E07AB"/>
    <w:rsid w:val="1D285414"/>
    <w:rsid w:val="1D5D79CE"/>
    <w:rsid w:val="1D846EFB"/>
    <w:rsid w:val="1E1761B2"/>
    <w:rsid w:val="1F444289"/>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A46BF6"/>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14C2E93"/>
    <w:rsid w:val="316C02DE"/>
    <w:rsid w:val="31754AAE"/>
    <w:rsid w:val="317F2E7E"/>
    <w:rsid w:val="31804229"/>
    <w:rsid w:val="319970FC"/>
    <w:rsid w:val="31BA74D8"/>
    <w:rsid w:val="31C57F0B"/>
    <w:rsid w:val="321A4FF8"/>
    <w:rsid w:val="328D4D46"/>
    <w:rsid w:val="333C55A2"/>
    <w:rsid w:val="335D45FD"/>
    <w:rsid w:val="33656785"/>
    <w:rsid w:val="33EF6302"/>
    <w:rsid w:val="345D6725"/>
    <w:rsid w:val="34876DB2"/>
    <w:rsid w:val="34B022E5"/>
    <w:rsid w:val="34CE04B2"/>
    <w:rsid w:val="34F94C42"/>
    <w:rsid w:val="35020BCE"/>
    <w:rsid w:val="354E2015"/>
    <w:rsid w:val="35636C46"/>
    <w:rsid w:val="35736992"/>
    <w:rsid w:val="36ED429D"/>
    <w:rsid w:val="37692631"/>
    <w:rsid w:val="37B10108"/>
    <w:rsid w:val="38B66F17"/>
    <w:rsid w:val="397D15ED"/>
    <w:rsid w:val="39A31772"/>
    <w:rsid w:val="3A0511AE"/>
    <w:rsid w:val="3A252A28"/>
    <w:rsid w:val="3A361775"/>
    <w:rsid w:val="3A5B0DB6"/>
    <w:rsid w:val="3B1A3171"/>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9D162E"/>
    <w:rsid w:val="43AF4EB6"/>
    <w:rsid w:val="43DA0DF8"/>
    <w:rsid w:val="43F21A5E"/>
    <w:rsid w:val="449D0BDB"/>
    <w:rsid w:val="44A75B9D"/>
    <w:rsid w:val="44CC251D"/>
    <w:rsid w:val="44ED61E4"/>
    <w:rsid w:val="44F765DB"/>
    <w:rsid w:val="452D2CD2"/>
    <w:rsid w:val="45570A50"/>
    <w:rsid w:val="46FF7143"/>
    <w:rsid w:val="479A1D63"/>
    <w:rsid w:val="479E2BBB"/>
    <w:rsid w:val="485B029F"/>
    <w:rsid w:val="48AF4A09"/>
    <w:rsid w:val="49B4550E"/>
    <w:rsid w:val="49F50EB5"/>
    <w:rsid w:val="4A696697"/>
    <w:rsid w:val="4A702233"/>
    <w:rsid w:val="4A9C3E78"/>
    <w:rsid w:val="4AB76254"/>
    <w:rsid w:val="4AF72F43"/>
    <w:rsid w:val="4AFC078A"/>
    <w:rsid w:val="4AFE130C"/>
    <w:rsid w:val="4B06415A"/>
    <w:rsid w:val="4B2C4572"/>
    <w:rsid w:val="4B307A80"/>
    <w:rsid w:val="4BBD5B2C"/>
    <w:rsid w:val="4BF36702"/>
    <w:rsid w:val="4F071606"/>
    <w:rsid w:val="4F403B1D"/>
    <w:rsid w:val="4F7F31B2"/>
    <w:rsid w:val="4F827ABA"/>
    <w:rsid w:val="4FA93F1C"/>
    <w:rsid w:val="4FCB730B"/>
    <w:rsid w:val="504A74E2"/>
    <w:rsid w:val="510C3D06"/>
    <w:rsid w:val="51937900"/>
    <w:rsid w:val="51E01C14"/>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C05B9E"/>
    <w:rsid w:val="651A4BCA"/>
    <w:rsid w:val="659F5C58"/>
    <w:rsid w:val="65D24C12"/>
    <w:rsid w:val="65F1505D"/>
    <w:rsid w:val="668F2678"/>
    <w:rsid w:val="66BA2132"/>
    <w:rsid w:val="6701680A"/>
    <w:rsid w:val="67547205"/>
    <w:rsid w:val="676E5060"/>
    <w:rsid w:val="67FC0C69"/>
    <w:rsid w:val="695558B0"/>
    <w:rsid w:val="698529F7"/>
    <w:rsid w:val="69981330"/>
    <w:rsid w:val="69D62811"/>
    <w:rsid w:val="6A690960"/>
    <w:rsid w:val="6AB109E9"/>
    <w:rsid w:val="6AF572EA"/>
    <w:rsid w:val="6AF86FE1"/>
    <w:rsid w:val="6AFE3DEE"/>
    <w:rsid w:val="6B5A4DFF"/>
    <w:rsid w:val="6BE93902"/>
    <w:rsid w:val="6C25354C"/>
    <w:rsid w:val="6C68412B"/>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3374D23"/>
    <w:rsid w:val="744C618D"/>
    <w:rsid w:val="74920FD0"/>
    <w:rsid w:val="74924B26"/>
    <w:rsid w:val="74B50A85"/>
    <w:rsid w:val="75125292"/>
    <w:rsid w:val="758826A4"/>
    <w:rsid w:val="75B01AA9"/>
    <w:rsid w:val="76140509"/>
    <w:rsid w:val="763C41F4"/>
    <w:rsid w:val="768649B8"/>
    <w:rsid w:val="76EF0C8A"/>
    <w:rsid w:val="76F83624"/>
    <w:rsid w:val="773F1990"/>
    <w:rsid w:val="776A79F9"/>
    <w:rsid w:val="777A7DC6"/>
    <w:rsid w:val="78640367"/>
    <w:rsid w:val="78AC6D4E"/>
    <w:rsid w:val="78C403B7"/>
    <w:rsid w:val="79640B02"/>
    <w:rsid w:val="796E4180"/>
    <w:rsid w:val="79874C47"/>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4"/>
    <w:qFormat/>
    <w:uiPriority w:val="99"/>
    <w:rPr>
      <w:b/>
      <w:bCs/>
      <w:kern w:val="2"/>
      <w:sz w:val="21"/>
      <w:szCs w:val="24"/>
    </w:rPr>
  </w:style>
  <w:style w:type="character" w:customStyle="1" w:styleId="59">
    <w:name w:val="正文文本 Char"/>
    <w:link w:val="3"/>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2"/>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5"/>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2018-04-19T07:21:49Z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