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仿宋_GB2312"/>
          <w:b/>
          <w:color w:val="000000"/>
          <w:kern w:val="0"/>
          <w:sz w:val="40"/>
          <w:szCs w:val="40"/>
          <w:shd w:val="clear" w:color="auto" w:fill="FFFFFF"/>
        </w:rPr>
      </w:pPr>
      <w:r>
        <w:rPr>
          <w:rFonts w:hint="eastAsia" w:ascii="仿宋_GB2312" w:hAnsi="微软雅黑" w:eastAsia="仿宋_GB2312" w:cs="仿宋_GB2312"/>
          <w:b/>
          <w:color w:val="000000"/>
          <w:kern w:val="0"/>
          <w:sz w:val="40"/>
          <w:szCs w:val="40"/>
          <w:shd w:val="clear" w:color="auto" w:fill="FFFFFF"/>
        </w:rPr>
        <w:t>JZFCG-G2018</w:t>
      </w:r>
      <w:r>
        <w:rPr>
          <w:rFonts w:hint="eastAsia" w:ascii="仿宋_GB2312" w:hAnsi="微软雅黑" w:eastAsia="仿宋_GB2312" w:cs="仿宋_GB2312"/>
          <w:b/>
          <w:color w:val="000000"/>
          <w:kern w:val="0"/>
          <w:sz w:val="40"/>
          <w:szCs w:val="40"/>
          <w:shd w:val="clear" w:color="auto" w:fill="FFFFFF"/>
          <w:lang w:val="en-US" w:eastAsia="zh-CN"/>
        </w:rPr>
        <w:t>029</w:t>
      </w:r>
      <w:r>
        <w:rPr>
          <w:rFonts w:hint="eastAsia" w:ascii="仿宋_GB2312" w:hAnsi="微软雅黑" w:eastAsia="仿宋_GB2312" w:cs="仿宋_GB2312"/>
          <w:b/>
          <w:color w:val="000000"/>
          <w:kern w:val="0"/>
          <w:sz w:val="40"/>
          <w:szCs w:val="40"/>
          <w:shd w:val="clear" w:color="auto" w:fill="FFFFFF"/>
        </w:rPr>
        <w:t>号许昌市东城区管理委员会机关事务管理处“保安服务”项目</w:t>
      </w:r>
      <w:r>
        <w:rPr>
          <w:rFonts w:ascii="仿宋_GB2312" w:hAnsi="微软雅黑" w:eastAsia="仿宋_GB2312" w:cs="仿宋_GB2312"/>
          <w:b/>
          <w:color w:val="000000"/>
          <w:kern w:val="0"/>
          <w:sz w:val="40"/>
          <w:szCs w:val="40"/>
          <w:shd w:val="clear" w:color="auto" w:fill="FFFFFF"/>
        </w:rPr>
        <w:t>采购需求、评标标准等说明</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 xml:space="preserve"> 一、项目基本情况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（一）项目名称：许昌市东城区管理委员会机关事务管理处“保安服务”项目</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 xml:space="preserve">（二）项目编号：JZFCG-G2018029号    </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 xml:space="preserve">（三）采购方式：公开招标                                                                                                                          </w:t>
      </w:r>
    </w:p>
    <w:p>
      <w:pPr>
        <w:pStyle w:val="6"/>
        <w:widowControl/>
        <w:shd w:val="clear" w:color="auto" w:fill="FFFFFF"/>
        <w:spacing w:line="360" w:lineRule="auto"/>
        <w:ind w:firstLine="420"/>
        <w:contextualSpacing/>
        <w:jc w:val="left"/>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（四）</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项目主要内容、数量及要求：负责东城区管委</w:t>
      </w:r>
      <w:r>
        <w:rPr>
          <w:rFonts w:hint="eastAsia" w:cs="仿宋_GB2312" w:asciiTheme="minorEastAsia" w:hAnsiTheme="minorEastAsia" w:eastAsiaTheme="minorEastAsia"/>
          <w:color w:val="000000"/>
          <w:shd w:val="clear" w:color="auto" w:fill="FFFFFF"/>
        </w:rPr>
        <w:t>会办公区安全事宜，</w:t>
      </w:r>
      <w:r>
        <w:rPr>
          <w:rFonts w:hint="eastAsia" w:cs="仿宋_GB2312" w:asciiTheme="minorEastAsia" w:hAnsiTheme="minorEastAsia" w:eastAsiaTheme="minorEastAsia"/>
          <w:color w:val="000000" w:themeColor="text1"/>
          <w:shd w:val="clear" w:color="auto" w:fill="FFFFFF"/>
          <w14:textFill>
            <w14:solidFill>
              <w14:schemeClr w14:val="tx1"/>
            </w14:solidFill>
          </w14:textFill>
        </w:rPr>
        <w:t>全天24小时值班巡视。</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（五）预算金额：750000元/年，最高限价：750000元/年</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hd w:val="clear" w:color="auto" w:fill="FFFFFF"/>
          <w:lang w:eastAsia="zh-CN"/>
        </w:rPr>
      </w:pPr>
      <w:r>
        <w:rPr>
          <w:rFonts w:hint="eastAsia" w:ascii="宋体" w:hAnsi="宋体" w:cs="宋体" w:eastAsiaTheme="minorEastAsia"/>
          <w:kern w:val="0"/>
          <w:sz w:val="24"/>
          <w:szCs w:val="24"/>
          <w:shd w:val="clear" w:color="auto" w:fill="FFFFFF"/>
          <w:lang w:val="en-US" w:eastAsia="zh-CN" w:bidi="ar-SA"/>
        </w:rPr>
        <w:t>（六）服务期限：合同签订后3年。</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firstLine="420"/>
        <w:contextualSpacing/>
        <w:jc w:val="left"/>
        <w:textAlignment w:val="auto"/>
        <w:outlineLvl w:val="9"/>
        <w:rPr>
          <w:rFonts w:hint="eastAsia" w:ascii="宋体" w:hAnsi="宋体" w:cs="宋体" w:eastAsiaTheme="minorEastAsia"/>
          <w:kern w:val="0"/>
          <w:sz w:val="24"/>
          <w:szCs w:val="24"/>
          <w:shd w:val="clear" w:color="auto" w:fill="FFFFFF"/>
          <w:lang w:val="en-US" w:eastAsia="zh-CN" w:bidi="ar-SA"/>
        </w:rPr>
      </w:pPr>
      <w:r>
        <w:rPr>
          <w:rFonts w:hint="eastAsia" w:ascii="宋体" w:hAnsi="宋体" w:cs="宋体" w:eastAsiaTheme="minorEastAsia"/>
          <w:kern w:val="0"/>
          <w:sz w:val="24"/>
          <w:szCs w:val="24"/>
          <w:shd w:val="clear" w:color="auto" w:fill="FFFFFF"/>
          <w:lang w:val="en-US" w:eastAsia="zh-CN" w:bidi="ar-SA"/>
        </w:rPr>
        <w:t>（七）服务地点：许昌市东城区管理委员会机关办公区。</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二、需要落实的政府采购政策</w:t>
      </w:r>
    </w:p>
    <w:p>
      <w:pPr>
        <w:pStyle w:val="6"/>
        <w:widowControl/>
        <w:shd w:val="clear" w:color="auto" w:fill="FFFFFF"/>
        <w:spacing w:line="360" w:lineRule="auto"/>
        <w:ind w:firstLine="420"/>
        <w:contextualSpacing/>
        <w:jc w:val="left"/>
        <w:rPr>
          <w:rFonts w:hint="eastAsia" w:ascii="宋体" w:hAnsi="宋体" w:cs="宋体" w:eastAsiaTheme="minorEastAsia"/>
          <w:kern w:val="0"/>
          <w:sz w:val="24"/>
          <w:szCs w:val="24"/>
          <w:shd w:val="clear" w:color="auto" w:fill="FFFFFF"/>
          <w:lang w:val="en-US" w:eastAsia="zh-CN" w:bidi="ar-SA"/>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三、投标人资格要求</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（一）具备《政府采购法》第二十二条第一款规定条件并提供相关材料；</w:t>
      </w:r>
    </w:p>
    <w:p>
      <w:pPr>
        <w:pStyle w:val="6"/>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(二）须具有公安机关颁发的《保安服务许可证》；具有</w:t>
      </w:r>
      <w:r>
        <w:rPr>
          <w:rFonts w:hint="eastAsia" w:ascii="宋体" w:hAnsi="宋体" w:cs="宋体" w:eastAsiaTheme="minorEastAsia"/>
          <w:kern w:val="0"/>
          <w:sz w:val="24"/>
          <w:szCs w:val="24"/>
          <w:shd w:val="clear" w:color="auto" w:fill="FFFFFF"/>
          <w:lang w:val="en-US" w:eastAsia="zh-CN" w:bidi="ar-SA"/>
        </w:rPr>
        <w:t>许昌市东城区</w:t>
      </w:r>
      <w:r>
        <w:rPr>
          <w:rFonts w:hint="eastAsia" w:cs="仿宋_GB2312" w:asciiTheme="minorEastAsia" w:hAnsiTheme="minorEastAsia" w:eastAsiaTheme="minorEastAsia"/>
          <w:color w:val="000000"/>
          <w:shd w:val="clear" w:color="auto" w:fill="FFFFFF"/>
        </w:rPr>
        <w:t>公安机关的备案证明；</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四、项目需求</w:t>
      </w:r>
    </w:p>
    <w:p>
      <w:pPr>
        <w:widowControl/>
        <w:shd w:val="clear" w:color="auto" w:fill="FFFFFF"/>
        <w:spacing w:line="360" w:lineRule="auto"/>
        <w:ind w:firstLine="241" w:firstLineChars="1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一</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本项目需实现的目标</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保证东城区管理委员会机关办公区的安全。</w:t>
      </w:r>
    </w:p>
    <w:p>
      <w:pPr>
        <w:spacing w:line="360" w:lineRule="auto"/>
        <w:ind w:firstLine="241" w:firstLineChars="100"/>
        <w:contextualSpacing/>
        <w:rPr>
          <w:rFonts w:cs="宋体" w:asciiTheme="minorEastAsia" w:hAnsiTheme="minorEastAsia"/>
          <w:kern w:val="0"/>
          <w:sz w:val="24"/>
          <w:szCs w:val="24"/>
        </w:rPr>
      </w:pPr>
      <w:r>
        <w:rPr>
          <w:rFonts w:hint="eastAsia" w:cs="微软雅黑" w:asciiTheme="minorEastAsia" w:hAnsiTheme="minorEastAsia"/>
          <w:b/>
          <w:color w:val="FF0000"/>
          <w:sz w:val="24"/>
          <w:szCs w:val="24"/>
        </w:rPr>
        <w:t>★</w:t>
      </w:r>
      <w:r>
        <w:rPr>
          <w:rFonts w:hint="eastAsia" w:cs="黑体" w:asciiTheme="minorEastAsia" w:hAnsiTheme="minorEastAsia"/>
          <w:b/>
          <w:bCs/>
          <w:color w:val="000000"/>
          <w:sz w:val="24"/>
          <w:szCs w:val="24"/>
          <w:shd w:val="clear" w:color="auto" w:fill="FFFFFF"/>
          <w:lang w:eastAsia="zh-CN"/>
        </w:rPr>
        <w:t>（二）</w:t>
      </w:r>
      <w:r>
        <w:rPr>
          <w:rFonts w:hint="eastAsia" w:ascii="宋体" w:hAnsi="宋体" w:cs="宋体"/>
          <w:b/>
          <w:bCs/>
          <w:kern w:val="0"/>
          <w:sz w:val="24"/>
          <w:shd w:val="clear" w:color="auto" w:fill="FFFFFF"/>
        </w:rPr>
        <w:t>工作内容及岗位责任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1、人数设置及岗位责任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共需要25名保安人员（含一名保安队长）。设立一名保安队长，负责保安队伍的管理、教育以及与单位相关部门的沟通并协调处置相关事宜。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保安公司与采购人以合同形式明确双方的责任、权利和义务。保安队员的管理因与保安公司建立了劳动关系，所以以保安公司管理为主；而采购人对保安服务质量进行监督和指导。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管委会大院内保安巡视区域内任何时间发生的一切盗抢事件，均由保安公司承担全部责任和后果。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2、基本要求和工作职责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每一名保安人员，均应至少符合下列各项基本要求：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政治素质合格、热爱祖国、热爱社会主义,拥护中国共产党的领导。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严格遵守单位的各项规章制度，特别是安全保卫制度。</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爱岗敬业、责任心强、恪尽职守、遵纪守法、严于律己。</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品行良好，无违法犯罪记录，不存在犯罪前科。</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年满24周岁，不超过50周岁。</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身高不低于1.70米。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双眼视力0.8以上、无色盲、无纹身。</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五官端正、身体健康，无生理缺陷、无精神病史、无传染病, 无不良嗜好，不存在酗酒、吸毒等恶劣习惯。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具备与岗位职责相应的观察、发现、处置问题的能力,具备良好的沟通、理解和应变能力。对于工作中发现的安全隐患，要及时报告，不得拖延或隐瞒。</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具备使用基本消防设施、通讯器材、技术防范设施和相关防卫器械技能。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 掌握一定的防卫和擒敌技能。同时熟悉警卫区域情况，掌握各类突发事件的处置办法，并能够在接到突发事件的信息后，快速及时地赶到现场。</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(13). 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(14). 上班期间保持手机开机，确保通讯畅通；同时还应熟悉保安队长、同事、火警、盗警及驻地派出所的电话。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(15). 不准在值班期间睡觉、喝酒、赌博、吹口哨、嬉笑、打闹、闲聊、串岗、大声喧哗以及其他与岗位无关的活动，严禁酒后上岗。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(16). 坚守工作岗位，换班时做好交接班，不得随意无故离岗、脱岗、空岗、串岗或漏岗。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(17). 保障和维护单位公共财物安全，爱护院内车辆及公共财物。保安人员私用或盗取单位财物的，由保安公司按3倍价值赔偿。确保院内公共设施、花草等无人为损坏现象，院内外墙壁无乱贴、乱画现象。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(18). 与保安工作相关的其它基本要求。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3、保安队长的岗位要求和工作职责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以身作则、恪守职责，如有事离岗或不在单位，须告知单位管理者，同时须事先安排好保安队员的工作，保证各保安岗位正常运转。</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对各保安岗位实行保安队长负责制，由保安队长负责所属人员的安排、值勤、检查、工作考核及日常生活中各项制度的管与行，负责全体保安的管理考评及上报。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负责保安人员的岗位安排，带领全体保安完成院内的安防任务，在工作中起到模范带头作用。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每天安排好保安队员的交接班工作，遇到有特殊情况及时上报。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认真处理治安保卫方面存在的问题，并将处理结果及时上报，对经过努力仍无法处理的情况应及时请示，重要情况需写出情况报告。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遇到紧急事件时能够带领保安队员赶到现场，根据具体情况做好组织指挥工作，并妥善处理。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具有一定的协调和沟通能力，能够带领保安队员完成每日的工作任务。每日上岗前要检查保安队员的仪容仪表。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按照规定对保安队员定期进行了培训，训练并做好记录。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4、门卫保安的岗位要求和工作职责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熟悉有关门卫规章制度、出入手续，以及各种必要的证件等。</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熟悉门卫区域内的环境状况和安全措施。熟悉和掌握单位内部机构的分布、位置，基本熟悉单位主要内部人员的情况。</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负责对进入院内的外部人员办理登记手续，做到记录详细、字迹工整。协助单位做好来访人员的接待工作；禁止无关人员进入，严禁各类推销人员、小商小贩及闲杂人员进入院内。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对大门出入车辆进行查验，对出入运送材料、搬家车辆应进行了认真检查，防止单位财物流失及违禁物品和危险物流入。对携带和运送可疑物品、管制刀具可进行盘查、监视，若有必要应报请相关领导及公安机关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严密注意单位大门内外的突发事件，一经发现及时报告相关领导。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维护好大门口交通秩序，负责大门口附近车辆的检查、指挥和疏导，保证车辆畅通无阻，大门口内外道路上不得停靠任何车辆。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5、巡逻保安的岗位要求和工作职责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熟悉巡逻区域周围的地形、重点目标、地物及设施，熟悉应急设备的位置、性能和使用方法。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熟练掌握处置一般问题和紧急情况的方法，妥善处理突发事件，自身解决不了的能够及时准确报告。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通过巡逻，对可疑人员进行询问、盘查并视情况通知其他岗位人员，重点监视对象；对有违法犯罪嫌疑的，依法扭送有关部门处理。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 检查、发现并报告单位内存在的安全隐患。防止火灾、爆炸等事故或抢劫、盗窃等不法侵害发生。遇火灾、爆炸等公共安全突发事件，应及时疏导人流，控制事态发展并做好现场保护。</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可采取正当防卫，同时应及时报告有关部门或公安机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维护院内车辆停放场所整齐有序，禁止在院内车辆停放场所进行试刹车、学车、修车，禁止装有易燃、易爆等危险车辆停放。</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禁止无关人员或可疑人员在院内逗留、玩耍。</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对进入院内的车辆疏导，保证无逆行、无占道、无堵塞。指挥车辆慢行，按规定行驶方向前行，停放于适当位置，并对院内停放的车辆检查是否落锁、关窗或停放在适当的位置。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巡逻保安应流动巡视检查、警戒，发现可疑情况应注意认真观察，严密监视。视情况采取守候、跟随等方法，将其控制在视线之内，必要时对可疑人员进行询问。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在夜间巡逻时，要提高警惕,认真检查重要地带和死角，同时需要注意保护自身安全。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 完成单位领导交办的其他工作。</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cs="黑体" w:asciiTheme="minorEastAsia" w:hAnsiTheme="minorEastAsia"/>
          <w:b/>
          <w:bCs/>
          <w:color w:val="000000"/>
          <w:sz w:val="24"/>
          <w:szCs w:val="24"/>
          <w:shd w:val="clear" w:color="auto" w:fill="FFFFFF"/>
          <w:lang w:eastAsia="zh-CN"/>
        </w:rPr>
        <w:t>（三）</w:t>
      </w:r>
      <w:r>
        <w:rPr>
          <w:rFonts w:hint="eastAsia" w:ascii="宋体" w:hAnsi="宋体" w:cs="宋体"/>
          <w:b/>
          <w:bCs/>
          <w:kern w:val="0"/>
          <w:sz w:val="24"/>
          <w:shd w:val="clear" w:color="auto" w:fill="FFFFFF"/>
          <w:lang w:val="zh-CN" w:eastAsia="zh-CN"/>
        </w:rPr>
        <w:t>验收标准</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rPr>
      </w:pPr>
      <w:r>
        <w:rPr>
          <w:rFonts w:hint="eastAsia" w:cs="宋体" w:asciiTheme="minorEastAsia" w:hAnsiTheme="minorEastAsia"/>
          <w:kern w:val="0"/>
          <w:sz w:val="24"/>
          <w:szCs w:val="24"/>
          <w:lang w:val="zh-CN"/>
        </w:rPr>
        <w:t>2、按照招标文件要求、投标文件响应和承诺验收。</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eastAsia="zh-CN"/>
        </w:rPr>
        <w:t>（四）</w:t>
      </w:r>
      <w:r>
        <w:rPr>
          <w:rFonts w:hint="eastAsia" w:ascii="宋体" w:hAnsi="宋体" w:cs="宋体"/>
          <w:b/>
          <w:bCs/>
          <w:kern w:val="0"/>
          <w:sz w:val="24"/>
          <w:shd w:val="clear" w:color="auto" w:fill="FFFFFF"/>
          <w:lang w:val="zh-CN"/>
        </w:rPr>
        <w:t>资金支付</w:t>
      </w:r>
    </w:p>
    <w:p>
      <w:pPr>
        <w:spacing w:line="360" w:lineRule="auto"/>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spacing w:line="360" w:lineRule="auto"/>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2、支付时间及条件：按月支付</w:t>
      </w:r>
    </w:p>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五、评标办法</w:t>
      </w:r>
    </w:p>
    <w:tbl>
      <w:tblPr>
        <w:tblStyle w:val="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86"/>
        <w:gridCol w:w="48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3"/>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价格分值：</w:t>
            </w:r>
            <w:r>
              <w:rPr>
                <w:rFonts w:hint="eastAsia" w:asciiTheme="minorEastAsia" w:hAnsiTheme="minorEastAsia"/>
                <w:color w:val="000000" w:themeColor="text1"/>
                <w:sz w:val="24"/>
                <w:szCs w:val="24"/>
                <w:u w:val="single"/>
                <w14:textFill>
                  <w14:solidFill>
                    <w14:schemeClr w14:val="tx1"/>
                  </w14:solidFill>
                </w14:textFill>
              </w:rPr>
              <w:t xml:space="preserve"> 1</w:t>
            </w:r>
            <w:r>
              <w:rPr>
                <w:rFonts w:asciiTheme="minorEastAsia" w:hAnsiTheme="minorEastAsia"/>
                <w:color w:val="000000" w:themeColor="text1"/>
                <w:sz w:val="24"/>
                <w:szCs w:val="24"/>
                <w:u w:val="single"/>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lang w:val="en-US" w:eastAsia="zh-CN"/>
                <w14:textFill>
                  <w14:solidFill>
                    <w14:schemeClr w14:val="tx1"/>
                  </w14:solidFill>
                </w14:textFill>
              </w:rPr>
              <w:t xml:space="preserve"> </w:t>
            </w:r>
            <w:r>
              <w:rPr>
                <w:rFonts w:asciiTheme="minorEastAsia" w:hAnsiTheme="minorEastAsia"/>
                <w:color w:val="000000" w:themeColor="text1"/>
                <w:sz w:val="24"/>
                <w:szCs w:val="24"/>
                <w:u w:val="single"/>
                <w14:textFill>
                  <w14:solidFill>
                    <w14:schemeClr w14:val="tx1"/>
                  </w14:solidFill>
                </w14:textFill>
              </w:rPr>
              <w:t>40</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u w:val="single"/>
                <w14:textFill>
                  <w14:solidFill>
                    <w14:schemeClr w14:val="tx1"/>
                  </w14:solidFill>
                </w14:textFill>
              </w:rPr>
              <w:t>4</w:t>
            </w:r>
            <w:r>
              <w:rPr>
                <w:rFonts w:hint="eastAsia" w:asciiTheme="minorEastAsia" w:hAnsiTheme="minorEastAsia"/>
                <w:color w:val="000000" w:themeColor="text1"/>
                <w:sz w:val="24"/>
                <w:szCs w:val="24"/>
                <w:u w:val="single"/>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bCs/>
                <w:sz w:val="24"/>
                <w:szCs w:val="24"/>
              </w:rPr>
              <w:t>价格部分（满分1</w:t>
            </w:r>
            <w:r>
              <w:rPr>
                <w:rFonts w:hint="eastAsia" w:asciiTheme="minorEastAsia" w:hAnsiTheme="minorEastAsia"/>
                <w:b/>
                <w:bCs/>
                <w:sz w:val="24"/>
                <w:szCs w:val="24"/>
                <w:lang w:val="en-US" w:eastAsia="zh-CN"/>
              </w:rPr>
              <w:t>5</w:t>
            </w:r>
            <w:r>
              <w:rPr>
                <w:rFonts w:hint="eastAsia" w:asciiTheme="minorEastAsia" w:hAnsiTheme="min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w:t>
            </w:r>
            <w:bookmarkStart w:id="0" w:name="_GoBack"/>
            <w:bookmarkEnd w:id="0"/>
            <w:r>
              <w:rPr>
                <w:rFonts w:hint="eastAsia" w:asciiTheme="minorEastAsia" w:hAnsiTheme="minorEastAsia"/>
                <w:b/>
                <w:sz w:val="24"/>
                <w:szCs w:val="24"/>
              </w:rPr>
              <w:t>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gridSpan w:val="2"/>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15</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lang w:val="en-US" w:eastAsia="zh-CN"/>
              </w:rPr>
              <w:t>40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gridSpan w:val="2"/>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8497B0" w:themeColor="text2" w:themeTint="99"/>
                <w:kern w:val="0"/>
                <w:sz w:val="24"/>
                <w:szCs w:val="24"/>
                <w14:textFill>
                  <w14:solidFill>
                    <w14:schemeClr w14:val="tx2">
                      <w14:lumMod w14:val="60000"/>
                      <w14:lumOff w14:val="40000"/>
                    </w14:schemeClr>
                  </w14:solidFill>
                </w14:textFill>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企业综</w:t>
            </w:r>
          </w:p>
          <w:p>
            <w:pPr>
              <w:spacing w:line="360" w:lineRule="exact"/>
              <w:jc w:val="center"/>
              <w:rPr>
                <w:rFonts w:asciiTheme="minorEastAsia" w:hAnsiTheme="minorEastAsia"/>
                <w:sz w:val="24"/>
                <w:szCs w:val="24"/>
              </w:rPr>
            </w:pPr>
            <w:r>
              <w:rPr>
                <w:rFonts w:hint="eastAsia" w:asciiTheme="minorEastAsia" w:hAnsiTheme="minorEastAsia"/>
                <w:sz w:val="24"/>
                <w:szCs w:val="24"/>
              </w:rPr>
              <w:t>合实力</w:t>
            </w:r>
          </w:p>
        </w:tc>
        <w:tc>
          <w:tcPr>
            <w:tcW w:w="1386" w:type="dxa"/>
            <w:vAlign w:val="center"/>
          </w:tcPr>
          <w:p>
            <w:pPr>
              <w:spacing w:line="360" w:lineRule="auto"/>
              <w:jc w:val="center"/>
              <w:rPr>
                <w:rFonts w:ascii="宋体" w:hAnsi="宋体"/>
                <w:color w:val="000000"/>
                <w:sz w:val="24"/>
                <w:szCs w:val="24"/>
                <w:lang w:val="en-GB"/>
              </w:rPr>
            </w:pPr>
            <w:r>
              <w:rPr>
                <w:rFonts w:hint="eastAsia" w:asciiTheme="minorEastAsia" w:hAnsiTheme="minorEastAsia"/>
                <w:sz w:val="24"/>
                <w:szCs w:val="24"/>
              </w:rPr>
              <w:t>项目人员配置（</w:t>
            </w:r>
            <w:r>
              <w:rPr>
                <w:rFonts w:asciiTheme="minorEastAsia" w:hAnsiTheme="minorEastAsia"/>
                <w:sz w:val="24"/>
                <w:szCs w:val="24"/>
              </w:rPr>
              <w:t>15</w:t>
            </w:r>
            <w:r>
              <w:rPr>
                <w:rFonts w:hint="eastAsia" w:asciiTheme="minorEastAsia" w:hAnsiTheme="minorEastAsia"/>
                <w:sz w:val="24"/>
                <w:szCs w:val="24"/>
              </w:rPr>
              <w:t>分）</w:t>
            </w:r>
          </w:p>
        </w:tc>
        <w:tc>
          <w:tcPr>
            <w:tcW w:w="4851"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保安配置人员满足招标文件所需保安人员人数的不得分，每多配置一名保安人员的得</w:t>
            </w:r>
            <w:r>
              <w:rPr>
                <w:rFonts w:hint="eastAsia" w:asciiTheme="minorEastAsia" w:hAnsiTheme="minorEastAsia"/>
                <w:sz w:val="24"/>
                <w:szCs w:val="24"/>
                <w:lang w:val="en-US" w:eastAsia="zh-CN"/>
              </w:rPr>
              <w:t>1分，最高得7分。</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2、本项目所需保安队员取得中华人民共和国《保安上岗证》，每</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人得1分，最多得</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分。</w:t>
            </w:r>
          </w:p>
          <w:p>
            <w:pPr>
              <w:spacing w:line="360" w:lineRule="auto"/>
              <w:rPr>
                <w:rFonts w:ascii="宋体" w:hAnsi="宋体"/>
                <w:color w:val="000000"/>
                <w:sz w:val="24"/>
                <w:szCs w:val="24"/>
                <w:lang w:val="en-GB"/>
              </w:rPr>
            </w:pPr>
            <w:r>
              <w:rPr>
                <w:rFonts w:hint="eastAsia" w:asciiTheme="minorEastAsia" w:hAnsiTheme="minorEastAsia"/>
                <w:sz w:val="24"/>
                <w:szCs w:val="24"/>
                <w:highlight w:val="none"/>
                <w:lang w:eastAsia="zh-CN"/>
              </w:rPr>
              <w:t>注：</w:t>
            </w:r>
            <w:r>
              <w:rPr>
                <w:rFonts w:hint="eastAsia" w:asciiTheme="minorEastAsia" w:hAnsiTheme="minorEastAsia"/>
                <w:sz w:val="24"/>
                <w:szCs w:val="24"/>
                <w:highlight w:val="none"/>
              </w:rPr>
              <w:t>以职业资格证书原件为准</w:t>
            </w:r>
            <w:r>
              <w:rPr>
                <w:rFonts w:hint="eastAsia" w:asciiTheme="minorEastAsia" w:hAnsiTheme="minorEastAsia"/>
                <w:sz w:val="24"/>
                <w:szCs w:val="24"/>
                <w:highlight w:val="none"/>
                <w:lang w:eastAsia="zh-CN"/>
              </w:rPr>
              <w:t>。</w:t>
            </w:r>
          </w:p>
        </w:tc>
        <w:tc>
          <w:tcPr>
            <w:tcW w:w="967" w:type="dxa"/>
            <w:vMerge w:val="restart"/>
            <w:vAlign w:val="center"/>
          </w:tcPr>
          <w:p>
            <w:pPr>
              <w:jc w:val="center"/>
              <w:rPr>
                <w:rFonts w:hint="eastAsia" w:asciiTheme="minorEastAsia" w:hAnsiTheme="minorEastAsia"/>
                <w:sz w:val="24"/>
                <w:szCs w:val="24"/>
                <w:lang w:val="en-GB"/>
              </w:rPr>
            </w:pPr>
            <w:r>
              <w:rPr>
                <w:rFonts w:hint="eastAsia" w:asciiTheme="minorEastAsia" w:hAnsiTheme="minorEastAsia"/>
                <w:sz w:val="24"/>
                <w:szCs w:val="24"/>
                <w:lang w:val="en-US" w:eastAsia="zh-CN"/>
              </w:rPr>
              <w:t>24</w:t>
            </w:r>
            <w:r>
              <w:rPr>
                <w:rFonts w:hint="eastAsia" w:asciiTheme="minorEastAsia" w:hAnsiTheme="minorEastAsia"/>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continue"/>
            <w:vAlign w:val="center"/>
          </w:tcPr>
          <w:p>
            <w:pPr>
              <w:spacing w:line="360" w:lineRule="auto"/>
            </w:pPr>
          </w:p>
        </w:tc>
        <w:tc>
          <w:tcPr>
            <w:tcW w:w="138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w:t>
            </w:r>
          </w:p>
          <w:p>
            <w:pPr>
              <w:spacing w:line="360" w:lineRule="auto"/>
              <w:jc w:val="center"/>
              <w:rPr>
                <w:rFonts w:asciiTheme="minorEastAsia" w:hAnsiTheme="minorEastAsia"/>
                <w:sz w:val="24"/>
                <w:szCs w:val="24"/>
              </w:rPr>
            </w:pPr>
            <w:r>
              <w:rPr>
                <w:rFonts w:hint="eastAsia" w:asciiTheme="minorEastAsia" w:hAnsiTheme="minorEastAsia"/>
                <w:sz w:val="24"/>
                <w:szCs w:val="24"/>
              </w:rPr>
              <w:t>荣誉</w:t>
            </w:r>
          </w:p>
          <w:p>
            <w:pPr>
              <w:spacing w:line="360" w:lineRule="auto"/>
              <w:jc w:val="center"/>
            </w:pPr>
            <w:r>
              <w:rPr>
                <w:rFonts w:hint="eastAsia" w:asciiTheme="minorEastAsia" w:hAnsiTheme="minorEastAsia"/>
                <w:sz w:val="24"/>
                <w:szCs w:val="24"/>
              </w:rPr>
              <w:t>（9分）</w:t>
            </w:r>
          </w:p>
        </w:tc>
        <w:tc>
          <w:tcPr>
            <w:tcW w:w="4851" w:type="dxa"/>
            <w:vAlign w:val="top"/>
          </w:tcPr>
          <w:p>
            <w:pPr>
              <w:spacing w:line="360" w:lineRule="auto"/>
              <w:jc w:val="left"/>
              <w:rPr>
                <w:rFonts w:asciiTheme="minorEastAsia" w:hAnsiTheme="minorEastAsia"/>
                <w:sz w:val="24"/>
                <w:szCs w:val="24"/>
              </w:rPr>
            </w:pPr>
            <w:r>
              <w:rPr>
                <w:rFonts w:hint="eastAsia" w:asciiTheme="minorEastAsia" w:hAnsiTheme="minorEastAsia"/>
                <w:sz w:val="24"/>
                <w:szCs w:val="24"/>
              </w:rPr>
              <w:t>自20</w:t>
            </w:r>
            <w:r>
              <w:rPr>
                <w:rFonts w:hint="eastAsia" w:asciiTheme="minorEastAsia" w:hAnsiTheme="minorEastAsia"/>
                <w:sz w:val="24"/>
                <w:szCs w:val="24"/>
                <w:lang w:val="en-US" w:eastAsia="zh-CN"/>
              </w:rPr>
              <w:t>00</w:t>
            </w:r>
            <w:r>
              <w:rPr>
                <w:rFonts w:hint="eastAsia" w:asciiTheme="minorEastAsia" w:hAnsiTheme="minorEastAsia"/>
                <w:sz w:val="24"/>
                <w:szCs w:val="24"/>
              </w:rPr>
              <w:t>年以来（以获奖年度为准），获得地市级及以上行业主管部门表彰、荣誉的每项得3分，本项最高得9分。</w:t>
            </w:r>
          </w:p>
          <w:p>
            <w:pPr>
              <w:spacing w:line="360" w:lineRule="auto"/>
              <w:jc w:val="left"/>
              <w:rPr>
                <w:rFonts w:ascii="宋体" w:hAnsi="宋体"/>
                <w:color w:val="000000"/>
                <w:sz w:val="24"/>
                <w:szCs w:val="24"/>
                <w:lang w:val="en-GB"/>
              </w:rPr>
            </w:pPr>
            <w:r>
              <w:rPr>
                <w:rFonts w:hint="eastAsia" w:asciiTheme="minorEastAsia" w:hAnsiTheme="minorEastAsia"/>
                <w:sz w:val="24"/>
                <w:szCs w:val="24"/>
                <w:highlight w:val="none"/>
                <w:lang w:eastAsia="zh-CN"/>
              </w:rPr>
              <w:t>注：以荣誉证书原件为准。</w:t>
            </w:r>
          </w:p>
        </w:tc>
        <w:tc>
          <w:tcPr>
            <w:tcW w:w="967" w:type="dxa"/>
            <w:vMerge w:val="continue"/>
            <w:vAlign w:val="center"/>
          </w:tcPr>
          <w:p>
            <w:pPr>
              <w:spacing w:line="360" w:lineRule="auto"/>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业绩</w:t>
            </w:r>
          </w:p>
        </w:tc>
        <w:tc>
          <w:tcPr>
            <w:tcW w:w="6237" w:type="dxa"/>
            <w:gridSpan w:val="2"/>
            <w:vAlign w:val="center"/>
          </w:tcPr>
          <w:p>
            <w:pPr>
              <w:spacing w:line="360" w:lineRule="auto"/>
              <w:jc w:val="left"/>
              <w:rPr>
                <w:rFonts w:hint="eastAsia" w:asciiTheme="minorEastAsia" w:hAnsiTheme="minorEastAsia"/>
                <w:sz w:val="24"/>
                <w:szCs w:val="24"/>
                <w:lang w:eastAsia="zh-CN"/>
              </w:rPr>
            </w:pPr>
            <w:r>
              <w:rPr>
                <w:rFonts w:hint="eastAsia" w:ascii="宋体" w:hAnsi="宋体" w:cs="宋体"/>
                <w:sz w:val="24"/>
                <w:szCs w:val="24"/>
              </w:rPr>
              <w:t>投标人提供自</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月份</w:t>
            </w:r>
            <w:r>
              <w:rPr>
                <w:rFonts w:ascii="宋体" w:hAnsi="宋体" w:cs="宋体"/>
                <w:sz w:val="24"/>
                <w:szCs w:val="24"/>
              </w:rPr>
              <w:t>(</w:t>
            </w:r>
            <w:r>
              <w:rPr>
                <w:rFonts w:hint="eastAsia" w:ascii="宋体" w:hAnsi="宋体" w:cs="宋体"/>
                <w:sz w:val="24"/>
                <w:szCs w:val="24"/>
              </w:rPr>
              <w:t>以</w:t>
            </w:r>
            <w:r>
              <w:rPr>
                <w:rFonts w:hint="eastAsia" w:ascii="宋体" w:hAnsi="宋体" w:cs="宋体"/>
                <w:sz w:val="24"/>
                <w:szCs w:val="24"/>
                <w:lang w:eastAsia="zh-CN"/>
              </w:rPr>
              <w:t>合同签订日期</w:t>
            </w:r>
            <w:r>
              <w:rPr>
                <w:rFonts w:hint="eastAsia" w:ascii="宋体" w:hAnsi="宋体" w:cs="宋体"/>
                <w:sz w:val="24"/>
                <w:szCs w:val="24"/>
              </w:rPr>
              <w:t>为准</w:t>
            </w:r>
            <w:r>
              <w:rPr>
                <w:rFonts w:ascii="宋体" w:hAnsi="宋体" w:cs="宋体"/>
                <w:sz w:val="24"/>
                <w:szCs w:val="24"/>
              </w:rPr>
              <w:t>)</w:t>
            </w:r>
            <w:r>
              <w:rPr>
                <w:rFonts w:hint="eastAsia" w:ascii="宋体" w:hAnsi="宋体" w:cs="宋体"/>
                <w:sz w:val="24"/>
                <w:szCs w:val="24"/>
              </w:rPr>
              <w:t>以来承担类似项目且合同金额不低于</w:t>
            </w:r>
            <w:r>
              <w:rPr>
                <w:rFonts w:ascii="宋体" w:hAnsi="宋体" w:cs="宋体"/>
                <w:sz w:val="24"/>
                <w:szCs w:val="24"/>
              </w:rPr>
              <w:t>750000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年的，每份合同得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10</w:t>
            </w:r>
            <w:r>
              <w:rPr>
                <w:rFonts w:hint="eastAsia" w:ascii="宋体" w:hAnsi="宋体" w:cs="宋体"/>
                <w:sz w:val="24"/>
                <w:szCs w:val="24"/>
              </w:rPr>
              <w:t>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投标文件的规范程度</w:t>
            </w:r>
          </w:p>
        </w:tc>
        <w:tc>
          <w:tcPr>
            <w:tcW w:w="6237" w:type="dxa"/>
            <w:gridSpan w:val="2"/>
            <w:vAlign w:val="center"/>
          </w:tcPr>
          <w:p>
            <w:pPr>
              <w:spacing w:line="360" w:lineRule="auto"/>
              <w:jc w:val="left"/>
              <w:rPr>
                <w:rFonts w:hint="eastAsia" w:ascii="宋体" w:hAnsi="宋体" w:cs="Courier New"/>
                <w:bCs/>
                <w:color w:val="000000"/>
                <w:sz w:val="24"/>
              </w:rPr>
            </w:pPr>
            <w:r>
              <w:rPr>
                <w:rFonts w:hint="eastAsia" w:asciiTheme="minorEastAsia" w:hAnsiTheme="minorEastAsia"/>
                <w:sz w:val="24"/>
                <w:szCs w:val="24"/>
                <w:lang w:val="en-US" w:eastAsia="zh-CN"/>
              </w:rPr>
              <w:t>1、</w:t>
            </w:r>
            <w:r>
              <w:rPr>
                <w:rFonts w:hint="eastAsia" w:ascii="宋体" w:hAnsi="宋体" w:cs="Courier New"/>
                <w:bCs/>
                <w:color w:val="000000"/>
                <w:sz w:val="24"/>
              </w:rPr>
              <w:t>投标文件的编制符合招标文件的规定，装订整齐规范的，得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宋体" w:hAnsi="宋体" w:cs="Courier New"/>
                <w:bCs/>
                <w:color w:val="000000"/>
                <w:sz w:val="24"/>
              </w:rPr>
              <w:t>投标人编制投标文件逻辑严紧、描述规范、无文字错误的，得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45</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项目实施</w:t>
            </w:r>
          </w:p>
          <w:p>
            <w:pPr>
              <w:jc w:val="center"/>
              <w:rPr>
                <w:rFonts w:ascii="仿宋" w:hAnsi="仿宋" w:eastAsia="仿宋"/>
                <w:sz w:val="24"/>
                <w:szCs w:val="24"/>
              </w:rPr>
            </w:pPr>
            <w:r>
              <w:rPr>
                <w:rFonts w:hint="eastAsia" w:asciiTheme="minorEastAsia" w:hAnsiTheme="minorEastAsia"/>
                <w:sz w:val="24"/>
                <w:szCs w:val="24"/>
              </w:rPr>
              <w:t>方案</w:t>
            </w:r>
          </w:p>
        </w:tc>
        <w:tc>
          <w:tcPr>
            <w:tcW w:w="6237" w:type="dxa"/>
            <w:gridSpan w:val="2"/>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1、能提供详细、完整、全面的具体工作实施方案得8分；有相关描述的得3分，没有不得分。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2、岗位配置合理，投入保安服务人员有明确的岗位职责分工描述的得8分；有相关描述的得3分；没有不得分。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3、有完善的岗位职责制度以及健全的企业内部管理规章制度，得8分，有相关描述的得3分，不提供者不得分。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4、投入的保安服务人员年龄在18－45周岁以内，完全满足得8分，不满足不得分。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5、结合招标人实际特点，能够制定合理、可行的应急预案得8分，有相关描述的得3分，不提供者不得分。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售后服务方案</w:t>
            </w:r>
          </w:p>
          <w:p>
            <w:pPr>
              <w:spacing w:line="360" w:lineRule="auto"/>
              <w:jc w:val="center"/>
              <w:rPr>
                <w:rFonts w:ascii="仿宋" w:hAnsi="仿宋" w:eastAsia="仿宋"/>
                <w:sz w:val="24"/>
                <w:szCs w:val="24"/>
                <w:highlight w:val="none"/>
              </w:rPr>
            </w:pPr>
            <w:r>
              <w:rPr>
                <w:rFonts w:hint="eastAsia" w:asciiTheme="minorEastAsia" w:hAnsiTheme="minorEastAsia"/>
                <w:sz w:val="24"/>
                <w:szCs w:val="24"/>
                <w:highlight w:val="none"/>
              </w:rPr>
              <w:t>及承诺</w:t>
            </w:r>
          </w:p>
        </w:tc>
        <w:tc>
          <w:tcPr>
            <w:tcW w:w="6237" w:type="dxa"/>
            <w:gridSpan w:val="2"/>
            <w:vAlign w:val="center"/>
          </w:tcPr>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除满足本招标文件内对保安服务的所有实质性要求之外还有其他服务承诺且完整、可行的得5分，有相关描述的得2分，没有不得分。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5分</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line="408" w:lineRule="auto"/>
        <w:ind w:left="0" w:leftChars="0" w:right="0" w:rightChars="0"/>
        <w:contextualSpacing/>
        <w:jc w:val="left"/>
        <w:textAlignment w:val="auto"/>
        <w:outlineLvl w:val="9"/>
        <w:rPr>
          <w:rFonts w:hint="eastAsia" w:asciiTheme="minorEastAsia" w:hAnsiTheme="minorEastAsia" w:eastAsiaTheme="minorEastAsia" w:cstheme="minorEastAsia"/>
          <w:b/>
          <w:bCs w:val="0"/>
          <w:color w:val="000000"/>
          <w:shd w:val="clear" w:color="auto" w:fill="FFFFFF"/>
          <w:lang w:val="en-US" w:eastAsia="zh-CN"/>
        </w:rPr>
      </w:pPr>
      <w:r>
        <w:rPr>
          <w:rFonts w:hint="eastAsia" w:asciiTheme="minorEastAsia" w:hAnsiTheme="minorEastAsia" w:eastAsiaTheme="minorEastAsia" w:cstheme="minorEastAsia"/>
          <w:b/>
          <w:bCs w:val="0"/>
          <w:color w:val="000000"/>
          <w:shd w:val="clear" w:color="auto" w:fill="FFFFFF"/>
          <w:lang w:val="en-US" w:eastAsia="zh-CN"/>
        </w:rPr>
        <w:t>六、联系方式</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 系 人：冯建伟           联系电话：0374-5219779</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址：许昌市新许路中段</w:t>
      </w:r>
    </w:p>
    <w:p>
      <w:pPr>
        <w:pStyle w:val="6"/>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河南鼎华招标代理有限公司</w:t>
      </w:r>
    </w:p>
    <w:p>
      <w:pPr>
        <w:pStyle w:val="6"/>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2018年4月19号</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1C2A"/>
    <w:rsid w:val="00407478"/>
    <w:rsid w:val="01284218"/>
    <w:rsid w:val="015E4ECE"/>
    <w:rsid w:val="01D4726B"/>
    <w:rsid w:val="02EB0FC2"/>
    <w:rsid w:val="03267A2C"/>
    <w:rsid w:val="03491617"/>
    <w:rsid w:val="03850103"/>
    <w:rsid w:val="043474A1"/>
    <w:rsid w:val="05E64DC7"/>
    <w:rsid w:val="060C6FC0"/>
    <w:rsid w:val="06474A86"/>
    <w:rsid w:val="071D1D37"/>
    <w:rsid w:val="099F7847"/>
    <w:rsid w:val="0A331E24"/>
    <w:rsid w:val="0A9F18BF"/>
    <w:rsid w:val="0B1C229D"/>
    <w:rsid w:val="0B255F53"/>
    <w:rsid w:val="0B7003CF"/>
    <w:rsid w:val="0BAE6399"/>
    <w:rsid w:val="0BCF727C"/>
    <w:rsid w:val="0C3514AD"/>
    <w:rsid w:val="0C3D5FB5"/>
    <w:rsid w:val="0C5A7058"/>
    <w:rsid w:val="0C5D3E46"/>
    <w:rsid w:val="0CD233F8"/>
    <w:rsid w:val="0D990E69"/>
    <w:rsid w:val="0E3B197B"/>
    <w:rsid w:val="0FEC7F47"/>
    <w:rsid w:val="108C19B5"/>
    <w:rsid w:val="10B049D7"/>
    <w:rsid w:val="111844EB"/>
    <w:rsid w:val="121842A5"/>
    <w:rsid w:val="13142C77"/>
    <w:rsid w:val="13C95136"/>
    <w:rsid w:val="13F878B4"/>
    <w:rsid w:val="15544A8C"/>
    <w:rsid w:val="15C010C5"/>
    <w:rsid w:val="15EC6FAB"/>
    <w:rsid w:val="178D387A"/>
    <w:rsid w:val="18AC6247"/>
    <w:rsid w:val="19295A56"/>
    <w:rsid w:val="19DB42A4"/>
    <w:rsid w:val="1A3B3466"/>
    <w:rsid w:val="1B383B9B"/>
    <w:rsid w:val="1B487B38"/>
    <w:rsid w:val="1B7D4F71"/>
    <w:rsid w:val="1BD066CA"/>
    <w:rsid w:val="1D2D34E9"/>
    <w:rsid w:val="1D5D59CA"/>
    <w:rsid w:val="1DCB7E8D"/>
    <w:rsid w:val="1E1727F4"/>
    <w:rsid w:val="1EC55DD8"/>
    <w:rsid w:val="1F064321"/>
    <w:rsid w:val="1F0D22E4"/>
    <w:rsid w:val="1F95270E"/>
    <w:rsid w:val="1FD058BD"/>
    <w:rsid w:val="1FD148C1"/>
    <w:rsid w:val="213669A3"/>
    <w:rsid w:val="21A965A6"/>
    <w:rsid w:val="220E1D4E"/>
    <w:rsid w:val="25D54218"/>
    <w:rsid w:val="26781282"/>
    <w:rsid w:val="268A276C"/>
    <w:rsid w:val="26F60FBE"/>
    <w:rsid w:val="29340655"/>
    <w:rsid w:val="2A3B4DD1"/>
    <w:rsid w:val="2B6315CC"/>
    <w:rsid w:val="2BA745AA"/>
    <w:rsid w:val="2E16373C"/>
    <w:rsid w:val="30542ADB"/>
    <w:rsid w:val="315A2C0B"/>
    <w:rsid w:val="335D56B5"/>
    <w:rsid w:val="33737A7A"/>
    <w:rsid w:val="3402326A"/>
    <w:rsid w:val="34DD7152"/>
    <w:rsid w:val="356F3F0B"/>
    <w:rsid w:val="35C24BCB"/>
    <w:rsid w:val="35CF48BE"/>
    <w:rsid w:val="36100D6E"/>
    <w:rsid w:val="36F55217"/>
    <w:rsid w:val="37181B49"/>
    <w:rsid w:val="37364CAD"/>
    <w:rsid w:val="37A402A7"/>
    <w:rsid w:val="392114E9"/>
    <w:rsid w:val="3A710043"/>
    <w:rsid w:val="3AFF5AFC"/>
    <w:rsid w:val="3B092BDD"/>
    <w:rsid w:val="3B2929E8"/>
    <w:rsid w:val="3B7C0B71"/>
    <w:rsid w:val="3C253C3F"/>
    <w:rsid w:val="3C7370C0"/>
    <w:rsid w:val="3C950D7A"/>
    <w:rsid w:val="3CAD3B16"/>
    <w:rsid w:val="3D8D11C2"/>
    <w:rsid w:val="3DD80741"/>
    <w:rsid w:val="3E65412A"/>
    <w:rsid w:val="3EBF719F"/>
    <w:rsid w:val="3FAF7A2F"/>
    <w:rsid w:val="3FC021D4"/>
    <w:rsid w:val="426537AE"/>
    <w:rsid w:val="428C69BF"/>
    <w:rsid w:val="42C641DB"/>
    <w:rsid w:val="449A2D81"/>
    <w:rsid w:val="45FC54DD"/>
    <w:rsid w:val="46A30425"/>
    <w:rsid w:val="4732085F"/>
    <w:rsid w:val="4A1124B0"/>
    <w:rsid w:val="4B637587"/>
    <w:rsid w:val="4C11352B"/>
    <w:rsid w:val="4DE775F3"/>
    <w:rsid w:val="4E727EF5"/>
    <w:rsid w:val="4E8C5F7B"/>
    <w:rsid w:val="50FD209E"/>
    <w:rsid w:val="51C84392"/>
    <w:rsid w:val="52DF0A84"/>
    <w:rsid w:val="53E52B67"/>
    <w:rsid w:val="54F67546"/>
    <w:rsid w:val="551A7FD9"/>
    <w:rsid w:val="55745BD3"/>
    <w:rsid w:val="55A163C6"/>
    <w:rsid w:val="55C9008C"/>
    <w:rsid w:val="57401ED7"/>
    <w:rsid w:val="57836EF1"/>
    <w:rsid w:val="58B542B4"/>
    <w:rsid w:val="5A2D775D"/>
    <w:rsid w:val="5A4B06D6"/>
    <w:rsid w:val="5B597DB8"/>
    <w:rsid w:val="5D1172B5"/>
    <w:rsid w:val="5DC04CE4"/>
    <w:rsid w:val="5EFB524E"/>
    <w:rsid w:val="5FB6575A"/>
    <w:rsid w:val="5FD531C3"/>
    <w:rsid w:val="617B175B"/>
    <w:rsid w:val="628D4D78"/>
    <w:rsid w:val="630E6C11"/>
    <w:rsid w:val="645E797E"/>
    <w:rsid w:val="64707264"/>
    <w:rsid w:val="648C38DE"/>
    <w:rsid w:val="65C75C0D"/>
    <w:rsid w:val="660311BF"/>
    <w:rsid w:val="66760A2B"/>
    <w:rsid w:val="67B77C3D"/>
    <w:rsid w:val="67E219CF"/>
    <w:rsid w:val="683D70C2"/>
    <w:rsid w:val="69721D7B"/>
    <w:rsid w:val="6A006167"/>
    <w:rsid w:val="6A5013AA"/>
    <w:rsid w:val="6AA60961"/>
    <w:rsid w:val="6C0B2352"/>
    <w:rsid w:val="6D372701"/>
    <w:rsid w:val="6D4F10BC"/>
    <w:rsid w:val="6D71771B"/>
    <w:rsid w:val="6D735A66"/>
    <w:rsid w:val="6FEB3C74"/>
    <w:rsid w:val="6FEB5C5B"/>
    <w:rsid w:val="70855A9A"/>
    <w:rsid w:val="71134957"/>
    <w:rsid w:val="71C10C73"/>
    <w:rsid w:val="7200773D"/>
    <w:rsid w:val="72E05BC0"/>
    <w:rsid w:val="73A9588B"/>
    <w:rsid w:val="73DB1E4A"/>
    <w:rsid w:val="73F036EE"/>
    <w:rsid w:val="743A10ED"/>
    <w:rsid w:val="763E051D"/>
    <w:rsid w:val="763E6A09"/>
    <w:rsid w:val="76E635D4"/>
    <w:rsid w:val="772267AC"/>
    <w:rsid w:val="77975080"/>
    <w:rsid w:val="7815268A"/>
    <w:rsid w:val="78D61AB6"/>
    <w:rsid w:val="7D667753"/>
    <w:rsid w:val="7EB113F2"/>
    <w:rsid w:val="7F30603B"/>
    <w:rsid w:val="7F572462"/>
    <w:rsid w:val="7F864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qFormat/>
    <w:uiPriority w:val="0"/>
    <w:pPr>
      <w:spacing w:after="120"/>
    </w:pPr>
  </w:style>
  <w:style w:type="paragraph" w:styleId="4">
    <w:name w:val="Plain Text"/>
    <w:basedOn w:val="1"/>
    <w:qFormat/>
    <w:uiPriority w:val="0"/>
    <w:rPr>
      <w:rFonts w:eastAsia="宋体"/>
      <w:sz w:val="24"/>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北京华采招标代理有限公司:北京华采招标代理有限公司</cp:lastModifiedBy>
  <cp:lastPrinted>2018-04-19T02:45:50Z</cp:lastPrinted>
  <dcterms:modified xsi:type="dcterms:W3CDTF">2018-04-19T02:47:19Z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