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color w:val="auto"/>
        </w:rPr>
      </w:pPr>
      <w:r>
        <w:rPr>
          <w:rFonts w:hint="eastAsia" w:asciiTheme="majorEastAsia" w:hAnsiTheme="majorEastAsia" w:eastAsiaTheme="majorEastAsia" w:cstheme="majorEastAsia"/>
          <w:b/>
          <w:bCs/>
          <w:color w:val="auto"/>
          <w:sz w:val="36"/>
          <w:szCs w:val="36"/>
        </w:rPr>
        <w:t>JZFCG-G20180</w:t>
      </w:r>
      <w:r>
        <w:rPr>
          <w:rFonts w:hint="eastAsia" w:asciiTheme="majorEastAsia" w:hAnsiTheme="majorEastAsia" w:eastAsiaTheme="majorEastAsia" w:cstheme="majorEastAsia"/>
          <w:b/>
          <w:bCs/>
          <w:color w:val="auto"/>
          <w:sz w:val="36"/>
          <w:szCs w:val="36"/>
          <w:lang w:val="en-US" w:eastAsia="zh-CN"/>
        </w:rPr>
        <w:t>28</w:t>
      </w:r>
      <w:r>
        <w:rPr>
          <w:rFonts w:hint="eastAsia" w:asciiTheme="majorEastAsia" w:hAnsiTheme="majorEastAsia" w:eastAsiaTheme="majorEastAsia" w:cstheme="majorEastAsia"/>
          <w:b/>
          <w:bCs/>
          <w:color w:val="auto"/>
          <w:sz w:val="36"/>
          <w:szCs w:val="36"/>
        </w:rPr>
        <w:t>号许昌市建设投资有限责任公司“许昌东站站前广场停车场视频监控系统改造项目”</w:t>
      </w:r>
      <w:r>
        <w:rPr>
          <w:rFonts w:hint="eastAsia" w:asciiTheme="majorEastAsia" w:hAnsiTheme="majorEastAsia" w:eastAsiaTheme="majorEastAsia" w:cstheme="majorEastAsia"/>
          <w:b/>
          <w:bCs/>
          <w:color w:val="auto"/>
          <w:sz w:val="36"/>
          <w:szCs w:val="36"/>
          <w:lang w:val="en-US" w:eastAsia="zh-CN"/>
        </w:rPr>
        <w:t>货物</w:t>
      </w:r>
      <w:r>
        <w:rPr>
          <w:rFonts w:hint="eastAsia" w:asciiTheme="majorEastAsia" w:hAnsiTheme="majorEastAsia" w:eastAsiaTheme="majorEastAsia" w:cstheme="majorEastAsia"/>
          <w:b/>
          <w:bCs/>
          <w:color w:val="auto"/>
          <w:sz w:val="36"/>
          <w:szCs w:val="36"/>
        </w:rPr>
        <w:t>采购需求</w:t>
      </w:r>
    </w:p>
    <w:p>
      <w:pPr>
        <w:snapToGrid w:val="0"/>
        <w:ind w:firstLine="643" w:firstLineChars="200"/>
        <w:rPr>
          <w:rFonts w:ascii="黑体" w:hAnsi="黑体" w:eastAsia="黑体" w:cs="黑体"/>
          <w:b/>
          <w:bCs/>
          <w:color w:val="auto"/>
          <w:sz w:val="32"/>
          <w:szCs w:val="32"/>
          <w:lang w:val="zh-CN"/>
        </w:rPr>
      </w:pPr>
      <w:r>
        <w:rPr>
          <w:rFonts w:hint="eastAsia" w:ascii="黑体" w:hAnsi="黑体" w:eastAsia="黑体" w:cs="黑体"/>
          <w:b/>
          <w:bCs/>
          <w:color w:val="auto"/>
          <w:sz w:val="32"/>
          <w:szCs w:val="32"/>
          <w:lang w:val="zh-CN"/>
        </w:rPr>
        <w:t>一、项目</w:t>
      </w:r>
      <w:r>
        <w:rPr>
          <w:rFonts w:hint="eastAsia" w:ascii="黑体" w:hAnsi="黑体" w:eastAsia="黑体" w:cs="黑体"/>
          <w:b/>
          <w:bCs/>
          <w:color w:val="auto"/>
          <w:sz w:val="32"/>
          <w:szCs w:val="32"/>
        </w:rPr>
        <w:t>概况</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（一）项目名称：许昌市建设投资有限责任公司“许昌东站站前广场停车场视频监控系统改造项目”</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（二）采购方式：公开招标</w:t>
      </w:r>
      <w:r>
        <w:rPr>
          <w:rFonts w:hint="eastAsia" w:ascii="仿宋" w:hAnsi="仿宋" w:eastAsia="仿宋" w:cs="仿宋"/>
          <w:color w:val="auto"/>
          <w:sz w:val="32"/>
          <w:szCs w:val="32"/>
          <w:lang w:val="en-US" w:eastAsia="zh-CN"/>
        </w:rPr>
        <w:t xml:space="preserve"> </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（三）项目主要内容、数量及要求：视频监控设备一批。</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（四）预算金额：1057553 元。最高限价：1057553 元。</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w:t>
      </w:r>
      <w:r>
        <w:rPr>
          <w:rFonts w:hint="eastAsia" w:ascii="仿宋" w:hAnsi="仿宋" w:eastAsia="仿宋" w:cs="仿宋"/>
          <w:color w:val="auto"/>
          <w:sz w:val="32"/>
          <w:szCs w:val="32"/>
        </w:rPr>
        <w:t>五</w:t>
      </w:r>
      <w:r>
        <w:rPr>
          <w:rFonts w:hint="eastAsia" w:ascii="仿宋" w:hAnsi="仿宋" w:eastAsia="仿宋" w:cs="仿宋"/>
          <w:color w:val="auto"/>
          <w:sz w:val="32"/>
          <w:szCs w:val="32"/>
          <w:lang w:val="zh-CN"/>
        </w:rPr>
        <w:t>）交付（服务、完工）时间 ：合同签订后30日历天。</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w:t>
      </w:r>
      <w:r>
        <w:rPr>
          <w:rFonts w:hint="eastAsia" w:ascii="仿宋" w:hAnsi="仿宋" w:eastAsia="仿宋" w:cs="仿宋"/>
          <w:color w:val="auto"/>
          <w:sz w:val="32"/>
          <w:szCs w:val="32"/>
        </w:rPr>
        <w:t>六</w:t>
      </w:r>
      <w:r>
        <w:rPr>
          <w:rFonts w:hint="eastAsia" w:ascii="仿宋" w:hAnsi="仿宋" w:eastAsia="仿宋" w:cs="仿宋"/>
          <w:color w:val="auto"/>
          <w:sz w:val="32"/>
          <w:szCs w:val="32"/>
          <w:lang w:val="zh-CN"/>
        </w:rPr>
        <w:t>）交付（服务、完工）地点： 许昌东站站前广场地下停车场</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（七）进口产品：不允许</w:t>
      </w:r>
      <w:r>
        <w:rPr>
          <w:rFonts w:hint="eastAsia" w:ascii="宋体" w:hAnsi="宋体" w:eastAsia="宋体" w:cs="宋体"/>
          <w:b/>
          <w:color w:val="auto"/>
          <w:szCs w:val="21"/>
          <w:lang w:val="zh-CN"/>
        </w:rPr>
        <w:fldChar w:fldCharType="begin"/>
      </w:r>
      <w:r>
        <w:rPr>
          <w:rFonts w:hint="eastAsia" w:ascii="宋体" w:hAnsi="宋体" w:eastAsia="宋体" w:cs="宋体"/>
          <w:b/>
          <w:color w:val="auto"/>
          <w:szCs w:val="21"/>
          <w:lang w:val="zh-CN"/>
        </w:rPr>
        <w:instrText xml:space="preserve"> eq \o\ac(</w:instrText>
      </w:r>
      <w:r>
        <w:rPr>
          <w:rFonts w:hint="eastAsia" w:ascii="宋体" w:hAnsi="宋体" w:eastAsia="宋体" w:cs="宋体"/>
          <w:b/>
          <w:color w:val="auto"/>
          <w:position w:val="-4"/>
          <w:sz w:val="31"/>
          <w:szCs w:val="21"/>
          <w:lang w:val="zh-CN"/>
        </w:rPr>
        <w:instrText xml:space="preserve">□</w:instrText>
      </w:r>
      <w:r>
        <w:rPr>
          <w:rFonts w:hint="eastAsia" w:ascii="宋体" w:hAnsi="宋体" w:eastAsia="宋体" w:cs="宋体"/>
          <w:b/>
          <w:color w:val="auto"/>
          <w:szCs w:val="21"/>
          <w:lang w:val="zh-CN"/>
        </w:rPr>
        <w:instrText xml:space="preserve">,√)</w:instrText>
      </w:r>
      <w:r>
        <w:rPr>
          <w:rFonts w:hint="eastAsia" w:ascii="宋体" w:hAnsi="宋体" w:eastAsia="宋体" w:cs="宋体"/>
          <w:b/>
          <w:color w:val="auto"/>
          <w:szCs w:val="21"/>
          <w:lang w:val="zh-CN"/>
        </w:rPr>
        <w:fldChar w:fldCharType="end"/>
      </w:r>
      <w:r>
        <w:rPr>
          <w:rFonts w:hint="eastAsia" w:ascii="仿宋" w:hAnsi="仿宋" w:eastAsia="仿宋" w:cs="仿宋"/>
          <w:color w:val="auto"/>
          <w:sz w:val="32"/>
          <w:szCs w:val="32"/>
          <w:lang w:val="zh-CN"/>
        </w:rPr>
        <w:t>。</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（八）分包：不允许</w:t>
      </w:r>
      <w:r>
        <w:rPr>
          <w:rFonts w:hint="eastAsia" w:ascii="宋体" w:hAnsi="宋体" w:eastAsia="宋体" w:cs="宋体"/>
          <w:b/>
          <w:color w:val="auto"/>
          <w:szCs w:val="21"/>
          <w:lang w:val="zh-CN"/>
        </w:rPr>
        <w:fldChar w:fldCharType="begin"/>
      </w:r>
      <w:r>
        <w:rPr>
          <w:rFonts w:hint="eastAsia" w:ascii="宋体" w:hAnsi="宋体" w:eastAsia="宋体" w:cs="宋体"/>
          <w:b/>
          <w:color w:val="auto"/>
          <w:szCs w:val="21"/>
          <w:lang w:val="zh-CN"/>
        </w:rPr>
        <w:instrText xml:space="preserve"> eq \o\ac(</w:instrText>
      </w:r>
      <w:r>
        <w:rPr>
          <w:rFonts w:hint="eastAsia" w:ascii="宋体" w:hAnsi="宋体" w:eastAsia="宋体" w:cs="宋体"/>
          <w:b/>
          <w:color w:val="auto"/>
          <w:position w:val="-4"/>
          <w:sz w:val="31"/>
          <w:szCs w:val="21"/>
          <w:lang w:val="zh-CN"/>
        </w:rPr>
        <w:instrText xml:space="preserve">□</w:instrText>
      </w:r>
      <w:r>
        <w:rPr>
          <w:rFonts w:hint="eastAsia" w:ascii="宋体" w:hAnsi="宋体" w:eastAsia="宋体" w:cs="宋体"/>
          <w:b/>
          <w:color w:val="auto"/>
          <w:szCs w:val="21"/>
          <w:lang w:val="zh-CN"/>
        </w:rPr>
        <w:instrText xml:space="preserve">,√)</w:instrText>
      </w:r>
      <w:r>
        <w:rPr>
          <w:rFonts w:hint="eastAsia" w:ascii="宋体" w:hAnsi="宋体" w:eastAsia="宋体" w:cs="宋体"/>
          <w:b/>
          <w:color w:val="auto"/>
          <w:szCs w:val="21"/>
          <w:lang w:val="zh-CN"/>
        </w:rPr>
        <w:fldChar w:fldCharType="end"/>
      </w:r>
    </w:p>
    <w:p>
      <w:pPr>
        <w:widowControl/>
        <w:shd w:val="clear" w:color="auto" w:fill="FFFFFF"/>
        <w:spacing w:line="360" w:lineRule="atLeast"/>
        <w:ind w:firstLine="600"/>
        <w:jc w:val="left"/>
        <w:rPr>
          <w:rFonts w:ascii="微软雅黑" w:hAnsi="微软雅黑" w:eastAsia="微软雅黑" w:cs="微软雅黑"/>
          <w:color w:val="auto"/>
          <w:sz w:val="27"/>
          <w:szCs w:val="27"/>
        </w:rPr>
      </w:pPr>
      <w:r>
        <w:rPr>
          <w:rFonts w:ascii="黑体" w:hAnsi="宋体" w:eastAsia="黑体" w:cs="黑体"/>
          <w:color w:val="auto"/>
          <w:kern w:val="0"/>
          <w:sz w:val="30"/>
          <w:szCs w:val="30"/>
          <w:shd w:val="clear" w:color="auto" w:fill="FFFFFF"/>
        </w:rPr>
        <w:t>二、需要落实的政府采购政策</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本项目落实节能环保、中小微型企业、监狱企业、残疾人福利性单位（选填）扶持等相关政府采购政策。</w:t>
      </w:r>
    </w:p>
    <w:p>
      <w:pPr>
        <w:ind w:firstLine="643" w:firstLineChars="200"/>
        <w:rPr>
          <w:rFonts w:ascii="黑体" w:hAnsi="黑体" w:eastAsia="黑体" w:cs="黑体"/>
          <w:b/>
          <w:bCs/>
          <w:color w:val="auto"/>
          <w:sz w:val="32"/>
          <w:szCs w:val="32"/>
          <w:lang w:val="zh-CN"/>
        </w:rPr>
      </w:pPr>
      <w:r>
        <w:rPr>
          <w:rFonts w:hint="eastAsia" w:ascii="黑体" w:hAnsi="黑体" w:eastAsia="黑体" w:cs="黑体"/>
          <w:b/>
          <w:bCs/>
          <w:color w:val="auto"/>
          <w:sz w:val="32"/>
          <w:szCs w:val="32"/>
        </w:rPr>
        <w:t>三</w:t>
      </w:r>
      <w:r>
        <w:rPr>
          <w:rFonts w:hint="eastAsia" w:ascii="黑体" w:hAnsi="黑体" w:eastAsia="黑体" w:cs="黑体"/>
          <w:b/>
          <w:bCs/>
          <w:color w:val="auto"/>
          <w:sz w:val="32"/>
          <w:szCs w:val="32"/>
          <w:lang w:val="zh-CN"/>
        </w:rPr>
        <w:t>、投标人资格要求</w:t>
      </w:r>
    </w:p>
    <w:p>
      <w:pPr>
        <w:snapToGrid w:val="0"/>
        <w:ind w:firstLine="640" w:firstLineChars="200"/>
        <w:rPr>
          <w:rFonts w:ascii="仿宋" w:hAnsi="仿宋" w:eastAsia="仿宋" w:cs="仿宋"/>
          <w:color w:val="auto"/>
          <w:sz w:val="32"/>
          <w:szCs w:val="32"/>
          <w:lang w:val="zh-CN"/>
        </w:rPr>
      </w:pPr>
      <w:bookmarkStart w:id="0" w:name="_Toc261334949"/>
      <w:bookmarkEnd w:id="0"/>
      <w:bookmarkStart w:id="1" w:name="_Toc106719288"/>
      <w:bookmarkEnd w:id="1"/>
      <w:bookmarkStart w:id="2" w:name="_Toc106919041"/>
      <w:bookmarkEnd w:id="2"/>
      <w:bookmarkStart w:id="3" w:name="_Toc267574133"/>
      <w:bookmarkEnd w:id="3"/>
      <w:bookmarkStart w:id="4" w:name="_Toc270946200"/>
      <w:bookmarkEnd w:id="4"/>
      <w:r>
        <w:rPr>
          <w:rFonts w:hint="eastAsia" w:ascii="仿宋" w:hAnsi="仿宋" w:eastAsia="仿宋" w:cs="仿宋"/>
          <w:color w:val="auto"/>
          <w:sz w:val="32"/>
          <w:szCs w:val="32"/>
          <w:lang w:val="zh-CN"/>
        </w:rPr>
        <w:t>（</w:t>
      </w:r>
      <w:r>
        <w:rPr>
          <w:rFonts w:hint="eastAsia" w:ascii="仿宋" w:hAnsi="仿宋" w:eastAsia="仿宋" w:cs="仿宋"/>
          <w:color w:val="auto"/>
          <w:sz w:val="32"/>
          <w:szCs w:val="32"/>
        </w:rPr>
        <w:t>一</w:t>
      </w:r>
      <w:r>
        <w:rPr>
          <w:rFonts w:hint="eastAsia" w:ascii="仿宋" w:hAnsi="仿宋" w:eastAsia="仿宋" w:cs="仿宋"/>
          <w:color w:val="auto"/>
          <w:sz w:val="32"/>
          <w:szCs w:val="32"/>
          <w:lang w:val="zh-CN"/>
        </w:rPr>
        <w:t>）符合《中华人民共和国政府采购法》第二十二条之规定；</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w:t>
      </w:r>
      <w:r>
        <w:rPr>
          <w:rFonts w:hint="eastAsia" w:ascii="仿宋" w:hAnsi="仿宋" w:eastAsia="仿宋" w:cs="仿宋"/>
          <w:color w:val="auto"/>
          <w:sz w:val="32"/>
          <w:szCs w:val="32"/>
        </w:rPr>
        <w:t>二</w:t>
      </w:r>
      <w:r>
        <w:rPr>
          <w:rFonts w:hint="eastAsia" w:ascii="仿宋" w:hAnsi="仿宋" w:eastAsia="仿宋" w:cs="仿宋"/>
          <w:color w:val="auto"/>
          <w:sz w:val="32"/>
          <w:szCs w:val="32"/>
          <w:lang w:val="zh-CN"/>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（三）本次招标不接受联合体投标。</w:t>
      </w:r>
    </w:p>
    <w:p>
      <w:pPr>
        <w:ind w:firstLine="643" w:firstLineChars="200"/>
        <w:rPr>
          <w:rFonts w:ascii="黑体" w:hAnsi="黑体" w:eastAsia="黑体" w:cs="黑体"/>
          <w:b/>
          <w:bCs/>
          <w:color w:val="auto"/>
          <w:sz w:val="32"/>
          <w:szCs w:val="32"/>
          <w:lang w:val="zh-CN"/>
        </w:rPr>
      </w:pPr>
      <w:r>
        <w:rPr>
          <w:rFonts w:hint="eastAsia" w:ascii="黑体" w:hAnsi="黑体" w:eastAsia="黑体" w:cs="黑体"/>
          <w:b/>
          <w:bCs/>
          <w:color w:val="auto"/>
          <w:sz w:val="32"/>
          <w:szCs w:val="32"/>
        </w:rPr>
        <w:t>四</w:t>
      </w:r>
      <w:r>
        <w:rPr>
          <w:rFonts w:hint="eastAsia" w:ascii="黑体" w:hAnsi="黑体" w:eastAsia="黑体" w:cs="黑体"/>
          <w:b/>
          <w:bCs/>
          <w:color w:val="auto"/>
          <w:sz w:val="32"/>
          <w:szCs w:val="32"/>
          <w:lang w:val="zh-CN"/>
        </w:rPr>
        <w:t>、</w:t>
      </w:r>
      <w:r>
        <w:rPr>
          <w:rFonts w:hint="eastAsia" w:ascii="黑体" w:hAnsi="黑体" w:eastAsia="黑体" w:cs="黑体"/>
          <w:b/>
          <w:bCs/>
          <w:color w:val="auto"/>
          <w:sz w:val="32"/>
          <w:szCs w:val="32"/>
        </w:rPr>
        <w:t>采购</w:t>
      </w:r>
      <w:r>
        <w:rPr>
          <w:rFonts w:hint="eastAsia" w:ascii="黑体" w:hAnsi="黑体" w:eastAsia="黑体" w:cs="黑体"/>
          <w:b/>
          <w:bCs/>
          <w:color w:val="auto"/>
          <w:sz w:val="32"/>
          <w:szCs w:val="32"/>
          <w:lang w:val="zh-CN"/>
        </w:rPr>
        <w:t>需求</w:t>
      </w:r>
    </w:p>
    <w:p>
      <w:pPr>
        <w:snapToGrid w:val="0"/>
        <w:ind w:left="638" w:leftChars="304"/>
        <w:rPr>
          <w:rFonts w:ascii="仿宋" w:hAnsi="仿宋" w:eastAsia="仿宋" w:cs="仿宋"/>
          <w:color w:val="auto"/>
          <w:sz w:val="32"/>
          <w:szCs w:val="32"/>
          <w:lang w:val="zh-CN"/>
        </w:rPr>
      </w:pPr>
      <w:r>
        <w:rPr>
          <w:rFonts w:hint="eastAsia" w:ascii="仿宋" w:hAnsi="仿宋" w:eastAsia="仿宋" w:cs="仿宋"/>
          <w:color w:val="auto"/>
          <w:sz w:val="32"/>
          <w:szCs w:val="32"/>
          <w:lang w:val="zh-CN"/>
        </w:rPr>
        <w:t xml:space="preserve">（一）本项目需实现的目标 </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zh-CN"/>
        </w:rPr>
        <w:t>1、敷设、安装监控点位分布。</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2、完成整个监控系统的安装调试，并将所有监控信息数据汇集于监控室，监控信息具有实时查看、调取视频信息、储存等功能。</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3、敷设线路同时，需对原有的监控线路进行拆除和清理。</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（二）采购清单</w:t>
      </w:r>
      <w:bookmarkStart w:id="14" w:name="_GoBack"/>
      <w:bookmarkEnd w:id="14"/>
    </w:p>
    <w:tbl>
      <w:tblPr>
        <w:tblStyle w:val="18"/>
        <w:tblW w:w="93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contextualSpacing/>
              <w:jc w:val="center"/>
              <w:rPr>
                <w:rFonts w:ascii="仿宋" w:hAnsi="仿宋" w:eastAsia="仿宋" w:cs="仿宋"/>
                <w:color w:val="auto"/>
                <w:kern w:val="0"/>
                <w:szCs w:val="21"/>
              </w:rPr>
            </w:pPr>
            <w:r>
              <w:rPr>
                <w:rFonts w:hint="eastAsia" w:ascii="仿宋" w:hAnsi="仿宋" w:eastAsia="仿宋" w:cs="仿宋"/>
                <w:color w:val="auto"/>
                <w:kern w:val="0"/>
                <w:szCs w:val="21"/>
              </w:rPr>
              <w:t>序号</w:t>
            </w:r>
          </w:p>
        </w:tc>
        <w:tc>
          <w:tcPr>
            <w:tcW w:w="1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contextualSpacing/>
              <w:jc w:val="center"/>
              <w:rPr>
                <w:rFonts w:ascii="仿宋" w:hAnsi="仿宋" w:eastAsia="仿宋" w:cs="仿宋"/>
                <w:color w:val="auto"/>
                <w:kern w:val="0"/>
                <w:szCs w:val="21"/>
              </w:rPr>
            </w:pPr>
            <w:r>
              <w:rPr>
                <w:rFonts w:hint="eastAsia" w:ascii="仿宋" w:hAnsi="仿宋" w:eastAsia="仿宋" w:cs="仿宋"/>
                <w:color w:val="auto"/>
                <w:kern w:val="0"/>
                <w:szCs w:val="21"/>
              </w:rPr>
              <w:t>货物名称</w:t>
            </w:r>
          </w:p>
        </w:tc>
        <w:tc>
          <w:tcPr>
            <w:tcW w:w="42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contextualSpacing/>
              <w:jc w:val="center"/>
              <w:rPr>
                <w:rFonts w:ascii="仿宋" w:hAnsi="仿宋" w:eastAsia="仿宋" w:cs="仿宋"/>
                <w:color w:val="auto"/>
                <w:kern w:val="0"/>
                <w:szCs w:val="21"/>
              </w:rPr>
            </w:pPr>
            <w:r>
              <w:rPr>
                <w:rFonts w:hint="eastAsia" w:ascii="仿宋" w:hAnsi="仿宋" w:eastAsia="仿宋" w:cs="仿宋"/>
                <w:color w:val="auto"/>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contextualSpacing/>
              <w:jc w:val="center"/>
              <w:rPr>
                <w:rFonts w:ascii="仿宋" w:hAnsi="仿宋" w:eastAsia="仿宋" w:cs="仿宋"/>
                <w:color w:val="auto"/>
                <w:kern w:val="0"/>
                <w:szCs w:val="21"/>
              </w:rPr>
            </w:pPr>
            <w:r>
              <w:rPr>
                <w:rFonts w:hint="eastAsia" w:ascii="仿宋" w:hAnsi="仿宋" w:eastAsia="仿宋" w:cs="仿宋"/>
                <w:color w:val="auto"/>
                <w:kern w:val="0"/>
                <w:szCs w:val="21"/>
              </w:rPr>
              <w:t>单位</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contextualSpacing/>
              <w:jc w:val="center"/>
              <w:rPr>
                <w:rFonts w:ascii="仿宋" w:hAnsi="仿宋" w:eastAsia="仿宋" w:cs="仿宋"/>
                <w:color w:val="auto"/>
                <w:kern w:val="0"/>
                <w:szCs w:val="21"/>
              </w:rPr>
            </w:pPr>
            <w:r>
              <w:rPr>
                <w:rFonts w:hint="eastAsia" w:ascii="仿宋" w:hAnsi="仿宋" w:eastAsia="仿宋" w:cs="仿宋"/>
                <w:color w:val="auto"/>
                <w:kern w:val="0"/>
                <w:szCs w:val="21"/>
              </w:rPr>
              <w:t>数量</w:t>
            </w:r>
          </w:p>
        </w:tc>
        <w:tc>
          <w:tcPr>
            <w:tcW w:w="1134" w:type="dxa"/>
            <w:tcBorders>
              <w:top w:val="single" w:color="auto" w:sz="4" w:space="0"/>
              <w:left w:val="single" w:color="auto" w:sz="4" w:space="0"/>
              <w:bottom w:val="single" w:color="auto" w:sz="4" w:space="0"/>
              <w:right w:val="single" w:color="auto" w:sz="4" w:space="0"/>
            </w:tcBorders>
            <w:vAlign w:val="top"/>
          </w:tcPr>
          <w:p>
            <w:pPr>
              <w:widowControl/>
              <w:contextualSpacing/>
              <w:jc w:val="center"/>
              <w:rPr>
                <w:rFonts w:ascii="仿宋" w:hAnsi="仿宋" w:eastAsia="仿宋" w:cs="仿宋"/>
                <w:color w:val="auto"/>
                <w:kern w:val="0"/>
                <w:szCs w:val="21"/>
              </w:rPr>
            </w:pPr>
            <w:r>
              <w:rPr>
                <w:rFonts w:hint="eastAsia" w:ascii="仿宋" w:hAnsi="仿宋" w:eastAsia="仿宋" w:cs="仿宋"/>
                <w:color w:val="auto"/>
                <w:kern w:val="0"/>
                <w:szCs w:val="21"/>
              </w:rPr>
              <w:t>是否为</w:t>
            </w:r>
          </w:p>
          <w:p>
            <w:pPr>
              <w:widowControl/>
              <w:contextualSpacing/>
              <w:jc w:val="center"/>
              <w:rPr>
                <w:rFonts w:ascii="仿宋" w:hAnsi="仿宋" w:eastAsia="仿宋" w:cs="仿宋"/>
                <w:color w:val="auto"/>
                <w:kern w:val="0"/>
                <w:szCs w:val="21"/>
              </w:rPr>
            </w:pPr>
            <w:r>
              <w:rPr>
                <w:rFonts w:hint="eastAsia" w:ascii="仿宋" w:hAnsi="仿宋" w:eastAsia="仿宋" w:cs="仿宋"/>
                <w:color w:val="auto"/>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jc w:val="center"/>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1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400W高清网络筒机</w:t>
            </w:r>
          </w:p>
        </w:tc>
        <w:tc>
          <w:tcPr>
            <w:tcW w:w="42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widowControl/>
              <w:jc w:val="left"/>
              <w:textAlignment w:val="top"/>
              <w:rPr>
                <w:rFonts w:ascii="仿宋" w:hAnsi="仿宋" w:eastAsia="仿宋" w:cs="仿宋"/>
                <w:b/>
                <w:i/>
                <w:color w:val="auto"/>
                <w:kern w:val="0"/>
                <w:szCs w:val="21"/>
              </w:rPr>
            </w:pP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 xml:space="preserve"> </w:t>
            </w:r>
            <w:r>
              <w:rPr>
                <w:rFonts w:hint="eastAsia" w:ascii="仿宋" w:hAnsi="仿宋" w:eastAsia="仿宋" w:cs="仿宋"/>
                <w:color w:val="auto"/>
                <w:kern w:val="0"/>
                <w:szCs w:val="21"/>
              </w:rPr>
              <w:t>400万星光级1/2.7”CMOS ICR红外阵列筒型网络摄像机;最小照度 0.005Lux @(F1.2,AGC ON) ,0 Lux with IR快门 1/3秒至1/100,000秒</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慢快门 支持镜头接口类型 M12</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日夜转换模式 ICR红外滤片式</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行为分析 越界侦测,区域入侵侦测,进入/离开区域侦测,徘徊侦测,人员聚集侦测,快速运动侦测,停车侦测,物品遗留/拿取侦测</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异常侦测 场景变更侦测，虚焦侦测</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识别检测 支持人脸侦测</w:t>
            </w:r>
            <w:r>
              <w:rPr>
                <w:rFonts w:hint="eastAsia" w:ascii="仿宋" w:hAnsi="仿宋" w:eastAsia="仿宋" w:cs="仿宋"/>
                <w:color w:val="auto"/>
                <w:kern w:val="0"/>
                <w:szCs w:val="21"/>
              </w:rPr>
              <w:br w:type="textWrapping"/>
            </w:r>
            <w:r>
              <w:rPr>
                <w:rFonts w:hint="eastAsia" w:ascii="宋体" w:hAnsi="宋体" w:eastAsia="宋体" w:cs="宋体"/>
                <w:b/>
                <w:bCs/>
                <w:color w:val="auto"/>
                <w:kern w:val="0"/>
                <w:sz w:val="24"/>
                <w:szCs w:val="24"/>
              </w:rPr>
              <w:t>*</w:t>
            </w:r>
            <w:r>
              <w:rPr>
                <w:rFonts w:hint="eastAsia" w:ascii="仿宋" w:hAnsi="仿宋" w:eastAsia="仿宋" w:cs="仿宋"/>
                <w:color w:val="auto"/>
                <w:kern w:val="0"/>
                <w:szCs w:val="21"/>
              </w:rPr>
              <w:t>通讯接口 1个RJ45 10M / 100M 自适应以太网口</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工作温度和湿度 -30℃~60℃,湿度小于95%(无凝结)</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电源供应 DC12V±25% / PoE(802.3af)</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电源接口类型 圆头电源接口</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功耗 非POE：6.5W Max</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PoE：8W Max</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红外照射距离不低于 50米</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台</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140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仿宋" w:hAnsi="仿宋" w:eastAsia="仿宋" w:cs="仿宋"/>
                <w:color w:val="auto"/>
                <w:kern w:val="0"/>
                <w:szCs w:val="21"/>
              </w:rPr>
            </w:pPr>
            <w:r>
              <w:rPr>
                <w:rFonts w:hint="eastAsia" w:ascii="仿宋" w:hAnsi="仿宋" w:eastAsia="仿宋" w:cs="仿宋"/>
                <w:color w:val="auto"/>
                <w:kern w:val="0"/>
                <w:szCs w:val="21"/>
              </w:rPr>
              <w:t xml:space="preserve">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筒机支架</w:t>
            </w:r>
          </w:p>
        </w:tc>
        <w:tc>
          <w:tcPr>
            <w:tcW w:w="42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仿宋"/>
                <w:color w:val="auto"/>
                <w:kern w:val="0"/>
                <w:szCs w:val="21"/>
              </w:rPr>
            </w:pPr>
            <w:r>
              <w:rPr>
                <w:rFonts w:hint="eastAsia" w:ascii="仿宋" w:hAnsi="仿宋" w:eastAsia="仿宋" w:cs="仿宋"/>
                <w:color w:val="auto"/>
                <w:kern w:val="0"/>
                <w:szCs w:val="21"/>
              </w:rPr>
              <w:t>壁装支架/白/铝合金/尺寸≥70×97.1×181.8mm</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个</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140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仿宋" w:hAnsi="仿宋" w:eastAsia="仿宋" w:cs="仿宋"/>
                <w:color w:val="auto"/>
                <w:kern w:val="0"/>
                <w:szCs w:val="21"/>
              </w:rPr>
            </w:pPr>
            <w:r>
              <w:rPr>
                <w:rFonts w:hint="eastAsia" w:ascii="仿宋" w:hAnsi="仿宋" w:eastAsia="仿宋" w:cs="仿宋"/>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1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400W高清网络球机</w:t>
            </w:r>
          </w:p>
        </w:tc>
        <w:tc>
          <w:tcPr>
            <w:tcW w:w="42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仿宋" w:hAnsi="仿宋" w:eastAsia="仿宋" w:cs="仿宋"/>
                <w:color w:val="auto"/>
                <w:kern w:val="0"/>
                <w:szCs w:val="21"/>
              </w:rPr>
            </w:pPr>
            <w:r>
              <w:rPr>
                <w:rFonts w:hint="eastAsia" w:ascii="宋体" w:hAnsi="宋体" w:eastAsia="宋体" w:cs="宋体"/>
                <w:b/>
                <w:bCs/>
                <w:color w:val="auto"/>
                <w:kern w:val="0"/>
                <w:sz w:val="24"/>
                <w:szCs w:val="24"/>
              </w:rPr>
              <w:t>*</w:t>
            </w:r>
            <w:r>
              <w:rPr>
                <w:rFonts w:hint="eastAsia" w:ascii="仿宋" w:hAnsi="仿宋" w:eastAsia="仿宋" w:cs="仿宋"/>
                <w:color w:val="auto"/>
                <w:kern w:val="0"/>
                <w:szCs w:val="21"/>
              </w:rPr>
              <w:t>400W红外阵列高清网络球机</w:t>
            </w:r>
          </w:p>
          <w:p>
            <w:pPr>
              <w:widowControl/>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摄像机靶面尺寸不小于1/1.8英寸</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视频输出支持2560×1536@25fps，分辨力不小于1600TVL，红外距离可达200米</w:t>
            </w:r>
            <w:r>
              <w:rPr>
                <w:rFonts w:hint="eastAsia" w:ascii="仿宋" w:hAnsi="仿宋" w:eastAsia="仿宋" w:cs="仿宋"/>
                <w:color w:val="auto"/>
                <w:kern w:val="0"/>
                <w:szCs w:val="21"/>
              </w:rPr>
              <w:br w:type="textWrapping"/>
            </w:r>
            <w:r>
              <w:rPr>
                <w:rFonts w:hint="eastAsia" w:ascii="宋体" w:hAnsi="宋体" w:eastAsia="宋体" w:cs="宋体"/>
                <w:b/>
                <w:bCs/>
                <w:color w:val="auto"/>
                <w:kern w:val="0"/>
                <w:sz w:val="24"/>
                <w:szCs w:val="24"/>
              </w:rPr>
              <w:t>*</w:t>
            </w:r>
            <w:r>
              <w:rPr>
                <w:rFonts w:hint="eastAsia" w:ascii="仿宋" w:hAnsi="仿宋" w:eastAsia="仿宋" w:cs="仿宋"/>
                <w:color w:val="auto"/>
                <w:kern w:val="0"/>
                <w:szCs w:val="21"/>
              </w:rPr>
              <w:t>支持30倍光学变焦</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支持最低照度可达彩色0.0005Lux，黑白0.0001Lux</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支持水平手控速度不小于550°/S，垂直手控速度不小于120°/S，云台定位精度为±0.1°</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水平旋转范围为360°连续旋转，垂直旋转范围为-20°~90°</w:t>
            </w:r>
            <w:r>
              <w:rPr>
                <w:rFonts w:hint="eastAsia" w:ascii="仿宋" w:hAnsi="仿宋" w:eastAsia="仿宋" w:cs="仿宋"/>
                <w:color w:val="auto"/>
                <w:kern w:val="0"/>
                <w:szCs w:val="21"/>
              </w:rPr>
              <w:br w:type="textWrapping"/>
            </w:r>
            <w:r>
              <w:rPr>
                <w:rFonts w:hint="eastAsia" w:ascii="宋体" w:hAnsi="宋体" w:eastAsia="宋体" w:cs="宋体"/>
                <w:b/>
                <w:bCs/>
                <w:color w:val="auto"/>
                <w:kern w:val="0"/>
                <w:sz w:val="24"/>
                <w:szCs w:val="24"/>
              </w:rPr>
              <w:t>*</w:t>
            </w:r>
            <w:r>
              <w:rPr>
                <w:rFonts w:hint="eastAsia" w:ascii="仿宋" w:hAnsi="仿宋" w:eastAsia="仿宋" w:cs="仿宋"/>
                <w:color w:val="auto"/>
                <w:kern w:val="0"/>
                <w:szCs w:val="21"/>
              </w:rPr>
              <w:t>支持300个预置位，支持18条巡航扫描，支持7条以上的模式路径设置，支持预置位视频冻结功能；可实现RS485接口优先或RJ45网络接口优先控制功能</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信噪比≥60dB，网络延时不大于95ms</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动态范围不小于106dB，照度适应范围不小于136dB，宽动态能力综合得分不小于130</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样机与客户端之间用150m超五类非屏蔽网线直接连接，网络传输能力满足发送1500个数据包，重复测试3次，每次丢包数不大于1个</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支持智能红外、透雾、强光抑制、电子防抖、数字降噪、防红外过曝功能</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球机应具备本机存储功能，支持SD卡热插拔，最大支持256GB</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支持采用H.265、H.264视频编码标准，H.264编码支持Baseline/Main/High Profile，音频编码支持G.711ulaw/G.711alaw/G.726/G.722.1/AAC</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支持三码流同时输出，主码流、第三码流同时支持2560×1536@30fps，2048×1536@30fps</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支持GB28181协议，支持标准Onvif协议</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支持区域入侵、越界入侵、徘徊、物品移除、物品遗留、人员聚集、停车，并联动报警</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具备较好的防护性能环境适应性，支持IP67，TVS 8kV防浪涌，工作温度范围可达-45℃-70℃</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台</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contextualSpacing/>
              <w:rPr>
                <w:rFonts w:ascii="仿宋" w:hAnsi="仿宋" w:eastAsia="仿宋" w:cs="仿宋"/>
                <w:color w:val="auto"/>
                <w:kern w:val="0"/>
                <w:szCs w:val="21"/>
              </w:rPr>
            </w:pPr>
            <w:r>
              <w:rPr>
                <w:rFonts w:hint="eastAsia" w:ascii="仿宋" w:hAnsi="仿宋" w:eastAsia="仿宋" w:cs="仿宋"/>
                <w:color w:val="auto"/>
                <w:kern w:val="0"/>
                <w:szCs w:val="21"/>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1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球机支架</w:t>
            </w:r>
          </w:p>
        </w:tc>
        <w:tc>
          <w:tcPr>
            <w:tcW w:w="42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壁装支架/白/铝合金/尺寸97×182×305mm</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个</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contextualSpacing/>
              <w:rPr>
                <w:rFonts w:ascii="仿宋" w:hAnsi="仿宋" w:eastAsia="仿宋" w:cs="仿宋"/>
                <w:color w:val="auto"/>
                <w:kern w:val="0"/>
                <w:szCs w:val="21"/>
              </w:rPr>
            </w:pPr>
            <w:r>
              <w:rPr>
                <w:rFonts w:hint="eastAsia" w:ascii="仿宋" w:hAnsi="仿宋" w:eastAsia="仿宋" w:cs="仿宋"/>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5</w:t>
            </w:r>
          </w:p>
        </w:tc>
        <w:tc>
          <w:tcPr>
            <w:tcW w:w="1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磁盘阵列</w:t>
            </w:r>
          </w:p>
        </w:tc>
        <w:tc>
          <w:tcPr>
            <w:tcW w:w="42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完全自主产品，采用linux存储专用操作系统，不接受OEM或联合品牌产品；</w:t>
            </w:r>
            <w:r>
              <w:rPr>
                <w:rFonts w:hint="eastAsia" w:ascii="仿宋" w:hAnsi="仿宋" w:eastAsia="仿宋" w:cs="仿宋"/>
                <w:color w:val="auto"/>
                <w:kern w:val="0"/>
                <w:szCs w:val="21"/>
              </w:rPr>
              <w:br w:type="textWrapping"/>
            </w:r>
            <w:r>
              <w:rPr>
                <w:rFonts w:hint="eastAsia" w:ascii="宋体" w:hAnsi="宋体" w:eastAsia="宋体" w:cs="宋体"/>
                <w:b/>
                <w:bCs/>
                <w:color w:val="auto"/>
                <w:kern w:val="0"/>
                <w:sz w:val="24"/>
                <w:szCs w:val="24"/>
              </w:rPr>
              <w:t>*</w:t>
            </w:r>
            <w:r>
              <w:rPr>
                <w:rFonts w:hint="eastAsia" w:ascii="仿宋" w:hAnsi="仿宋" w:eastAsia="仿宋" w:cs="仿宋"/>
                <w:color w:val="auto"/>
                <w:kern w:val="0"/>
                <w:szCs w:val="21"/>
              </w:rPr>
              <w:t>双控制器，每控制器配置：1颗64位多核处理器、8G内存、128G固态盘，内存可扩展至64GB；</w:t>
            </w:r>
            <w:r>
              <w:rPr>
                <w:rFonts w:hint="eastAsia" w:ascii="仿宋" w:hAnsi="仿宋" w:eastAsia="仿宋" w:cs="仿宋"/>
                <w:color w:val="auto"/>
                <w:kern w:val="0"/>
                <w:szCs w:val="21"/>
              </w:rPr>
              <w:br w:type="textWrapping"/>
            </w:r>
            <w:r>
              <w:rPr>
                <w:rFonts w:hint="eastAsia" w:ascii="宋体" w:hAnsi="宋体" w:eastAsia="宋体" w:cs="宋体"/>
                <w:b/>
                <w:bCs/>
                <w:color w:val="auto"/>
                <w:kern w:val="0"/>
                <w:sz w:val="24"/>
                <w:szCs w:val="24"/>
              </w:rPr>
              <w:t>*</w:t>
            </w:r>
            <w:r>
              <w:rPr>
                <w:rFonts w:hint="eastAsia" w:ascii="仿宋" w:hAnsi="仿宋" w:eastAsia="仿宋" w:cs="仿宋"/>
                <w:color w:val="auto"/>
                <w:kern w:val="0"/>
                <w:szCs w:val="21"/>
              </w:rPr>
              <w:t>可接入2T/3T/4T/6T/8T/10T SATA/SAS磁盘，支持磁盘交错启动和漫游，并支持在线热插拔；</w:t>
            </w:r>
            <w:r>
              <w:rPr>
                <w:rFonts w:hint="eastAsia" w:ascii="仿宋" w:hAnsi="仿宋" w:eastAsia="仿宋" w:cs="仿宋"/>
                <w:color w:val="auto"/>
                <w:kern w:val="0"/>
                <w:szCs w:val="21"/>
              </w:rPr>
              <w:br w:type="textWrapping"/>
            </w:r>
            <w:r>
              <w:rPr>
                <w:rFonts w:hint="eastAsia" w:ascii="宋体" w:hAnsi="宋体" w:eastAsia="宋体" w:cs="宋体"/>
                <w:b/>
                <w:bCs/>
                <w:color w:val="auto"/>
                <w:kern w:val="0"/>
                <w:sz w:val="24"/>
                <w:szCs w:val="24"/>
              </w:rPr>
              <w:t>*</w:t>
            </w:r>
            <w:r>
              <w:rPr>
                <w:rFonts w:hint="eastAsia" w:ascii="仿宋" w:hAnsi="仿宋" w:eastAsia="仿宋" w:cs="仿宋"/>
                <w:color w:val="auto"/>
                <w:kern w:val="0"/>
                <w:szCs w:val="21"/>
              </w:rPr>
              <w:t>要求单设备裸容量必须≥192TB，且必须是企业级存储空间；</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单设备要求高度≤4U，节省空间资源；</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支持一键快速配置，配置完成后可直接部署运行上层业务；</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应能对视音频数据直写存储，节省存储服务器，平台服务器宕机不影响存储业务；</w:t>
            </w:r>
            <w:r>
              <w:rPr>
                <w:rFonts w:hint="eastAsia" w:ascii="仿宋" w:hAnsi="仿宋" w:eastAsia="仿宋" w:cs="仿宋"/>
                <w:color w:val="auto"/>
                <w:kern w:val="0"/>
                <w:szCs w:val="21"/>
              </w:rPr>
              <w:br w:type="textWrapping"/>
            </w:r>
            <w:r>
              <w:rPr>
                <w:rFonts w:hint="eastAsia" w:ascii="宋体" w:hAnsi="宋体" w:eastAsia="宋体" w:cs="宋体"/>
                <w:b/>
                <w:bCs/>
                <w:color w:val="auto"/>
                <w:kern w:val="0"/>
                <w:sz w:val="24"/>
                <w:szCs w:val="24"/>
              </w:rPr>
              <w:t>*</w:t>
            </w:r>
            <w:r>
              <w:rPr>
                <w:rFonts w:hint="eastAsia" w:ascii="仿宋" w:hAnsi="仿宋" w:eastAsia="仿宋" w:cs="仿宋"/>
                <w:color w:val="auto"/>
                <w:kern w:val="0"/>
                <w:szCs w:val="21"/>
              </w:rPr>
              <w:t>应能接入并存储2048Mbps视频图像，同时转发2048Mbps的视频图像；同时回放512Mbps的视频图像；</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应能支持不低于512MBps的图片并发输入，同时不低于512MBps图片并发输出；</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应能支持报警预录功能，可预录报警触发前1-40分钟视频；</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可在视频画面上绘制区域或界线，检索指定范围内的报警录像；输入车牌号码可检索出相关图片和视频；可按照报警事件进行检索；</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可接入鱼眼、双目等摄像机和全景自拼接摄像机的图像以多画面分割方式显示；</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根据数据对象的重要性（例如：系统信息、配置信息、报警录像、普通录像等）、访问频率等属性按照预先设定的分层存储区域可进行自动分层存储。分层存储可实现快速访问；</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支持SDK封装格式的视频流转成标</w:t>
            </w:r>
            <w:r>
              <w:rPr>
                <w:rFonts w:hint="eastAsia" w:ascii="仿宋" w:hAnsi="仿宋" w:eastAsia="仿宋" w:cs="仿宋"/>
                <w:color w:val="auto"/>
                <w:kern w:val="0"/>
                <w:szCs w:val="21"/>
                <w:lang w:eastAsia="zh-CN"/>
              </w:rPr>
              <w:t>准</w:t>
            </w:r>
            <w:r>
              <w:rPr>
                <w:rFonts w:hint="eastAsia" w:ascii="仿宋" w:hAnsi="仿宋" w:eastAsia="仿宋" w:cs="仿宋"/>
                <w:color w:val="auto"/>
                <w:kern w:val="0"/>
                <w:szCs w:val="21"/>
              </w:rPr>
              <w:t>MPEG4、H.264、H.265、SVAC、4K等编码格式PS流输出；</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配置与存储同一品牌的8TB企业级硬盘；</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台</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contextualSpacing/>
              <w:rPr>
                <w:rFonts w:ascii="仿宋" w:hAnsi="仿宋" w:eastAsia="仿宋" w:cs="仿宋"/>
                <w:color w:val="auto"/>
                <w:kern w:val="0"/>
                <w:szCs w:val="21"/>
              </w:rPr>
            </w:pPr>
            <w:r>
              <w:rPr>
                <w:rFonts w:hint="eastAsia" w:ascii="仿宋" w:hAnsi="仿宋" w:eastAsia="仿宋" w:cs="仿宋"/>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6</w:t>
            </w:r>
          </w:p>
        </w:tc>
        <w:tc>
          <w:tcPr>
            <w:tcW w:w="1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拼接屏</w:t>
            </w:r>
          </w:p>
        </w:tc>
        <w:tc>
          <w:tcPr>
            <w:tcW w:w="42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仿宋"/>
                <w:color w:val="auto"/>
                <w:kern w:val="0"/>
                <w:szCs w:val="21"/>
              </w:rPr>
            </w:pPr>
            <w:r>
              <w:rPr>
                <w:rFonts w:hint="eastAsia" w:ascii="宋体" w:hAnsi="宋体" w:eastAsia="宋体" w:cs="宋体"/>
                <w:b/>
                <w:bCs/>
                <w:color w:val="auto"/>
                <w:kern w:val="0"/>
                <w:sz w:val="24"/>
                <w:szCs w:val="24"/>
              </w:rPr>
              <w:t>*</w:t>
            </w:r>
            <w:r>
              <w:rPr>
                <w:rFonts w:hint="eastAsia" w:ascii="仿宋" w:hAnsi="仿宋" w:eastAsia="仿宋" w:cs="仿宋"/>
                <w:color w:val="auto"/>
                <w:kern w:val="0"/>
                <w:szCs w:val="21"/>
              </w:rPr>
              <w:t>55“超窄边液晶屏；物理分辨率达到1920×1080，亮度达到500cd/㎡，对比度达到4000:1;物理拼缝≤3.5mm，响应时间≤12ms。输入接口：VGA×1，DVI×1，BNC×1，YPbPr×1，HDMI×1，USB×1;输出接口：VGA×1，DVI×1，BNC×2。</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 xml:space="preserve"> LCD显示单元需支持7色独立调整、精确色彩控制、 肤色校正功能。内置图像处理引擎支持 RGBCMYF 七种颜色亮度(IBC)、色调(IHC)、饱和度(ICC)独立调整。颜色 16.7M，和刷新率支持 120Hz 倍频刷新。内置图像处理器采用 3D 梳状滤波技术。3D 降噪和空间降噪相结合。显示器需要具有厂家自带的自动校色系统，不需要人工参与自动对显示器进行色彩属性一致性校准。显示器色温可以以 100K 为单位，在 2000K 至 10000K 之间调节。</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LCD显示单元需支持双CPU，多处理器应用。采用双 CPU+多个协处理器核的架构。双CPU(ARM+单片机)负责通讯、色彩调整及模块控制等控制功能。3个DSP核+1个 FPGA 核负责图像数据的处理。</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台</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contextualSpacing/>
              <w:rPr>
                <w:rFonts w:ascii="仿宋" w:hAnsi="仿宋" w:eastAsia="仿宋" w:cs="仿宋"/>
                <w:color w:val="auto"/>
                <w:kern w:val="0"/>
                <w:szCs w:val="21"/>
              </w:rPr>
            </w:pPr>
            <w:r>
              <w:rPr>
                <w:rFonts w:hint="eastAsia" w:ascii="仿宋" w:hAnsi="仿宋" w:eastAsia="仿宋" w:cs="仿宋"/>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7</w:t>
            </w:r>
          </w:p>
        </w:tc>
        <w:tc>
          <w:tcPr>
            <w:tcW w:w="1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电视墙</w:t>
            </w:r>
          </w:p>
        </w:tc>
        <w:tc>
          <w:tcPr>
            <w:tcW w:w="42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3"/>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3*3定制，采用优质冷轧钢材料；</w:t>
            </w:r>
          </w:p>
          <w:p>
            <w:pPr>
              <w:pStyle w:val="13"/>
              <w:widowControl/>
              <w:jc w:val="left"/>
              <w:rPr>
                <w:rFonts w:ascii="仿宋" w:hAnsi="仿宋" w:eastAsia="仿宋" w:cs="仿宋"/>
                <w:color w:val="auto"/>
                <w:kern w:val="0"/>
                <w:sz w:val="21"/>
                <w:szCs w:val="21"/>
              </w:rPr>
            </w:pPr>
            <w:r>
              <w:rPr>
                <w:rFonts w:hint="eastAsia" w:ascii="宋体" w:hAnsi="宋体" w:eastAsia="宋体" w:cs="宋体"/>
                <w:b/>
                <w:bCs/>
                <w:color w:val="auto"/>
                <w:kern w:val="0"/>
                <w:sz w:val="24"/>
                <w:szCs w:val="24"/>
              </w:rPr>
              <w:t>*</w:t>
            </w:r>
            <w:r>
              <w:rPr>
                <w:rFonts w:hint="eastAsia" w:ascii="仿宋" w:hAnsi="仿宋" w:eastAsia="仿宋" w:cs="仿宋"/>
                <w:color w:val="auto"/>
                <w:kern w:val="0"/>
                <w:sz w:val="21"/>
                <w:szCs w:val="21"/>
              </w:rPr>
              <w:t>立柱、面板采用2.0mm加厚料。表面脱脂、去锈、酸洗、磷化、高温静电喷塑﹐美观、耐用。</w:t>
            </w:r>
          </w:p>
          <w:p>
            <w:pPr>
              <w:widowControl/>
              <w:jc w:val="center"/>
              <w:textAlignment w:val="center"/>
              <w:rPr>
                <w:rFonts w:ascii="仿宋" w:hAnsi="仿宋" w:eastAsia="仿宋" w:cs="仿宋"/>
                <w:color w:val="auto"/>
                <w:kern w:val="0"/>
                <w:szCs w:val="21"/>
              </w:rPr>
            </w:pP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套</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contextualSpacing/>
              <w:rPr>
                <w:rFonts w:ascii="仿宋" w:hAnsi="仿宋" w:eastAsia="仿宋" w:cs="仿宋"/>
                <w:color w:val="auto"/>
                <w:kern w:val="0"/>
                <w:szCs w:val="21"/>
              </w:rPr>
            </w:pPr>
            <w:r>
              <w:rPr>
                <w:rFonts w:hint="eastAsia" w:ascii="仿宋" w:hAnsi="仿宋" w:eastAsia="仿宋" w:cs="仿宋"/>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8</w:t>
            </w:r>
          </w:p>
        </w:tc>
        <w:tc>
          <w:tcPr>
            <w:tcW w:w="1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DVI连接线</w:t>
            </w:r>
          </w:p>
        </w:tc>
        <w:tc>
          <w:tcPr>
            <w:tcW w:w="42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8米长</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根</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contextualSpacing/>
              <w:rPr>
                <w:rFonts w:ascii="仿宋" w:hAnsi="仿宋" w:eastAsia="仿宋" w:cs="仿宋"/>
                <w:color w:val="auto"/>
                <w:kern w:val="0"/>
                <w:szCs w:val="21"/>
              </w:rPr>
            </w:pPr>
            <w:r>
              <w:rPr>
                <w:rFonts w:hint="eastAsia" w:ascii="仿宋" w:hAnsi="仿宋" w:eastAsia="仿宋" w:cs="仿宋"/>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9</w:t>
            </w:r>
          </w:p>
        </w:tc>
        <w:tc>
          <w:tcPr>
            <w:tcW w:w="1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视频综合平台</w:t>
            </w:r>
          </w:p>
        </w:tc>
        <w:tc>
          <w:tcPr>
            <w:tcW w:w="42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支持H265解码，≥3槽位机箱，≥4路DVI输入，≥16路HDMI输出，单电源+单主控板，奇数口支持4K输出；支持32路800W/128路1080P/256路720P/512路4CIF解码H.264/H.265解码；支持大屏拼接漫游。</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支持视频输入通道参数设置功能，可对单个视频输入通道进行分辨率、帧率、码率、亮度、对比度、饱和度、色调、去噪等参数设置，图像显示模式可设定标准、室内、室外、弱光等显示模式进行设置。</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支持虚拟云台控制功能，具备虚拟云台控制按键，可调整球机和云台的运行速度和方向，并且支持多采购人云台抢占、云台控制锁定功能。</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台</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contextualSpacing/>
              <w:rPr>
                <w:rFonts w:ascii="仿宋" w:hAnsi="仿宋" w:eastAsia="仿宋" w:cs="仿宋"/>
                <w:color w:val="auto"/>
                <w:kern w:val="0"/>
                <w:szCs w:val="21"/>
              </w:rPr>
            </w:pPr>
            <w:r>
              <w:rPr>
                <w:rFonts w:hint="eastAsia" w:ascii="仿宋" w:hAnsi="仿宋" w:eastAsia="仿宋" w:cs="仿宋"/>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10</w:t>
            </w:r>
          </w:p>
        </w:tc>
        <w:tc>
          <w:tcPr>
            <w:tcW w:w="1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POE接入交换机</w:t>
            </w:r>
          </w:p>
        </w:tc>
        <w:tc>
          <w:tcPr>
            <w:tcW w:w="42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仿宋"/>
                <w:color w:val="auto"/>
                <w:kern w:val="0"/>
                <w:szCs w:val="21"/>
              </w:rPr>
            </w:pPr>
            <w:r>
              <w:rPr>
                <w:rFonts w:hint="eastAsia" w:ascii="宋体" w:hAnsi="宋体" w:eastAsia="宋体" w:cs="宋体"/>
                <w:b/>
                <w:bCs/>
                <w:color w:val="auto"/>
                <w:kern w:val="0"/>
                <w:sz w:val="24"/>
                <w:szCs w:val="24"/>
              </w:rPr>
              <w:t>*</w:t>
            </w:r>
            <w:r>
              <w:rPr>
                <w:rFonts w:hint="eastAsia" w:ascii="仿宋" w:hAnsi="仿宋" w:eastAsia="仿宋" w:cs="仿宋"/>
                <w:color w:val="auto"/>
                <w:kern w:val="0"/>
                <w:szCs w:val="21"/>
              </w:rPr>
              <w:t>配置：可用百兆电口数≥9,POE电口数≥8</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交换容量≥1.8Gbps</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包转发率≥1.33Mpps</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支持802.3af/at PoE标准，支持8芯PoE供电技术,支持250米远距离POE技术</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支持关键业务保障</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台</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contextualSpacing/>
              <w:rPr>
                <w:rFonts w:ascii="仿宋" w:hAnsi="仿宋" w:eastAsia="仿宋" w:cs="仿宋"/>
                <w:color w:val="auto"/>
                <w:kern w:val="0"/>
                <w:szCs w:val="21"/>
              </w:rPr>
            </w:pPr>
            <w:r>
              <w:rPr>
                <w:rFonts w:hint="eastAsia" w:ascii="仿宋" w:hAnsi="仿宋" w:eastAsia="仿宋" w:cs="仿宋"/>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11</w:t>
            </w:r>
          </w:p>
        </w:tc>
        <w:tc>
          <w:tcPr>
            <w:tcW w:w="1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汇聚交换机</w:t>
            </w:r>
          </w:p>
        </w:tc>
        <w:tc>
          <w:tcPr>
            <w:tcW w:w="42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配置：可用千兆电接口数量≥24，非复用千兆光接口数量≥4</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管理口：支持独立的console管理串口</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交换容量≥256Gbps</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转发性能≥42Mpps</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MAC地址表≥8K，支持MAC地址学习数目限制</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台</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contextualSpacing/>
              <w:rPr>
                <w:rFonts w:ascii="仿宋" w:hAnsi="仿宋" w:eastAsia="仿宋" w:cs="仿宋"/>
                <w:color w:val="auto"/>
                <w:kern w:val="0"/>
                <w:szCs w:val="21"/>
              </w:rPr>
            </w:pPr>
            <w:r>
              <w:rPr>
                <w:rFonts w:hint="eastAsia" w:ascii="仿宋" w:hAnsi="仿宋" w:eastAsia="仿宋" w:cs="仿宋"/>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12</w:t>
            </w:r>
          </w:p>
        </w:tc>
        <w:tc>
          <w:tcPr>
            <w:tcW w:w="1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核心交换机</w:t>
            </w:r>
          </w:p>
        </w:tc>
        <w:tc>
          <w:tcPr>
            <w:tcW w:w="42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配置：可用千兆电接口数量≥48，万兆光接口数量≥4，QSFP+接口数量≥2</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管理口：支持独立的console管理串口和miniUSB</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交换容量≥598Gbps</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转发性能≥252Mpps</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MAC地址表≥32K，支持MAC地址学习数目限制</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台</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contextualSpacing/>
              <w:rPr>
                <w:rFonts w:ascii="仿宋" w:hAnsi="仿宋" w:eastAsia="仿宋" w:cs="仿宋"/>
                <w:color w:val="auto"/>
                <w:kern w:val="0"/>
                <w:szCs w:val="21"/>
              </w:rPr>
            </w:pPr>
            <w:r>
              <w:rPr>
                <w:rFonts w:hint="eastAsia" w:ascii="仿宋" w:hAnsi="仿宋" w:eastAsia="仿宋" w:cs="仿宋"/>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13</w:t>
            </w:r>
          </w:p>
        </w:tc>
        <w:tc>
          <w:tcPr>
            <w:tcW w:w="1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综合管理平台</w:t>
            </w:r>
          </w:p>
        </w:tc>
        <w:tc>
          <w:tcPr>
            <w:tcW w:w="42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支持自动调整机箱风扇转速，支持3级风扇转速；</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支持双电源，可插拔式安装主板、风扇、电源模块，并且风扇、电源模块可热插拔；</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支持实时查看CPU使用率、内存使用率、CPU温度、机箱温度、风扇转速；</w:t>
            </w:r>
            <w:r>
              <w:rPr>
                <w:rFonts w:hint="eastAsia" w:ascii="仿宋" w:hAnsi="仿宋" w:eastAsia="仿宋" w:cs="仿宋"/>
                <w:color w:val="auto"/>
                <w:kern w:val="0"/>
                <w:szCs w:val="21"/>
              </w:rPr>
              <w:br w:type="textWrapping"/>
            </w:r>
            <w:r>
              <w:rPr>
                <w:rFonts w:hint="eastAsia" w:ascii="宋体" w:hAnsi="宋体" w:eastAsia="宋体" w:cs="宋体"/>
                <w:b/>
                <w:bCs/>
                <w:color w:val="auto"/>
                <w:kern w:val="0"/>
                <w:sz w:val="24"/>
                <w:szCs w:val="24"/>
              </w:rPr>
              <w:t>*</w:t>
            </w:r>
            <w:r>
              <w:rPr>
                <w:rFonts w:hint="eastAsia" w:ascii="仿宋" w:hAnsi="仿宋" w:eastAsia="仿宋" w:cs="仿宋"/>
                <w:color w:val="auto"/>
                <w:kern w:val="0"/>
                <w:szCs w:val="21"/>
              </w:rPr>
              <w:t>支持管理2000路视频监控点；</w:t>
            </w:r>
            <w:r>
              <w:rPr>
                <w:rFonts w:hint="eastAsia" w:ascii="仿宋" w:hAnsi="仿宋" w:eastAsia="仿宋" w:cs="仿宋"/>
                <w:color w:val="auto"/>
                <w:kern w:val="0"/>
                <w:szCs w:val="21"/>
              </w:rPr>
              <w:br w:type="textWrapping"/>
            </w:r>
            <w:r>
              <w:rPr>
                <w:rFonts w:hint="eastAsia" w:ascii="宋体" w:hAnsi="宋体" w:eastAsia="宋体" w:cs="宋体"/>
                <w:b/>
                <w:bCs/>
                <w:color w:val="auto"/>
                <w:kern w:val="0"/>
                <w:sz w:val="24"/>
                <w:szCs w:val="24"/>
              </w:rPr>
              <w:t>*</w:t>
            </w:r>
            <w:r>
              <w:rPr>
                <w:rFonts w:hint="eastAsia" w:ascii="仿宋" w:hAnsi="仿宋" w:eastAsia="仿宋" w:cs="仿宋"/>
                <w:color w:val="auto"/>
                <w:kern w:val="0"/>
                <w:szCs w:val="21"/>
              </w:rPr>
              <w:t>支持管理200个车道；</w:t>
            </w:r>
            <w:r>
              <w:rPr>
                <w:rFonts w:hint="eastAsia" w:ascii="仿宋" w:hAnsi="仿宋" w:eastAsia="仿宋" w:cs="仿宋"/>
                <w:color w:val="auto"/>
                <w:kern w:val="0"/>
                <w:szCs w:val="21"/>
              </w:rPr>
              <w:br w:type="textWrapping"/>
            </w:r>
            <w:r>
              <w:rPr>
                <w:rFonts w:hint="eastAsia" w:ascii="宋体" w:hAnsi="宋体" w:eastAsia="宋体" w:cs="宋体"/>
                <w:b/>
                <w:bCs/>
                <w:color w:val="auto"/>
                <w:kern w:val="0"/>
                <w:sz w:val="24"/>
                <w:szCs w:val="24"/>
              </w:rPr>
              <w:t>*</w:t>
            </w:r>
            <w:r>
              <w:rPr>
                <w:rFonts w:hint="eastAsia" w:ascii="仿宋" w:hAnsi="仿宋" w:eastAsia="仿宋" w:cs="仿宋"/>
                <w:color w:val="auto"/>
                <w:kern w:val="0"/>
                <w:szCs w:val="21"/>
              </w:rPr>
              <w:t>支持256路IPC码流存储；</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支持平台上下级5级级联，支持本级20台服务设备堆叠管理；</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支持电子地图功能，支持多级地图配置、鹰眼图浏览、静态地图模式、离线GIS模式等；</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支持卡口级联，对卡口数据、图片等进行级联共享功能；</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支持备份功能；</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支持过车图片的下载、批量下载；</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4个千兆网口支持网卡负载均衡、多址、网络容错三种模式，支持多网段接入；</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多址方案下：码流输入768Mbps，转发性能 768Mbps；存储性能 768Mbps；转发和存储性能相互独立；绑定方案下：码流输入1536Mbps，转发性能 1536Mbps；存储性能 768Mbps；转发和存储性能相互独立；</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支持20个SATA接口；1个eSATA接口；</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支持10T容量的硬盘；</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支持RAID0、RAID1、RAID5、RAID6、RAID10、RAID50、RAID60、JBOD，可指定某一块硬盘为热备盘；可设置未进行读写操作的硬盘、Raid组自动处于休眠状态；</w:t>
            </w:r>
            <w:r>
              <w:rPr>
                <w:rFonts w:hint="eastAsia" w:ascii="仿宋" w:hAnsi="仿宋" w:eastAsia="仿宋" w:cs="仿宋"/>
                <w:color w:val="auto"/>
                <w:kern w:val="0"/>
                <w:szCs w:val="21"/>
              </w:rPr>
              <w:br w:type="textWrapping"/>
            </w:r>
            <w:r>
              <w:rPr>
                <w:rFonts w:hint="eastAsia" w:ascii="宋体" w:hAnsi="宋体" w:eastAsia="宋体" w:cs="宋体"/>
                <w:b/>
                <w:bCs/>
                <w:color w:val="auto"/>
                <w:kern w:val="0"/>
                <w:sz w:val="24"/>
                <w:szCs w:val="24"/>
              </w:rPr>
              <w:t>*</w:t>
            </w:r>
            <w:r>
              <w:rPr>
                <w:rFonts w:hint="eastAsia" w:ascii="仿宋" w:hAnsi="仿宋" w:eastAsia="仿宋" w:cs="仿宋"/>
                <w:color w:val="auto"/>
                <w:kern w:val="0"/>
                <w:szCs w:val="21"/>
              </w:rPr>
              <w:t>支持外接8台扩展柜进行录像码流存储；</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支持双机热备：当主机断网或异常时，备机替换主机进行预览、视频解码、报警、录像查询、录像下载等管理工作；</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支持16路H.265编码、1920X1080格式的视频录像同步回放；</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支持录像回放时缩略图浏览；</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支持对任一录像文件打标签，最多支持1024个标签；</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支持视频摘要回放，将不同时间段的多个目标叠加到同一背景中同时回放；</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4个以太网口、16路报警输入接口、8路报警输出接口、4个USB接口、1个RS232接口、1个RS485接口、1个KB接口、1个RESET按键；</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支持1个7寸液晶触控屏，2个miniSAS接口，冗余电源，接口扩展板（4个光口、32路报警输入接口、16路报警输出接口、8个RS485）；</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套</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contextualSpacing/>
              <w:rPr>
                <w:rFonts w:ascii="仿宋" w:hAnsi="仿宋" w:eastAsia="仿宋" w:cs="仿宋"/>
                <w:color w:val="auto"/>
                <w:kern w:val="0"/>
                <w:szCs w:val="21"/>
              </w:rPr>
            </w:pPr>
            <w:r>
              <w:rPr>
                <w:rFonts w:hint="eastAsia" w:ascii="仿宋" w:hAnsi="仿宋" w:eastAsia="仿宋" w:cs="仿宋"/>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14</w:t>
            </w:r>
          </w:p>
        </w:tc>
        <w:tc>
          <w:tcPr>
            <w:tcW w:w="1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一体化微型机房</w:t>
            </w:r>
          </w:p>
        </w:tc>
        <w:tc>
          <w:tcPr>
            <w:tcW w:w="42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widowControl/>
              <w:jc w:val="left"/>
              <w:textAlignment w:val="top"/>
              <w:rPr>
                <w:rFonts w:ascii="仿宋" w:hAnsi="仿宋" w:eastAsia="仿宋" w:cs="仿宋"/>
                <w:color w:val="auto"/>
                <w:kern w:val="0"/>
                <w:szCs w:val="21"/>
              </w:rPr>
            </w:pPr>
            <w:r>
              <w:rPr>
                <w:rFonts w:hint="eastAsia" w:ascii="仿宋" w:hAnsi="仿宋" w:eastAsia="仿宋" w:cs="仿宋"/>
                <w:color w:val="auto"/>
                <w:kern w:val="0"/>
                <w:szCs w:val="21"/>
              </w:rPr>
              <w:t>包括供配电系统、制冷系统、动环监控系统和机柜系统组成的一套完整的产品。</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全密封结构，防尘防噪，同时具备紧急通风系统，紧急情况下，通风系统打开，确保内部设备正常运行。</w:t>
            </w:r>
            <w:r>
              <w:rPr>
                <w:rFonts w:hint="eastAsia" w:ascii="仿宋" w:hAnsi="仿宋" w:eastAsia="仿宋" w:cs="仿宋"/>
                <w:color w:val="auto"/>
                <w:kern w:val="0"/>
                <w:szCs w:val="21"/>
              </w:rPr>
              <w:br w:type="textWrapping"/>
            </w:r>
            <w:r>
              <w:rPr>
                <w:rFonts w:hint="eastAsia" w:ascii="宋体" w:hAnsi="宋体" w:eastAsia="宋体" w:cs="宋体"/>
                <w:b/>
                <w:bCs/>
                <w:color w:val="auto"/>
                <w:kern w:val="0"/>
                <w:sz w:val="24"/>
                <w:szCs w:val="24"/>
              </w:rPr>
              <w:t>*</w:t>
            </w:r>
            <w:r>
              <w:rPr>
                <w:rFonts w:hint="eastAsia" w:ascii="仿宋" w:hAnsi="仿宋" w:eastAsia="仿宋" w:cs="仿宋"/>
                <w:color w:val="auto"/>
                <w:kern w:val="0"/>
                <w:szCs w:val="21"/>
              </w:rPr>
              <w:t>UPS容量为3KVA，放于19英寸标准机架。电池后备2小时。</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制冷系统特点：</w:t>
            </w:r>
            <w:r>
              <w:rPr>
                <w:rFonts w:hint="eastAsia" w:ascii="仿宋" w:hAnsi="仿宋" w:eastAsia="仿宋" w:cs="仿宋"/>
                <w:color w:val="auto"/>
                <w:kern w:val="0"/>
                <w:szCs w:val="21"/>
              </w:rPr>
              <w:br w:type="textWrapping"/>
            </w:r>
            <w:r>
              <w:rPr>
                <w:rFonts w:hint="eastAsia" w:ascii="宋体" w:hAnsi="宋体" w:eastAsia="宋体" w:cs="宋体"/>
                <w:b/>
                <w:bCs/>
                <w:color w:val="auto"/>
                <w:kern w:val="0"/>
                <w:sz w:val="24"/>
                <w:szCs w:val="24"/>
              </w:rPr>
              <w:t>*</w:t>
            </w:r>
            <w:r>
              <w:rPr>
                <w:rFonts w:hint="eastAsia" w:ascii="仿宋" w:hAnsi="仿宋" w:eastAsia="仿宋" w:cs="仿宋"/>
                <w:color w:val="auto"/>
                <w:kern w:val="0"/>
                <w:szCs w:val="21"/>
              </w:rPr>
              <w:t>制冷机组采用风冷型，前送风后回风。单台制冷机组的制冷量为5.5KW。精密空调的控制系统具备来电自启动功能。</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控制系统具备经济运行模式，可在采购人设定的时间段内开启或关闭制冷系统。</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室外机组风机采用调速控制，能根据冷凝器管道内部压力变化自动调节冷凝风机的运转速度，实现节能运行。</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监控系统特点：</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1U机架式监控主机，安装在19寸服务器机柜中。</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配有10英寸高清触摸屏,内置温湿度传感器、烟感，并配有漏水检测，能对制冷系统漏水情况进行检测。</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监控软件实现对UPS系统、精密空调系统、温湿度、漏水等情况进行监控，对制冷系统，开关机、温湿度等参数设定，也可对电池数量、电池容量和电池组数进行设定。</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具备告警管理。</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按照周、月、年等统计方式对PUE、能耗和告警信息进行报表统计。</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套</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contextualSpacing/>
              <w:rPr>
                <w:rFonts w:ascii="仿宋" w:hAnsi="仿宋" w:eastAsia="仿宋" w:cs="仿宋"/>
                <w:color w:val="auto"/>
                <w:kern w:val="0"/>
                <w:szCs w:val="21"/>
              </w:rPr>
            </w:pPr>
            <w:r>
              <w:rPr>
                <w:rFonts w:hint="eastAsia" w:ascii="仿宋" w:hAnsi="仿宋" w:eastAsia="仿宋" w:cs="仿宋"/>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15</w:t>
            </w:r>
          </w:p>
        </w:tc>
        <w:tc>
          <w:tcPr>
            <w:tcW w:w="1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网线等辅材</w:t>
            </w:r>
          </w:p>
        </w:tc>
        <w:tc>
          <w:tcPr>
            <w:tcW w:w="42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top"/>
              <w:rPr>
                <w:rFonts w:ascii="仿宋" w:hAnsi="仿宋" w:eastAsia="仿宋" w:cs="仿宋"/>
                <w:color w:val="auto"/>
                <w:kern w:val="0"/>
                <w:szCs w:val="21"/>
              </w:rPr>
            </w:pPr>
            <w:r>
              <w:rPr>
                <w:rFonts w:hint="eastAsia" w:ascii="仿宋" w:hAnsi="仿宋" w:eastAsia="仿宋" w:cs="仿宋"/>
                <w:color w:val="auto"/>
                <w:kern w:val="0"/>
                <w:szCs w:val="21"/>
              </w:rPr>
              <w:t>光纤、网线、电源线等</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批</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contextualSpacing/>
              <w:jc w:val="center"/>
              <w:rPr>
                <w:rFonts w:ascii="仿宋" w:hAnsi="仿宋" w:eastAsia="仿宋" w:cs="仿宋"/>
                <w:color w:val="auto"/>
                <w:kern w:val="0"/>
                <w:szCs w:val="21"/>
              </w:rPr>
            </w:pPr>
            <w:r>
              <w:rPr>
                <w:rFonts w:hint="eastAsia" w:ascii="仿宋" w:hAnsi="仿宋" w:eastAsia="仿宋" w:cs="仿宋"/>
                <w:color w:val="auto"/>
                <w:kern w:val="0"/>
                <w:szCs w:val="21"/>
              </w:rPr>
              <w:t>否</w:t>
            </w:r>
          </w:p>
        </w:tc>
      </w:tr>
    </w:tbl>
    <w:p>
      <w:pPr>
        <w:snapToGrid w:val="0"/>
        <w:ind w:firstLine="640" w:firstLineChars="200"/>
        <w:rPr>
          <w:rFonts w:ascii="仿宋" w:hAnsi="仿宋" w:eastAsia="仿宋" w:cs="仿宋"/>
          <w:color w:val="auto"/>
          <w:sz w:val="32"/>
          <w:szCs w:val="32"/>
          <w:lang w:val="zh-CN"/>
        </w:rPr>
      </w:pPr>
    </w:p>
    <w:p>
      <w:pPr>
        <w:snapToGrid w:val="0"/>
        <w:ind w:left="638" w:leftChars="304"/>
        <w:rPr>
          <w:rFonts w:ascii="仿宋" w:hAnsi="仿宋" w:eastAsia="仿宋" w:cs="仿宋"/>
          <w:color w:val="auto"/>
          <w:sz w:val="32"/>
          <w:szCs w:val="32"/>
          <w:lang w:val="zh-CN"/>
        </w:rPr>
      </w:pPr>
      <w:r>
        <w:rPr>
          <w:rFonts w:hint="eastAsia" w:ascii="仿宋" w:hAnsi="仿宋" w:eastAsia="仿宋" w:cs="仿宋"/>
          <w:color w:val="auto"/>
          <w:sz w:val="32"/>
          <w:szCs w:val="32"/>
          <w:lang w:val="zh-CN"/>
        </w:rPr>
        <w:t>（三）服务标准、期限、效率等要求</w:t>
      </w:r>
      <w:r>
        <w:rPr>
          <w:rFonts w:hint="eastAsia" w:ascii="仿宋" w:hAnsi="仿宋" w:eastAsia="仿宋" w:cs="仿宋"/>
          <w:color w:val="auto"/>
          <w:sz w:val="32"/>
          <w:szCs w:val="32"/>
          <w:lang w:val="zh-CN"/>
        </w:rPr>
        <w:br w:type="textWrapping"/>
      </w:r>
      <w:bookmarkStart w:id="5" w:name="_Toc1921"/>
      <w:bookmarkStart w:id="6" w:name="_Toc325558132"/>
      <w:bookmarkStart w:id="7" w:name="_Toc1782"/>
      <w:bookmarkStart w:id="8" w:name="_Toc491093544"/>
      <w:bookmarkStart w:id="9" w:name="_Toc137651734"/>
      <w:bookmarkStart w:id="10" w:name="_Toc302206707"/>
      <w:bookmarkStart w:id="11" w:name="_Toc179456563"/>
      <w:bookmarkStart w:id="12" w:name="_Toc482699225"/>
      <w:bookmarkStart w:id="13" w:name="_Toc418003059"/>
      <w:r>
        <w:rPr>
          <w:rFonts w:hint="eastAsia" w:ascii="仿宋" w:hAnsi="仿宋" w:eastAsia="仿宋" w:cs="仿宋"/>
          <w:color w:val="auto"/>
          <w:sz w:val="32"/>
          <w:szCs w:val="32"/>
          <w:lang w:val="zh-CN"/>
        </w:rPr>
        <w:t>1、培训要求</w:t>
      </w:r>
      <w:bookmarkEnd w:id="5"/>
      <w:bookmarkEnd w:id="6"/>
      <w:bookmarkEnd w:id="7"/>
      <w:bookmarkEnd w:id="8"/>
      <w:bookmarkEnd w:id="9"/>
      <w:bookmarkEnd w:id="10"/>
      <w:bookmarkEnd w:id="11"/>
      <w:bookmarkEnd w:id="12"/>
      <w:bookmarkEnd w:id="13"/>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1.1、中标人须对操作维护人员提供系统培训。</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1.2、中标人保证提供一到两名有经验的培训教师，配合采购人的集中培训；</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1.3、中标人承诺接受培训的人员在培训后，能够独立地对系统进行操作使用、管理、维护；</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1.4、培训内容包括系统产品的使用操作、维护和工作原理。产品培训至少包括系统介绍、安装调测、升级方法、操作维护方法、系统配置和升级等方面内容；</w:t>
      </w:r>
    </w:p>
    <w:p>
      <w:pPr>
        <w:snapToGrid w:val="0"/>
        <w:ind w:left="638" w:leftChars="304"/>
        <w:rPr>
          <w:rFonts w:ascii="仿宋" w:hAnsi="仿宋" w:eastAsia="仿宋" w:cs="仿宋"/>
          <w:color w:val="auto"/>
          <w:sz w:val="32"/>
          <w:szCs w:val="32"/>
          <w:lang w:val="zh-CN"/>
        </w:rPr>
      </w:pPr>
      <w:r>
        <w:rPr>
          <w:rFonts w:hint="eastAsia" w:ascii="仿宋" w:hAnsi="仿宋" w:eastAsia="仿宋" w:cs="仿宋"/>
          <w:color w:val="auto"/>
          <w:sz w:val="32"/>
          <w:szCs w:val="32"/>
          <w:lang w:val="zh-CN"/>
        </w:rPr>
        <w:t>（四）采购标的的其他技术、服务等要求</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zh-CN"/>
        </w:rPr>
        <w:t>1、售后服务要求</w:t>
      </w:r>
    </w:p>
    <w:p>
      <w:pPr>
        <w:snapToGrid w:val="0"/>
        <w:ind w:left="638" w:leftChars="304"/>
        <w:rPr>
          <w:rFonts w:ascii="仿宋" w:hAnsi="仿宋" w:eastAsia="仿宋" w:cs="仿宋"/>
          <w:color w:val="auto"/>
          <w:sz w:val="32"/>
          <w:szCs w:val="32"/>
          <w:lang w:val="zh-CN"/>
        </w:rPr>
      </w:pPr>
      <w:r>
        <w:rPr>
          <w:rFonts w:hint="eastAsia" w:ascii="仿宋" w:hAnsi="仿宋" w:eastAsia="仿宋" w:cs="仿宋"/>
          <w:color w:val="auto"/>
          <w:sz w:val="32"/>
          <w:szCs w:val="32"/>
          <w:lang w:val="zh-CN"/>
        </w:rPr>
        <w:t>1.1、所有设备及配件质量保证期为二年。</w:t>
      </w:r>
      <w:r>
        <w:rPr>
          <w:rFonts w:hint="eastAsia" w:ascii="仿宋" w:hAnsi="仿宋" w:eastAsia="仿宋" w:cs="仿宋"/>
          <w:color w:val="auto"/>
          <w:sz w:val="32"/>
          <w:szCs w:val="32"/>
        </w:rPr>
        <w:t>质保期内</w:t>
      </w:r>
      <w:r>
        <w:rPr>
          <w:rFonts w:hint="eastAsia" w:ascii="仿宋" w:hAnsi="仿宋" w:eastAsia="仿宋" w:cs="仿宋"/>
          <w:color w:val="auto"/>
          <w:sz w:val="32"/>
          <w:szCs w:val="32"/>
          <w:lang w:val="zh-CN"/>
        </w:rPr>
        <w:t>非人为因素情况下，一切维修换件保养费用由卖方承担。</w:t>
      </w:r>
    </w:p>
    <w:p>
      <w:pPr>
        <w:snapToGrid w:val="0"/>
        <w:ind w:left="638" w:leftChars="304"/>
        <w:rPr>
          <w:rFonts w:ascii="仿宋" w:hAnsi="仿宋" w:eastAsia="仿宋" w:cs="仿宋"/>
          <w:color w:val="auto"/>
          <w:sz w:val="32"/>
          <w:szCs w:val="32"/>
          <w:lang w:val="zh-CN"/>
        </w:rPr>
      </w:pPr>
      <w:r>
        <w:rPr>
          <w:rFonts w:hint="eastAsia" w:ascii="仿宋" w:hAnsi="仿宋" w:eastAsia="仿宋" w:cs="仿宋"/>
          <w:color w:val="auto"/>
          <w:sz w:val="32"/>
          <w:szCs w:val="32"/>
          <w:lang w:val="zh-CN"/>
        </w:rPr>
        <w:t>1.2、设备故障报修的响应时间应不大于4小时；</w:t>
      </w:r>
    </w:p>
    <w:p>
      <w:pPr>
        <w:snapToGrid w:val="0"/>
        <w:ind w:left="638" w:leftChars="304"/>
        <w:rPr>
          <w:rFonts w:ascii="仿宋" w:hAnsi="仿宋" w:eastAsia="仿宋" w:cs="仿宋"/>
          <w:color w:val="auto"/>
          <w:sz w:val="32"/>
          <w:szCs w:val="32"/>
          <w:lang w:val="zh-CN"/>
        </w:rPr>
      </w:pPr>
      <w:r>
        <w:rPr>
          <w:rFonts w:hint="eastAsia" w:ascii="仿宋" w:hAnsi="仿宋" w:eastAsia="仿宋" w:cs="仿宋"/>
          <w:color w:val="auto"/>
          <w:sz w:val="32"/>
          <w:szCs w:val="32"/>
          <w:lang w:val="zh-CN"/>
        </w:rPr>
        <w:t>1.3、如果设备故障在检修8小时后仍无法排除，供应商应在48小时内提供不低于故障设备规格型号档次的备用设备供采购人使用，直至故障设备修复；</w:t>
      </w:r>
    </w:p>
    <w:p>
      <w:pPr>
        <w:snapToGrid w:val="0"/>
        <w:ind w:left="638" w:leftChars="304"/>
        <w:rPr>
          <w:rFonts w:ascii="仿宋" w:hAnsi="仿宋" w:eastAsia="仿宋" w:cs="仿宋"/>
          <w:color w:val="auto"/>
          <w:sz w:val="32"/>
          <w:szCs w:val="32"/>
          <w:lang w:val="zh-CN"/>
        </w:rPr>
      </w:pPr>
      <w:r>
        <w:rPr>
          <w:rFonts w:hint="eastAsia" w:ascii="仿宋" w:hAnsi="仿宋" w:eastAsia="仿宋" w:cs="仿宋"/>
          <w:color w:val="auto"/>
          <w:sz w:val="32"/>
          <w:szCs w:val="32"/>
          <w:lang w:val="zh-CN"/>
        </w:rPr>
        <w:t>1.4、对发现的软件故障和存在的缺陷，中标人应及时修正，并在最短的时间内为采购人提供免费的系统升级服务；</w:t>
      </w:r>
    </w:p>
    <w:p>
      <w:pPr>
        <w:snapToGrid w:val="0"/>
        <w:ind w:left="638" w:leftChars="304"/>
        <w:rPr>
          <w:rFonts w:ascii="仿宋" w:hAnsi="仿宋" w:eastAsia="仿宋" w:cs="仿宋"/>
          <w:color w:val="auto"/>
          <w:sz w:val="32"/>
          <w:szCs w:val="32"/>
          <w:lang w:val="zh-CN"/>
        </w:rPr>
      </w:pPr>
      <w:r>
        <w:rPr>
          <w:rFonts w:hint="eastAsia" w:ascii="仿宋" w:hAnsi="仿宋" w:eastAsia="仿宋" w:cs="仿宋"/>
          <w:color w:val="auto"/>
          <w:sz w:val="32"/>
          <w:szCs w:val="32"/>
          <w:lang w:val="zh-CN"/>
        </w:rPr>
        <w:t>1.5、供应商应提供自己的售后服务机构的详细资料。</w:t>
      </w:r>
    </w:p>
    <w:p>
      <w:pPr>
        <w:snapToGrid w:val="0"/>
        <w:ind w:left="638" w:leftChars="304"/>
        <w:rPr>
          <w:rFonts w:ascii="仿宋" w:hAnsi="仿宋" w:eastAsia="仿宋" w:cs="仿宋"/>
          <w:color w:val="auto"/>
          <w:sz w:val="32"/>
          <w:szCs w:val="32"/>
          <w:lang w:val="zh-CN"/>
        </w:rPr>
      </w:pPr>
      <w:r>
        <w:rPr>
          <w:rFonts w:hint="eastAsia" w:ascii="仿宋" w:hAnsi="仿宋" w:eastAsia="仿宋" w:cs="仿宋"/>
          <w:color w:val="auto"/>
          <w:sz w:val="32"/>
          <w:szCs w:val="32"/>
          <w:lang w:val="zh-CN"/>
        </w:rPr>
        <w:t>（五）验收标准</w:t>
      </w:r>
    </w:p>
    <w:p>
      <w:pPr>
        <w:snapToGrid w:val="0"/>
        <w:ind w:left="638" w:leftChars="304"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tLeast"/>
        <w:ind w:firstLine="643" w:firstLineChars="200"/>
        <w:jc w:val="left"/>
        <w:rPr>
          <w:rFonts w:ascii="微软雅黑" w:hAnsi="微软雅黑" w:eastAsia="微软雅黑" w:cs="微软雅黑"/>
          <w:color w:val="auto"/>
          <w:sz w:val="27"/>
          <w:szCs w:val="27"/>
        </w:rPr>
      </w:pPr>
      <w:r>
        <w:rPr>
          <w:rFonts w:hint="eastAsia" w:ascii="黑体" w:hAnsi="黑体" w:eastAsia="黑体" w:cs="黑体"/>
          <w:b/>
          <w:bCs/>
          <w:color w:val="auto"/>
          <w:sz w:val="32"/>
          <w:szCs w:val="32"/>
        </w:rPr>
        <w:t>五、评标方法和评标标准</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rPr>
        <w:t>（一）评标方法：综合评分法</w:t>
      </w:r>
    </w:p>
    <w:p>
      <w:pPr>
        <w:pStyle w:val="7"/>
        <w:ind w:left="0" w:leftChars="0" w:right="63" w:firstLine="640" w:firstLineChars="2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sz w:val="32"/>
          <w:szCs w:val="32"/>
        </w:rPr>
        <w:t>（二）综合评分法</w:t>
      </w:r>
      <w:r>
        <w:rPr>
          <w:rFonts w:hint="eastAsia" w:ascii="仿宋" w:hAnsi="仿宋" w:eastAsia="仿宋" w:cs="仿宋"/>
          <w:color w:val="auto"/>
          <w:kern w:val="0"/>
          <w:sz w:val="30"/>
          <w:szCs w:val="30"/>
          <w:shd w:val="clear" w:color="auto" w:fill="FFFFFF"/>
        </w:rPr>
        <w:t>评标标准：</w:t>
      </w:r>
    </w:p>
    <w:tbl>
      <w:tblPr>
        <w:tblStyle w:val="18"/>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分值构成</w:t>
            </w:r>
          </w:p>
          <w:p>
            <w:pPr>
              <w:spacing w:line="360" w:lineRule="auto"/>
              <w:jc w:val="center"/>
              <w:rPr>
                <w:rFonts w:asciiTheme="minorEastAsia" w:hAnsiTheme="minorEastAsia"/>
                <w:color w:val="auto"/>
                <w:szCs w:val="21"/>
              </w:rPr>
            </w:pPr>
            <w:r>
              <w:rPr>
                <w:rFonts w:hint="eastAsia" w:asciiTheme="minorEastAsia" w:hAnsiTheme="minorEastAsia"/>
                <w:color w:val="auto"/>
                <w:szCs w:val="21"/>
              </w:rPr>
              <w:t>(总分100分)</w:t>
            </w:r>
          </w:p>
        </w:tc>
        <w:tc>
          <w:tcPr>
            <w:tcW w:w="7204" w:type="dxa"/>
            <w:gridSpan w:val="2"/>
            <w:vAlign w:val="center"/>
          </w:tcPr>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价格分值：</w:t>
            </w:r>
            <w:r>
              <w:rPr>
                <w:rFonts w:hint="eastAsia" w:asciiTheme="minorEastAsia" w:hAnsiTheme="minorEastAsia"/>
                <w:color w:val="auto"/>
                <w:szCs w:val="21"/>
                <w:u w:val="single"/>
              </w:rPr>
              <w:t xml:space="preserve">    50  </w:t>
            </w:r>
            <w:r>
              <w:rPr>
                <w:rFonts w:hint="eastAsia" w:asciiTheme="minorEastAsia" w:hAnsiTheme="minorEastAsia"/>
                <w:color w:val="auto"/>
                <w:szCs w:val="21"/>
              </w:rPr>
              <w:t>分</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商务部分：</w:t>
            </w:r>
            <w:r>
              <w:rPr>
                <w:rFonts w:hint="eastAsia" w:asciiTheme="minorEastAsia" w:hAnsiTheme="minorEastAsia"/>
                <w:color w:val="auto"/>
                <w:szCs w:val="21"/>
                <w:u w:val="single"/>
              </w:rPr>
              <w:t xml:space="preserve">    22  </w:t>
            </w:r>
            <w:r>
              <w:rPr>
                <w:rFonts w:hint="eastAsia" w:asciiTheme="minorEastAsia" w:hAnsiTheme="minorEastAsia"/>
                <w:color w:val="auto"/>
                <w:szCs w:val="21"/>
              </w:rPr>
              <w:t>分</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技术部分：</w:t>
            </w:r>
            <w:r>
              <w:rPr>
                <w:rFonts w:hint="eastAsia" w:asciiTheme="minorEastAsia" w:hAnsiTheme="minorEastAsia"/>
                <w:color w:val="auto"/>
                <w:szCs w:val="21"/>
                <w:u w:val="single"/>
              </w:rPr>
              <w:t xml:space="preserve">    28  </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价格部分（满分</w:t>
            </w:r>
            <w:r>
              <w:rPr>
                <w:rFonts w:hint="eastAsia" w:asciiTheme="minorEastAsia" w:hAnsiTheme="minorEastAsia"/>
                <w:b/>
                <w:color w:val="auto"/>
                <w:szCs w:val="21"/>
                <w:u w:val="single"/>
              </w:rPr>
              <w:t xml:space="preserve"> 50 </w:t>
            </w:r>
            <w:r>
              <w:rPr>
                <w:rFonts w:hint="eastAsia" w:asciiTheme="minorEastAsia" w:hAnsiTheme="minorEastAsia"/>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评分因素</w:t>
            </w:r>
          </w:p>
        </w:tc>
        <w:tc>
          <w:tcPr>
            <w:tcW w:w="6237" w:type="dxa"/>
            <w:tcBorders>
              <w:top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评标标准</w:t>
            </w:r>
          </w:p>
        </w:tc>
        <w:tc>
          <w:tcPr>
            <w:tcW w:w="967" w:type="dxa"/>
            <w:tcBorders>
              <w:top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投标报价</w:t>
            </w:r>
          </w:p>
          <w:p>
            <w:pPr>
              <w:spacing w:line="360" w:lineRule="auto"/>
              <w:jc w:val="center"/>
              <w:rPr>
                <w:rFonts w:asciiTheme="minorEastAsia" w:hAnsiTheme="minorEastAsia"/>
                <w:color w:val="auto"/>
                <w:szCs w:val="21"/>
              </w:rPr>
            </w:pPr>
            <w:r>
              <w:rPr>
                <w:rFonts w:hint="eastAsia" w:asciiTheme="minorEastAsia" w:hAnsiTheme="minorEastAsia"/>
                <w:color w:val="auto"/>
                <w:szCs w:val="21"/>
              </w:rPr>
              <w:t>评分标准</w:t>
            </w:r>
          </w:p>
        </w:tc>
        <w:tc>
          <w:tcPr>
            <w:tcW w:w="6237" w:type="dxa"/>
            <w:tcBorders>
              <w:top w:val="single" w:color="auto" w:sz="4" w:space="0"/>
            </w:tcBorders>
            <w:vAlign w:val="center"/>
          </w:tcPr>
          <w:p>
            <w:pPr>
              <w:spacing w:line="360" w:lineRule="auto"/>
              <w:rPr>
                <w:rFonts w:asciiTheme="minorEastAsia" w:hAnsiTheme="minorEastAsia"/>
                <w:color w:val="auto"/>
                <w:szCs w:val="21"/>
              </w:rPr>
            </w:pPr>
            <w:r>
              <w:rPr>
                <w:rFonts w:hint="eastAsia" w:asciiTheme="minorEastAsia" w:hAnsiTheme="minorEastAsia"/>
                <w:color w:val="auto"/>
                <w:szCs w:val="21"/>
              </w:rPr>
              <w:t>评标基准价：满足招标文件要求的有效投标报价中，最低的投标报价为评标基准价。</w:t>
            </w:r>
          </w:p>
          <w:p>
            <w:pPr>
              <w:spacing w:line="360" w:lineRule="auto"/>
              <w:rPr>
                <w:rFonts w:asciiTheme="minorEastAsia" w:hAnsiTheme="minorEastAsia"/>
                <w:color w:val="auto"/>
                <w:szCs w:val="21"/>
              </w:rPr>
            </w:pPr>
            <w:r>
              <w:rPr>
                <w:rFonts w:hint="eastAsia" w:asciiTheme="minorEastAsia" w:hAnsiTheme="minorEastAsia"/>
                <w:color w:val="auto"/>
                <w:szCs w:val="21"/>
              </w:rPr>
              <w:t>投标报价得分=（评标基准价/投标报价）×</w:t>
            </w:r>
            <w:r>
              <w:rPr>
                <w:rFonts w:hint="eastAsia" w:asciiTheme="minorEastAsia" w:hAnsiTheme="minorEastAsia"/>
                <w:color w:val="auto"/>
                <w:szCs w:val="21"/>
                <w:u w:val="single"/>
              </w:rPr>
              <w:t xml:space="preserve"> 50  </w:t>
            </w:r>
          </w:p>
        </w:tc>
        <w:tc>
          <w:tcPr>
            <w:tcW w:w="967" w:type="dxa"/>
            <w:tcBorders>
              <w:top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u w:val="single"/>
              </w:rPr>
              <w:t xml:space="preserve"> 50 </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color w:val="auto"/>
                <w:szCs w:val="21"/>
              </w:rPr>
            </w:pPr>
            <w:r>
              <w:rPr>
                <w:rFonts w:hint="eastAsia" w:asciiTheme="minorEastAsia" w:hAnsiTheme="minorEastAsia"/>
                <w:b/>
                <w:color w:val="auto"/>
                <w:szCs w:val="21"/>
              </w:rPr>
              <w:t>商务部分（满分</w:t>
            </w:r>
            <w:r>
              <w:rPr>
                <w:rFonts w:hint="eastAsia" w:asciiTheme="minorEastAsia" w:hAnsiTheme="minorEastAsia"/>
                <w:b/>
                <w:color w:val="auto"/>
                <w:szCs w:val="21"/>
                <w:u w:val="single"/>
              </w:rPr>
              <w:t xml:space="preserve"> 22  </w:t>
            </w:r>
            <w:r>
              <w:rPr>
                <w:rFonts w:hint="eastAsia" w:asciiTheme="minorEastAsia" w:hAnsiTheme="minorEastAsia"/>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评分因素</w:t>
            </w:r>
          </w:p>
        </w:tc>
        <w:tc>
          <w:tcPr>
            <w:tcW w:w="623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评标标准</w:t>
            </w:r>
          </w:p>
        </w:tc>
        <w:tc>
          <w:tcPr>
            <w:tcW w:w="96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7" w:hRule="atLeast"/>
          <w:jc w:val="center"/>
        </w:trPr>
        <w:tc>
          <w:tcPr>
            <w:tcW w:w="1762" w:type="dxa"/>
            <w:vAlign w:val="center"/>
          </w:tcPr>
          <w:p>
            <w:pPr>
              <w:spacing w:line="360" w:lineRule="exact"/>
              <w:jc w:val="center"/>
              <w:rPr>
                <w:rFonts w:asciiTheme="minorEastAsia" w:hAnsiTheme="minorEastAsia"/>
                <w:color w:val="auto"/>
                <w:szCs w:val="21"/>
              </w:rPr>
            </w:pPr>
            <w:r>
              <w:rPr>
                <w:rFonts w:hint="eastAsia" w:asciiTheme="minorEastAsia" w:hAnsiTheme="minorEastAsia"/>
                <w:color w:val="auto"/>
                <w:szCs w:val="21"/>
              </w:rPr>
              <w:t>信誉</w:t>
            </w:r>
          </w:p>
        </w:tc>
        <w:tc>
          <w:tcPr>
            <w:tcW w:w="6237" w:type="dxa"/>
            <w:vAlign w:val="center"/>
          </w:tcPr>
          <w:p>
            <w:pPr>
              <w:spacing w:line="360" w:lineRule="auto"/>
              <w:rPr>
                <w:rFonts w:asciiTheme="minorEastAsia" w:hAnsiTheme="minorEastAsia"/>
                <w:color w:val="auto"/>
                <w:szCs w:val="21"/>
              </w:rPr>
            </w:pPr>
            <w:r>
              <w:rPr>
                <w:rFonts w:hint="eastAsia" w:asciiTheme="minorEastAsia" w:hAnsiTheme="minorEastAsia"/>
                <w:color w:val="auto"/>
                <w:szCs w:val="21"/>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cs="Times New Roman" w:asciiTheme="minorEastAsia" w:hAnsiTheme="minorEastAsia"/>
                <w:b/>
                <w:i/>
                <w:color w:val="auto"/>
                <w:kern w:val="0"/>
                <w:szCs w:val="21"/>
              </w:rPr>
            </w:pPr>
            <w:r>
              <w:rPr>
                <w:rFonts w:hint="eastAsia" w:asciiTheme="minorEastAsia" w:hAnsiTheme="minorEastAsia"/>
                <w:color w:val="auto"/>
                <w:szCs w:val="21"/>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ascii="仿宋" w:hAnsi="仿宋" w:eastAsia="仿宋"/>
                <w:color w:val="auto"/>
                <w:szCs w:val="21"/>
              </w:rPr>
            </w:pPr>
            <w:r>
              <w:rPr>
                <w:rFonts w:hint="eastAsia" w:ascii="宋体" w:hAnsi="宋体"/>
                <w:color w:val="auto"/>
                <w:szCs w:val="21"/>
              </w:rPr>
              <w:t>2</w:t>
            </w:r>
            <w:r>
              <w:rPr>
                <w:rFonts w:hint="eastAsia" w:ascii="宋体" w:hAnsi="宋体"/>
                <w:color w:val="auto"/>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color w:val="auto"/>
                <w:szCs w:val="21"/>
              </w:rPr>
            </w:pPr>
            <w:r>
              <w:rPr>
                <w:rFonts w:hint="eastAsia" w:asciiTheme="minorEastAsia" w:hAnsiTheme="minorEastAsia"/>
                <w:color w:val="auto"/>
                <w:szCs w:val="21"/>
              </w:rPr>
              <w:t>节约能源、保护环境政策加分</w:t>
            </w:r>
          </w:p>
        </w:tc>
        <w:tc>
          <w:tcPr>
            <w:tcW w:w="6237" w:type="dxa"/>
            <w:vAlign w:val="center"/>
          </w:tcPr>
          <w:p>
            <w:pPr>
              <w:spacing w:line="360" w:lineRule="auto"/>
              <w:jc w:val="left"/>
              <w:rPr>
                <w:rFonts w:ascii="宋体" w:hAnsi="宋体"/>
                <w:color w:val="auto"/>
                <w:szCs w:val="21"/>
                <w:lang w:val="en-GB"/>
              </w:rPr>
            </w:pPr>
            <w:r>
              <w:rPr>
                <w:rFonts w:hint="eastAsia" w:ascii="宋体" w:hAnsi="宋体"/>
                <w:color w:val="auto"/>
                <w:szCs w:val="21"/>
                <w:lang w:val="en-GB"/>
              </w:rPr>
              <w:t>1、除政府强制采购的节能产品外，投标人所投其他产品属于“节能产品政府采购清单”优先采购产品，</w:t>
            </w:r>
            <w:r>
              <w:rPr>
                <w:rFonts w:hint="eastAsia" w:cs="仿宋_GB2312" w:asciiTheme="minorEastAsia" w:hAnsiTheme="minorEastAsia"/>
                <w:color w:val="auto"/>
                <w:szCs w:val="21"/>
                <w:lang w:val="zh-CN"/>
              </w:rPr>
              <w:t>投标文件中须提供最新一期《节能产品政府采购清</w:t>
            </w:r>
            <w:r>
              <w:rPr>
                <w:rFonts w:hint="eastAsia" w:ascii="宋体" w:hAnsi="宋体"/>
                <w:color w:val="auto"/>
                <w:szCs w:val="21"/>
                <w:lang w:val="zh-CN"/>
              </w:rPr>
              <w:t>单》中产品所在页并加盖投标人公章的原件扫描件（或图片）。</w:t>
            </w:r>
            <w:r>
              <w:rPr>
                <w:rFonts w:hint="eastAsia" w:ascii="宋体" w:hAnsi="宋体"/>
                <w:color w:val="auto"/>
                <w:szCs w:val="21"/>
                <w:lang w:val="en-GB"/>
              </w:rPr>
              <w:t>每项0.5分，满分1分。</w:t>
            </w:r>
          </w:p>
          <w:p>
            <w:pPr>
              <w:spacing w:line="360" w:lineRule="auto"/>
              <w:jc w:val="left"/>
              <w:rPr>
                <w:rFonts w:ascii="宋体" w:hAnsi="宋体"/>
                <w:color w:val="auto"/>
                <w:szCs w:val="21"/>
                <w:lang w:val="en-GB"/>
              </w:rPr>
            </w:pPr>
            <w:r>
              <w:rPr>
                <w:rFonts w:hint="eastAsia" w:ascii="宋体" w:hAnsi="宋体"/>
                <w:color w:val="auto"/>
                <w:szCs w:val="21"/>
                <w:lang w:val="en-GB"/>
              </w:rPr>
              <w:t>2、投标人所投产品属于“环境标志产品政府采购清单”内产品，</w:t>
            </w:r>
            <w:r>
              <w:rPr>
                <w:rFonts w:hint="eastAsia" w:ascii="宋体" w:hAnsi="宋体"/>
                <w:color w:val="auto"/>
                <w:szCs w:val="21"/>
                <w:lang w:val="zh-CN"/>
              </w:rPr>
              <w:t>投标文件中须提供最新一期《环保产品政府采购清单》中产品所在页并加盖投标人公章的原件扫描件（或图片）。</w:t>
            </w:r>
            <w:r>
              <w:rPr>
                <w:rFonts w:hint="eastAsia" w:ascii="宋体" w:hAnsi="宋体"/>
                <w:color w:val="auto"/>
                <w:szCs w:val="21"/>
                <w:lang w:val="en-GB"/>
              </w:rPr>
              <w:t>每项0.5分，满分1分。</w:t>
            </w:r>
          </w:p>
          <w:p>
            <w:pPr>
              <w:spacing w:line="360" w:lineRule="auto"/>
              <w:rPr>
                <w:rFonts w:ascii="宋体" w:hAnsi="宋体"/>
                <w:color w:val="auto"/>
                <w:szCs w:val="21"/>
                <w:lang w:val="en-GB"/>
              </w:rPr>
            </w:pPr>
            <w:r>
              <w:rPr>
                <w:rFonts w:hint="eastAsia" w:ascii="宋体" w:hAnsi="宋体"/>
                <w:bCs/>
                <w:color w:val="auto"/>
                <w:szCs w:val="21"/>
                <w:lang w:val="en-GB"/>
              </w:rPr>
              <w:t>注：对于同时列入节能产品政府采购清单和环保清单的产品，应当优先于只列入其中一个清单的产品。</w:t>
            </w:r>
          </w:p>
        </w:tc>
        <w:tc>
          <w:tcPr>
            <w:tcW w:w="967" w:type="dxa"/>
            <w:vAlign w:val="center"/>
          </w:tcPr>
          <w:p>
            <w:pPr>
              <w:jc w:val="center"/>
              <w:rPr>
                <w:rFonts w:ascii="宋体" w:hAnsi="宋体"/>
                <w:color w:val="auto"/>
                <w:szCs w:val="21"/>
                <w:lang w:val="en-GB"/>
              </w:rPr>
            </w:pPr>
            <w:r>
              <w:rPr>
                <w:rFonts w:hint="eastAsia" w:ascii="宋体" w:hAnsi="宋体"/>
                <w:color w:val="auto"/>
                <w:szCs w:val="21"/>
              </w:rPr>
              <w:t>1</w:t>
            </w:r>
            <w:r>
              <w:rPr>
                <w:rFonts w:hint="eastAsia" w:ascii="宋体" w:hAnsi="宋体"/>
                <w:color w:val="auto"/>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color w:val="auto"/>
                <w:szCs w:val="21"/>
              </w:rPr>
            </w:pPr>
            <w:r>
              <w:rPr>
                <w:rFonts w:hint="eastAsia" w:asciiTheme="minorEastAsia" w:hAnsiTheme="minorEastAsia" w:cstheme="minorEastAsia"/>
                <w:iCs/>
                <w:color w:val="auto"/>
                <w:szCs w:val="21"/>
              </w:rPr>
              <w:t>类似业绩情况</w:t>
            </w:r>
          </w:p>
        </w:tc>
        <w:tc>
          <w:tcPr>
            <w:tcW w:w="6237" w:type="dxa"/>
            <w:vAlign w:val="center"/>
          </w:tcPr>
          <w:p>
            <w:pPr>
              <w:spacing w:line="360" w:lineRule="auto"/>
              <w:rPr>
                <w:rFonts w:ascii="宋体" w:hAnsi="宋体"/>
                <w:color w:val="auto"/>
                <w:szCs w:val="21"/>
                <w:lang w:val="en-GB"/>
              </w:rPr>
            </w:pPr>
            <w:r>
              <w:rPr>
                <w:rFonts w:ascii="_5b8b_4f53" w:hAnsi="_5b8b_4f53"/>
                <w:color w:val="auto"/>
                <w:shd w:val="clear" w:color="auto" w:fill="FFFFFF"/>
              </w:rPr>
              <w:t>201</w:t>
            </w:r>
            <w:r>
              <w:rPr>
                <w:rFonts w:hint="eastAsia" w:ascii="_5b8b_4f53" w:hAnsi="_5b8b_4f53"/>
                <w:color w:val="auto"/>
                <w:shd w:val="clear" w:color="auto" w:fill="FFFFFF"/>
              </w:rPr>
              <w:t>5</w:t>
            </w:r>
            <w:r>
              <w:rPr>
                <w:rFonts w:ascii="_5b8b_4f53" w:hAnsi="_5b8b_4f53"/>
                <w:color w:val="auto"/>
                <w:shd w:val="clear" w:color="auto" w:fill="FFFFFF"/>
              </w:rPr>
              <w:t>年1月1日以来</w:t>
            </w:r>
            <w:r>
              <w:rPr>
                <w:rFonts w:hint="eastAsia" w:ascii="_5b8b_4f53" w:hAnsi="_5b8b_4f53"/>
                <w:color w:val="auto"/>
                <w:shd w:val="clear" w:color="auto" w:fill="FFFFFF"/>
              </w:rPr>
              <w:t>，</w:t>
            </w:r>
            <w:r>
              <w:rPr>
                <w:rFonts w:hint="eastAsia" w:ascii="宋体" w:hAnsi="宋体"/>
                <w:color w:val="auto"/>
              </w:rPr>
              <w:t>每提供一份</w:t>
            </w:r>
            <w:r>
              <w:rPr>
                <w:rFonts w:ascii="_5b8b_4f53" w:hAnsi="_5b8b_4f53"/>
                <w:color w:val="auto"/>
                <w:shd w:val="clear" w:color="auto" w:fill="FFFFFF"/>
              </w:rPr>
              <w:t>合同金额在</w:t>
            </w:r>
            <w:r>
              <w:rPr>
                <w:rFonts w:hint="eastAsia" w:ascii="_5b8b_4f53" w:hAnsi="_5b8b_4f53"/>
                <w:color w:val="auto"/>
                <w:shd w:val="clear" w:color="auto" w:fill="FFFFFF"/>
              </w:rPr>
              <w:t>100</w:t>
            </w:r>
            <w:r>
              <w:rPr>
                <w:rFonts w:ascii="_5b8b_4f53" w:hAnsi="_5b8b_4f53"/>
                <w:color w:val="auto"/>
                <w:shd w:val="clear" w:color="auto" w:fill="FFFFFF"/>
              </w:rPr>
              <w:t>万元（含）及以上的</w:t>
            </w:r>
            <w:r>
              <w:rPr>
                <w:rFonts w:hint="eastAsia" w:ascii="_5b8b_4f53" w:hAnsi="_5b8b_4f53"/>
                <w:color w:val="auto"/>
                <w:shd w:val="clear" w:color="auto" w:fill="FFFFFF"/>
              </w:rPr>
              <w:t>类似项目</w:t>
            </w:r>
            <w:r>
              <w:rPr>
                <w:rFonts w:ascii="_5b8b_4f53" w:hAnsi="_5b8b_4f53"/>
                <w:color w:val="auto"/>
                <w:shd w:val="clear" w:color="auto" w:fill="FFFFFF"/>
              </w:rPr>
              <w:t>业绩</w:t>
            </w:r>
            <w:r>
              <w:rPr>
                <w:rFonts w:hint="eastAsia" w:ascii="宋体" w:hAnsi="宋体"/>
                <w:color w:val="auto"/>
              </w:rPr>
              <w:t>得3分，最高得12分。</w:t>
            </w:r>
            <w:r>
              <w:rPr>
                <w:rFonts w:hint="eastAsia"/>
                <w:b/>
                <w:color w:val="auto"/>
              </w:rPr>
              <w:t>【注：以合同签订日期为准】</w:t>
            </w:r>
            <w:r>
              <w:rPr>
                <w:rFonts w:hint="eastAsia" w:ascii="宋体" w:hAnsi="宋体"/>
                <w:color w:val="auto"/>
                <w:szCs w:val="21"/>
              </w:rPr>
              <w:t>。</w:t>
            </w:r>
          </w:p>
        </w:tc>
        <w:tc>
          <w:tcPr>
            <w:tcW w:w="967" w:type="dxa"/>
            <w:vAlign w:val="center"/>
          </w:tcPr>
          <w:p>
            <w:pPr>
              <w:jc w:val="center"/>
              <w:rPr>
                <w:rFonts w:asciiTheme="minorEastAsia" w:hAnsiTheme="minorEastAsia"/>
                <w:color w:val="auto"/>
                <w:szCs w:val="21"/>
              </w:rPr>
            </w:pPr>
            <w:r>
              <w:rPr>
                <w:rFonts w:hint="eastAsia" w:asciiTheme="minorEastAsia" w:hAnsiTheme="minorEastAsia"/>
                <w:color w:val="auto"/>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color w:val="auto"/>
                <w:szCs w:val="21"/>
              </w:rPr>
            </w:pPr>
            <w:r>
              <w:rPr>
                <w:rFonts w:hint="eastAsia" w:asciiTheme="minorEastAsia" w:hAnsiTheme="minorEastAsia"/>
                <w:color w:val="auto"/>
                <w:szCs w:val="21"/>
              </w:rPr>
              <w:t>售后服务</w:t>
            </w:r>
          </w:p>
        </w:tc>
        <w:tc>
          <w:tcPr>
            <w:tcW w:w="6237" w:type="dxa"/>
            <w:vAlign w:val="center"/>
          </w:tcPr>
          <w:p>
            <w:pPr>
              <w:spacing w:line="360" w:lineRule="auto"/>
              <w:rPr>
                <w:rFonts w:ascii="宋体" w:hAnsi="宋体"/>
                <w:color w:val="auto"/>
                <w:szCs w:val="21"/>
                <w:lang w:val="en-GB"/>
              </w:rPr>
            </w:pPr>
            <w:r>
              <w:rPr>
                <w:rFonts w:hint="eastAsia" w:ascii="宋体" w:hAnsi="宋体"/>
                <w:color w:val="auto"/>
                <w:szCs w:val="21"/>
                <w:lang w:val="en-GB"/>
              </w:rPr>
              <w:t>1、提供免费质量保障，投标人满足二年免费质保后每延长1年加2分，共4分。</w:t>
            </w:r>
          </w:p>
          <w:p>
            <w:pPr>
              <w:spacing w:line="360" w:lineRule="auto"/>
              <w:rPr>
                <w:rFonts w:ascii="宋体" w:hAnsi="宋体"/>
                <w:color w:val="auto"/>
                <w:szCs w:val="21"/>
                <w:lang w:val="en-GB"/>
              </w:rPr>
            </w:pPr>
            <w:r>
              <w:rPr>
                <w:rFonts w:hint="eastAsia" w:ascii="宋体" w:hAnsi="宋体"/>
                <w:color w:val="auto"/>
                <w:szCs w:val="21"/>
                <w:lang w:val="en-GB"/>
              </w:rPr>
              <w:t>2、技术支持、售后服务程序合理，人员配备技术力量强，故障响应时间小于2小时，上门时间小于4小时，维修和更换时间小于24小时，得2分，不满足不得分。</w:t>
            </w:r>
          </w:p>
        </w:tc>
        <w:tc>
          <w:tcPr>
            <w:tcW w:w="967" w:type="dxa"/>
            <w:vAlign w:val="center"/>
          </w:tcPr>
          <w:p>
            <w:pPr>
              <w:jc w:val="center"/>
              <w:rPr>
                <w:rFonts w:asciiTheme="minorEastAsia" w:hAnsiTheme="minorEastAsia"/>
                <w:color w:val="auto"/>
                <w:szCs w:val="21"/>
              </w:rPr>
            </w:pPr>
            <w:r>
              <w:rPr>
                <w:rFonts w:hint="eastAsia" w:asciiTheme="minorEastAsia" w:hAnsiTheme="minorEastAsia"/>
                <w:color w:val="auto"/>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color w:val="auto"/>
                <w:szCs w:val="21"/>
              </w:rPr>
            </w:pPr>
            <w:r>
              <w:rPr>
                <w:rFonts w:hint="eastAsia" w:asciiTheme="minorEastAsia" w:hAnsiTheme="minorEastAsia"/>
                <w:color w:val="auto"/>
                <w:szCs w:val="21"/>
              </w:rPr>
              <w:t>投标文件的规范程度</w:t>
            </w:r>
          </w:p>
        </w:tc>
        <w:tc>
          <w:tcPr>
            <w:tcW w:w="6237" w:type="dxa"/>
            <w:vAlign w:val="center"/>
          </w:tcPr>
          <w:p>
            <w:pPr>
              <w:spacing w:line="360" w:lineRule="auto"/>
              <w:rPr>
                <w:rFonts w:ascii="宋体" w:hAnsi="宋体"/>
                <w:color w:val="auto"/>
                <w:szCs w:val="21"/>
                <w:lang w:val="en-GB"/>
              </w:rPr>
            </w:pPr>
            <w:r>
              <w:rPr>
                <w:rFonts w:hint="eastAsia" w:ascii="宋体" w:hAnsi="宋体"/>
                <w:color w:val="auto"/>
                <w:szCs w:val="21"/>
                <w:lang w:val="en-GB"/>
              </w:rPr>
              <w:t>装订规范、文字清晰、无差错，所提供资料准确完整</w:t>
            </w:r>
            <w:r>
              <w:rPr>
                <w:rFonts w:hint="eastAsia" w:ascii="宋体" w:hAnsi="宋体"/>
                <w:color w:val="auto"/>
                <w:szCs w:val="21"/>
              </w:rPr>
              <w:t>得</w:t>
            </w:r>
            <w:r>
              <w:rPr>
                <w:rFonts w:hint="eastAsia" w:ascii="宋体" w:hAnsi="宋体"/>
                <w:color w:val="auto"/>
                <w:szCs w:val="21"/>
                <w:lang w:val="en-GB"/>
              </w:rPr>
              <w:t>1分。</w:t>
            </w:r>
          </w:p>
        </w:tc>
        <w:tc>
          <w:tcPr>
            <w:tcW w:w="967" w:type="dxa"/>
            <w:vAlign w:val="center"/>
          </w:tcPr>
          <w:p>
            <w:pPr>
              <w:spacing w:line="400" w:lineRule="exact"/>
              <w:jc w:val="center"/>
              <w:rPr>
                <w:rFonts w:asciiTheme="minorEastAsia" w:hAnsiTheme="minorEastAsia"/>
                <w:color w:val="auto"/>
                <w:szCs w:val="21"/>
              </w:rPr>
            </w:pPr>
            <w:r>
              <w:rPr>
                <w:rFonts w:hint="eastAsia" w:asciiTheme="minorEastAsia" w:hAnsiTheme="minorEastAsia"/>
                <w:color w:val="auto"/>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color w:val="auto"/>
                <w:szCs w:val="21"/>
              </w:rPr>
            </w:pPr>
            <w:r>
              <w:rPr>
                <w:rFonts w:hint="eastAsia" w:asciiTheme="minorEastAsia" w:hAnsiTheme="minorEastAsia"/>
                <w:b/>
                <w:color w:val="auto"/>
                <w:szCs w:val="21"/>
              </w:rPr>
              <w:t>技术部分（满分</w:t>
            </w:r>
            <w:r>
              <w:rPr>
                <w:rFonts w:hint="eastAsia" w:asciiTheme="minorEastAsia" w:hAnsiTheme="minorEastAsia"/>
                <w:b/>
                <w:color w:val="auto"/>
                <w:szCs w:val="21"/>
                <w:u w:val="single"/>
              </w:rPr>
              <w:t xml:space="preserve"> 28  </w:t>
            </w:r>
            <w:r>
              <w:rPr>
                <w:rFonts w:hint="eastAsia" w:asciiTheme="minorEastAsia" w:hAnsiTheme="minorEastAsia"/>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评分因素</w:t>
            </w:r>
          </w:p>
        </w:tc>
        <w:tc>
          <w:tcPr>
            <w:tcW w:w="623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评标标准</w:t>
            </w:r>
          </w:p>
        </w:tc>
        <w:tc>
          <w:tcPr>
            <w:tcW w:w="96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color w:val="auto"/>
                <w:szCs w:val="21"/>
              </w:rPr>
            </w:pPr>
            <w:r>
              <w:rPr>
                <w:rFonts w:hint="eastAsia" w:ascii="宋体" w:hAnsi="宋体"/>
                <w:color w:val="auto"/>
                <w:szCs w:val="21"/>
              </w:rPr>
              <w:t>技术指标响应情况</w:t>
            </w:r>
          </w:p>
        </w:tc>
        <w:tc>
          <w:tcPr>
            <w:tcW w:w="6237" w:type="dxa"/>
            <w:vAlign w:val="center"/>
          </w:tcPr>
          <w:p>
            <w:pPr>
              <w:jc w:val="left"/>
              <w:rPr>
                <w:rFonts w:ascii="宋体" w:hAnsi="宋体"/>
                <w:color w:val="auto"/>
                <w:szCs w:val="21"/>
              </w:rPr>
            </w:pPr>
            <w:r>
              <w:rPr>
                <w:rFonts w:hint="eastAsia" w:ascii="宋体" w:hAnsi="宋体"/>
                <w:color w:val="auto"/>
                <w:szCs w:val="21"/>
              </w:rPr>
              <w:t>不满足招标文件技术指标要求和商务条款规定的为无效投标。</w:t>
            </w:r>
          </w:p>
          <w:p>
            <w:pPr>
              <w:rPr>
                <w:rFonts w:ascii="仿宋" w:hAnsi="仿宋" w:eastAsia="仿宋"/>
                <w:b/>
                <w:color w:val="auto"/>
                <w:szCs w:val="21"/>
              </w:rPr>
            </w:pPr>
            <w:r>
              <w:rPr>
                <w:rFonts w:hint="eastAsia" w:ascii="宋体" w:hAnsi="宋体"/>
                <w:color w:val="auto"/>
                <w:szCs w:val="21"/>
              </w:rPr>
              <w:t>优于</w:t>
            </w:r>
            <w:r>
              <w:rPr>
                <w:rFonts w:hint="eastAsia" w:ascii="宋体" w:hAnsi="宋体"/>
                <w:color w:val="auto"/>
                <w:szCs w:val="21"/>
                <w:lang w:val="en-US" w:eastAsia="zh-CN"/>
              </w:rPr>
              <w:t>采购</w:t>
            </w:r>
            <w:r>
              <w:rPr>
                <w:rFonts w:hint="eastAsia" w:ascii="宋体" w:hAnsi="宋体"/>
                <w:color w:val="auto"/>
                <w:szCs w:val="21"/>
              </w:rPr>
              <w:t>需求中</w:t>
            </w:r>
            <w:r>
              <w:rPr>
                <w:rFonts w:hint="eastAsia" w:ascii="宋体" w:hAnsi="宋体"/>
                <w:color w:val="auto"/>
                <w:szCs w:val="21"/>
                <w:lang w:val="en-US" w:eastAsia="zh-CN"/>
              </w:rPr>
              <w:t>加*的</w:t>
            </w:r>
            <w:r>
              <w:rPr>
                <w:rFonts w:hint="eastAsia" w:ascii="宋体" w:hAnsi="宋体"/>
                <w:color w:val="auto"/>
                <w:szCs w:val="21"/>
              </w:rPr>
              <w:t>产品技术参数的且对应参数能提供</w:t>
            </w:r>
            <w:r>
              <w:rPr>
                <w:rFonts w:hint="eastAsia" w:ascii="宋体" w:hAnsi="宋体"/>
                <w:color w:val="auto"/>
                <w:szCs w:val="21"/>
                <w:lang w:val="en-US" w:eastAsia="zh-CN"/>
              </w:rPr>
              <w:t>相关</w:t>
            </w:r>
            <w:r>
              <w:rPr>
                <w:rFonts w:hint="eastAsia" w:ascii="宋体" w:hAnsi="宋体"/>
                <w:color w:val="auto"/>
                <w:szCs w:val="21"/>
              </w:rPr>
              <w:t>证明的，每有一项加2分，满分20分；</w:t>
            </w:r>
          </w:p>
        </w:tc>
        <w:tc>
          <w:tcPr>
            <w:tcW w:w="967" w:type="dxa"/>
            <w:vAlign w:val="center"/>
          </w:tcPr>
          <w:p>
            <w:pPr>
              <w:jc w:val="center"/>
              <w:rPr>
                <w:rFonts w:asciiTheme="minorEastAsia" w:hAnsiTheme="minorEastAsia"/>
                <w:color w:val="auto"/>
                <w:szCs w:val="21"/>
              </w:rPr>
            </w:pPr>
            <w:r>
              <w:rPr>
                <w:rFonts w:hint="eastAsia" w:asciiTheme="minorEastAsia" w:hAnsiTheme="minorEastAsia"/>
                <w:color w:val="auto"/>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color w:val="auto"/>
                <w:szCs w:val="21"/>
              </w:rPr>
            </w:pPr>
            <w:r>
              <w:rPr>
                <w:rFonts w:hint="eastAsia" w:ascii="宋体" w:hAnsi="宋体"/>
                <w:color w:val="auto"/>
                <w:szCs w:val="21"/>
              </w:rPr>
              <w:t>方案设计及施工计划</w:t>
            </w:r>
          </w:p>
        </w:tc>
        <w:tc>
          <w:tcPr>
            <w:tcW w:w="6237" w:type="dxa"/>
            <w:vAlign w:val="center"/>
          </w:tcPr>
          <w:p>
            <w:pPr>
              <w:spacing w:line="360" w:lineRule="exact"/>
              <w:rPr>
                <w:rFonts w:ascii="仿宋" w:hAnsi="仿宋" w:eastAsia="仿宋"/>
                <w:color w:val="auto"/>
                <w:szCs w:val="21"/>
              </w:rPr>
            </w:pPr>
            <w:r>
              <w:rPr>
                <w:rFonts w:hint="eastAsia" w:ascii="宋体" w:hAnsi="宋体"/>
                <w:snapToGrid w:val="0"/>
                <w:color w:val="auto"/>
                <w:kern w:val="0"/>
                <w:szCs w:val="28"/>
              </w:rPr>
              <w:t>根据</w:t>
            </w:r>
            <w:r>
              <w:rPr>
                <w:rFonts w:ascii="宋体" w:hAnsi="宋体"/>
                <w:snapToGrid w:val="0"/>
                <w:color w:val="auto"/>
                <w:kern w:val="0"/>
                <w:szCs w:val="28"/>
              </w:rPr>
              <w:t>投标人</w:t>
            </w:r>
            <w:r>
              <w:rPr>
                <w:rFonts w:hint="eastAsia" w:ascii="宋体" w:hAnsi="宋体"/>
                <w:snapToGrid w:val="0"/>
                <w:color w:val="auto"/>
                <w:kern w:val="0"/>
                <w:szCs w:val="28"/>
              </w:rPr>
              <w:t>针对本项目提供的</w:t>
            </w:r>
            <w:r>
              <w:rPr>
                <w:rFonts w:hint="eastAsia" w:ascii="宋体" w:hAnsi="宋体"/>
                <w:color w:val="auto"/>
                <w:szCs w:val="21"/>
              </w:rPr>
              <w:t>方案设计及施工计划，其适应性、安全性、针对性高得1分，有相关的基本描述得0.5分，没有得0分。</w:t>
            </w:r>
          </w:p>
        </w:tc>
        <w:tc>
          <w:tcPr>
            <w:tcW w:w="967" w:type="dxa"/>
            <w:vAlign w:val="center"/>
          </w:tcPr>
          <w:p>
            <w:pPr>
              <w:jc w:val="center"/>
              <w:rPr>
                <w:rFonts w:asciiTheme="minorEastAsia" w:hAnsiTheme="minorEastAsia"/>
                <w:color w:val="auto"/>
                <w:szCs w:val="21"/>
              </w:rPr>
            </w:pPr>
            <w:r>
              <w:rPr>
                <w:rFonts w:hint="eastAsia" w:asciiTheme="minorEastAsia" w:hAnsiTheme="minorEastAsia"/>
                <w:color w:val="auto"/>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beforeLines="50" w:line="300" w:lineRule="auto"/>
              <w:ind w:firstLine="420" w:firstLineChars="200"/>
              <w:rPr>
                <w:rFonts w:ascii="宋体" w:hAnsi="宋体"/>
                <w:color w:val="auto"/>
                <w:szCs w:val="21"/>
              </w:rPr>
            </w:pPr>
            <w:r>
              <w:rPr>
                <w:rFonts w:ascii="宋体" w:hAnsi="宋体"/>
                <w:color w:val="auto"/>
              </w:rPr>
              <w:t>培训</w:t>
            </w:r>
            <w:r>
              <w:rPr>
                <w:rFonts w:hint="eastAsia" w:ascii="宋体" w:hAnsi="宋体"/>
                <w:color w:val="auto"/>
              </w:rPr>
              <w:t>计划</w:t>
            </w:r>
          </w:p>
        </w:tc>
        <w:tc>
          <w:tcPr>
            <w:tcW w:w="6237" w:type="dxa"/>
            <w:vAlign w:val="center"/>
          </w:tcPr>
          <w:p>
            <w:pPr>
              <w:spacing w:beforeLines="50" w:line="300" w:lineRule="auto"/>
              <w:rPr>
                <w:rFonts w:ascii="宋体" w:hAnsi="宋体"/>
                <w:snapToGrid w:val="0"/>
                <w:color w:val="auto"/>
                <w:kern w:val="0"/>
                <w:szCs w:val="28"/>
              </w:rPr>
            </w:pPr>
            <w:r>
              <w:rPr>
                <w:rFonts w:ascii="宋体" w:hAnsi="宋体"/>
                <w:color w:val="auto"/>
              </w:rPr>
              <w:t>对本项目</w:t>
            </w:r>
            <w:r>
              <w:rPr>
                <w:rFonts w:hint="eastAsia" w:ascii="宋体" w:hAnsi="宋体"/>
                <w:color w:val="auto"/>
              </w:rPr>
              <w:t>承诺</w:t>
            </w:r>
            <w:r>
              <w:rPr>
                <w:rFonts w:ascii="宋体" w:hAnsi="宋体"/>
                <w:color w:val="auto"/>
              </w:rPr>
              <w:t>提供的培训</w:t>
            </w:r>
            <w:r>
              <w:rPr>
                <w:rFonts w:hint="eastAsia" w:ascii="宋体" w:hAnsi="宋体"/>
                <w:color w:val="auto"/>
              </w:rPr>
              <w:t>人员及培训内容的安排</w:t>
            </w:r>
            <w:r>
              <w:rPr>
                <w:rFonts w:hint="eastAsia" w:asciiTheme="minorEastAsia" w:hAnsiTheme="minorEastAsia" w:cstheme="minorEastAsia"/>
                <w:bCs/>
                <w:iCs/>
                <w:color w:val="auto"/>
                <w:szCs w:val="21"/>
              </w:rPr>
              <w:t>分配合理、全面系统、切实可行</w:t>
            </w:r>
            <w:r>
              <w:rPr>
                <w:rFonts w:hint="eastAsia" w:ascii="宋体" w:hAnsi="宋体"/>
                <w:color w:val="auto"/>
              </w:rPr>
              <w:t>得1分，有</w:t>
            </w:r>
            <w:r>
              <w:rPr>
                <w:rFonts w:hint="eastAsia" w:ascii="宋体" w:hAnsi="宋体"/>
                <w:color w:val="auto"/>
                <w:szCs w:val="21"/>
              </w:rPr>
              <w:t>相关的基本描述得0.5分，没有得0分。</w:t>
            </w:r>
          </w:p>
        </w:tc>
        <w:tc>
          <w:tcPr>
            <w:tcW w:w="967" w:type="dxa"/>
            <w:vAlign w:val="center"/>
          </w:tcPr>
          <w:p>
            <w:pPr>
              <w:jc w:val="center"/>
              <w:rPr>
                <w:rFonts w:asciiTheme="minorEastAsia" w:hAnsiTheme="minorEastAsia"/>
                <w:color w:val="auto"/>
                <w:szCs w:val="21"/>
              </w:rPr>
            </w:pPr>
            <w:r>
              <w:rPr>
                <w:rFonts w:hint="eastAsia" w:asciiTheme="minorEastAsia" w:hAnsiTheme="minorEastAsia"/>
                <w:color w:val="auto"/>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beforeLines="50" w:line="300" w:lineRule="auto"/>
              <w:ind w:firstLine="420" w:firstLineChars="200"/>
              <w:rPr>
                <w:rFonts w:ascii="宋体" w:hAnsi="宋体"/>
                <w:color w:val="auto"/>
              </w:rPr>
            </w:pPr>
            <w:r>
              <w:rPr>
                <w:rFonts w:ascii="宋体" w:hAnsi="宋体"/>
                <w:color w:val="auto"/>
              </w:rPr>
              <w:t>质保期</w:t>
            </w:r>
          </w:p>
        </w:tc>
        <w:tc>
          <w:tcPr>
            <w:tcW w:w="6237" w:type="dxa"/>
            <w:vAlign w:val="center"/>
          </w:tcPr>
          <w:p>
            <w:pPr>
              <w:spacing w:beforeLines="50" w:line="300" w:lineRule="auto"/>
              <w:rPr>
                <w:color w:val="auto"/>
                <w:sz w:val="24"/>
              </w:rPr>
            </w:pPr>
            <w:r>
              <w:rPr>
                <w:rFonts w:ascii="宋体" w:hAnsi="宋体"/>
                <w:color w:val="auto"/>
              </w:rPr>
              <w:t>免费质保期</w:t>
            </w:r>
            <w:r>
              <w:rPr>
                <w:rFonts w:hint="eastAsia" w:ascii="宋体" w:hAnsi="宋体"/>
                <w:color w:val="auto"/>
              </w:rPr>
              <w:t>2</w:t>
            </w:r>
            <w:r>
              <w:rPr>
                <w:rFonts w:ascii="宋体" w:hAnsi="宋体"/>
                <w:color w:val="auto"/>
              </w:rPr>
              <w:t>年后，每超过一年加2</w:t>
            </w:r>
            <w:r>
              <w:rPr>
                <w:rFonts w:hint="eastAsia" w:ascii="宋体" w:hAnsi="宋体"/>
                <w:color w:val="auto"/>
                <w:lang w:val="en-US" w:eastAsia="zh-CN"/>
              </w:rPr>
              <w:t>.5</w:t>
            </w:r>
            <w:r>
              <w:rPr>
                <w:rFonts w:ascii="宋体" w:hAnsi="宋体"/>
                <w:color w:val="auto"/>
              </w:rPr>
              <w:t>分，最多加</w:t>
            </w:r>
            <w:r>
              <w:rPr>
                <w:rFonts w:hint="eastAsia" w:ascii="宋体" w:hAnsi="宋体"/>
                <w:color w:val="auto"/>
                <w:lang w:val="en-US" w:eastAsia="zh-CN"/>
              </w:rPr>
              <w:t>5</w:t>
            </w:r>
            <w:r>
              <w:rPr>
                <w:rFonts w:ascii="宋体" w:hAnsi="宋体"/>
                <w:color w:val="auto"/>
              </w:rPr>
              <w:t>分。</w:t>
            </w:r>
          </w:p>
        </w:tc>
        <w:tc>
          <w:tcPr>
            <w:tcW w:w="967" w:type="dxa"/>
            <w:vAlign w:val="center"/>
          </w:tcPr>
          <w:p>
            <w:pPr>
              <w:jc w:val="center"/>
              <w:rPr>
                <w:rFonts w:asciiTheme="minorEastAsia" w:hAnsiTheme="minorEastAsia"/>
                <w:color w:val="auto"/>
                <w:szCs w:val="21"/>
              </w:rPr>
            </w:pPr>
            <w:r>
              <w:rPr>
                <w:rFonts w:hint="eastAsia" w:asciiTheme="minorEastAsia" w:hAnsiTheme="minorEastAsia"/>
                <w:color w:val="auto"/>
                <w:szCs w:val="21"/>
                <w:lang w:val="en-US" w:eastAsia="zh-CN"/>
              </w:rPr>
              <w:t>5</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beforeLines="50" w:line="300" w:lineRule="auto"/>
              <w:jc w:val="center"/>
              <w:rPr>
                <w:rFonts w:ascii="宋体" w:hAnsi="宋体"/>
                <w:color w:val="auto"/>
              </w:rPr>
            </w:pPr>
            <w:r>
              <w:rPr>
                <w:rFonts w:hint="eastAsia" w:ascii="宋体" w:hAnsi="宋体"/>
                <w:color w:val="auto"/>
              </w:rPr>
              <w:t>质保期后技术支持及相关服务承诺</w:t>
            </w:r>
          </w:p>
        </w:tc>
        <w:tc>
          <w:tcPr>
            <w:tcW w:w="6237" w:type="dxa"/>
            <w:vAlign w:val="center"/>
          </w:tcPr>
          <w:p>
            <w:pPr>
              <w:spacing w:beforeLines="50" w:line="300" w:lineRule="auto"/>
              <w:rPr>
                <w:rFonts w:ascii="宋体" w:hAnsi="宋体"/>
                <w:color w:val="auto"/>
              </w:rPr>
            </w:pPr>
            <w:r>
              <w:rPr>
                <w:rFonts w:ascii="宋体" w:hAnsi="宋体"/>
                <w:color w:val="auto"/>
              </w:rPr>
              <w:t>根据投标人</w:t>
            </w:r>
            <w:r>
              <w:rPr>
                <w:rFonts w:hint="eastAsia" w:ascii="宋体" w:hAnsi="宋体"/>
                <w:color w:val="auto"/>
              </w:rPr>
              <w:t>针对本项目质保期后技术支持及相关服务承诺</w:t>
            </w:r>
            <w:r>
              <w:rPr>
                <w:rFonts w:ascii="宋体" w:hAnsi="宋体"/>
                <w:color w:val="auto"/>
              </w:rPr>
              <w:t>进行评</w:t>
            </w:r>
            <w:r>
              <w:rPr>
                <w:rFonts w:hint="eastAsia" w:ascii="宋体" w:hAnsi="宋体"/>
                <w:color w:val="auto"/>
              </w:rPr>
              <w:t>判，能够为本项目提供完善服务得1分，有</w:t>
            </w:r>
            <w:r>
              <w:rPr>
                <w:rFonts w:hint="eastAsia" w:ascii="宋体" w:hAnsi="宋体"/>
                <w:color w:val="auto"/>
                <w:szCs w:val="21"/>
              </w:rPr>
              <w:t>相关的</w:t>
            </w:r>
            <w:r>
              <w:rPr>
                <w:rFonts w:hint="eastAsia" w:ascii="宋体" w:hAnsi="宋体"/>
                <w:color w:val="auto"/>
              </w:rPr>
              <w:t>基本描述得0.5分，没有得0分。</w:t>
            </w:r>
          </w:p>
        </w:tc>
        <w:tc>
          <w:tcPr>
            <w:tcW w:w="967" w:type="dxa"/>
            <w:vAlign w:val="center"/>
          </w:tcPr>
          <w:p>
            <w:pPr>
              <w:jc w:val="center"/>
              <w:rPr>
                <w:rFonts w:asciiTheme="minorEastAsia" w:hAnsiTheme="minorEastAsia"/>
                <w:color w:val="auto"/>
                <w:szCs w:val="21"/>
              </w:rPr>
            </w:pPr>
            <w:r>
              <w:rPr>
                <w:rFonts w:hint="eastAsia" w:asciiTheme="minorEastAsia" w:hAnsiTheme="minorEastAsia"/>
                <w:color w:val="auto"/>
                <w:szCs w:val="21"/>
              </w:rPr>
              <w:t>1分</w:t>
            </w:r>
          </w:p>
        </w:tc>
      </w:tr>
    </w:tbl>
    <w:p>
      <w:pPr>
        <w:widowControl/>
        <w:shd w:val="clear" w:color="auto" w:fill="FFFFFF"/>
        <w:spacing w:line="360" w:lineRule="atLeast"/>
        <w:jc w:val="left"/>
        <w:rPr>
          <w:rFonts w:ascii="微软雅黑" w:hAnsi="微软雅黑" w:eastAsia="微软雅黑" w:cs="微软雅黑"/>
          <w:color w:val="auto"/>
          <w:sz w:val="27"/>
          <w:szCs w:val="27"/>
        </w:rPr>
      </w:pPr>
    </w:p>
    <w:p>
      <w:pPr>
        <w:widowControl/>
        <w:shd w:val="clear" w:color="auto" w:fill="FFFFFF"/>
        <w:spacing w:line="360" w:lineRule="atLeast"/>
        <w:ind w:firstLine="600"/>
        <w:jc w:val="left"/>
        <w:rPr>
          <w:rFonts w:ascii="微软雅黑" w:hAnsi="微软雅黑" w:eastAsia="微软雅黑" w:cs="微软雅黑"/>
          <w:color w:val="auto"/>
          <w:sz w:val="27"/>
          <w:szCs w:val="27"/>
        </w:rPr>
      </w:pPr>
      <w:r>
        <w:rPr>
          <w:rFonts w:hint="eastAsia" w:ascii="黑体" w:hAnsi="宋体" w:eastAsia="黑体" w:cs="黑体"/>
          <w:color w:val="auto"/>
          <w:kern w:val="0"/>
          <w:sz w:val="30"/>
          <w:szCs w:val="30"/>
          <w:shd w:val="clear" w:color="auto" w:fill="FFFFFF"/>
        </w:rPr>
        <w:t>六、采购资金支付</w:t>
      </w:r>
    </w:p>
    <w:p>
      <w:pPr>
        <w:snapToGrid w:val="0"/>
        <w:ind w:firstLine="600" w:firstLineChars="200"/>
        <w:rPr>
          <w:rFonts w:ascii="仿宋" w:hAnsi="仿宋" w:eastAsia="仿宋" w:cs="仿宋"/>
          <w:color w:val="auto"/>
          <w:sz w:val="32"/>
          <w:szCs w:val="32"/>
          <w:lang w:val="zh-CN"/>
        </w:rPr>
      </w:pPr>
      <w:r>
        <w:rPr>
          <w:rFonts w:hint="eastAsia" w:ascii="仿宋" w:hAnsi="仿宋" w:eastAsia="仿宋" w:cs="仿宋"/>
          <w:color w:val="auto"/>
          <w:kern w:val="0"/>
          <w:sz w:val="30"/>
          <w:szCs w:val="30"/>
          <w:shd w:val="clear" w:color="auto" w:fill="FFFFFF"/>
        </w:rPr>
        <w:t>（一）支付方式：</w:t>
      </w:r>
      <w:r>
        <w:rPr>
          <w:rFonts w:hint="eastAsia" w:ascii="仿宋" w:hAnsi="仿宋" w:eastAsia="仿宋" w:cs="仿宋"/>
          <w:color w:val="auto"/>
          <w:sz w:val="32"/>
          <w:szCs w:val="32"/>
          <w:lang w:val="zh-CN"/>
        </w:rPr>
        <w:t>银行转账</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（二）支付时间及条件：经验收合格并出具验收书后，付合同总价款的80%，满一年无质量问题付10%，满两年无质量问题付5%，质保期满后付5%。</w:t>
      </w:r>
    </w:p>
    <w:p>
      <w:pPr>
        <w:widowControl/>
        <w:shd w:val="clear" w:color="auto" w:fill="FFFFFF"/>
        <w:spacing w:line="360" w:lineRule="atLeast"/>
        <w:ind w:firstLine="600"/>
        <w:jc w:val="left"/>
        <w:rPr>
          <w:rFonts w:ascii="微软雅黑" w:hAnsi="微软雅黑" w:eastAsia="微软雅黑" w:cs="微软雅黑"/>
          <w:color w:val="auto"/>
          <w:sz w:val="27"/>
          <w:szCs w:val="27"/>
        </w:rPr>
      </w:pPr>
      <w:r>
        <w:rPr>
          <w:rFonts w:hint="eastAsia" w:ascii="黑体" w:hAnsi="宋体" w:eastAsia="黑体" w:cs="黑体"/>
          <w:color w:val="auto"/>
          <w:kern w:val="0"/>
          <w:sz w:val="30"/>
          <w:szCs w:val="30"/>
          <w:shd w:val="clear" w:color="auto" w:fill="FFFFFF"/>
        </w:rPr>
        <w:t>七、联系方式</w:t>
      </w:r>
    </w:p>
    <w:p>
      <w:pPr>
        <w:widowControl/>
        <w:shd w:val="clear" w:color="auto" w:fill="FFFFFF"/>
        <w:spacing w:line="525" w:lineRule="atLeast"/>
        <w:ind w:firstLine="795"/>
        <w:jc w:val="left"/>
        <w:rPr>
          <w:rFonts w:ascii="微软雅黑" w:hAnsi="微软雅黑" w:eastAsia="微软雅黑" w:cs="微软雅黑"/>
          <w:color w:val="auto"/>
          <w:sz w:val="27"/>
          <w:szCs w:val="27"/>
        </w:rPr>
      </w:pPr>
      <w:r>
        <w:rPr>
          <w:rFonts w:hint="eastAsia" w:ascii="仿宋" w:hAnsi="仿宋" w:eastAsia="仿宋" w:cs="仿宋"/>
          <w:color w:val="auto"/>
          <w:kern w:val="0"/>
          <w:sz w:val="30"/>
          <w:szCs w:val="30"/>
          <w:shd w:val="clear" w:color="auto" w:fill="FFFFFF"/>
        </w:rPr>
        <w:t xml:space="preserve">联系人姓名：梁先生      联系电话：0374-2699766 </w:t>
      </w:r>
    </w:p>
    <w:p>
      <w:pPr>
        <w:widowControl/>
        <w:shd w:val="clear" w:color="auto" w:fill="FFFFFF"/>
        <w:spacing w:line="525" w:lineRule="atLeast"/>
        <w:ind w:firstLine="795"/>
        <w:jc w:val="left"/>
        <w:rPr>
          <w:rFonts w:ascii="微软雅黑" w:hAnsi="微软雅黑" w:eastAsia="微软雅黑" w:cs="微软雅黑"/>
          <w:color w:val="auto"/>
          <w:sz w:val="27"/>
          <w:szCs w:val="27"/>
        </w:rPr>
      </w:pPr>
      <w:r>
        <w:rPr>
          <w:rFonts w:hint="eastAsia" w:ascii="仿宋" w:hAnsi="仿宋" w:eastAsia="仿宋" w:cs="仿宋"/>
          <w:color w:val="auto"/>
          <w:kern w:val="0"/>
          <w:sz w:val="30"/>
          <w:szCs w:val="30"/>
          <w:shd w:val="clear" w:color="auto" w:fill="FFFFFF"/>
        </w:rPr>
        <w:t>单位地址：许昌市建安大道东段财政综合大楼18楼</w:t>
      </w:r>
    </w:p>
    <w:p>
      <w:pPr>
        <w:widowControl/>
        <w:shd w:val="clear" w:color="auto" w:fill="FFFFFF"/>
        <w:spacing w:line="525" w:lineRule="atLeast"/>
        <w:ind w:firstLine="795"/>
        <w:jc w:val="left"/>
        <w:rPr>
          <w:rFonts w:ascii="微软雅黑" w:hAnsi="微软雅黑" w:eastAsia="微软雅黑" w:cs="微软雅黑"/>
          <w:color w:val="auto"/>
          <w:sz w:val="27"/>
          <w:szCs w:val="27"/>
        </w:rPr>
      </w:pPr>
      <w:r>
        <w:rPr>
          <w:rFonts w:hint="eastAsia" w:ascii="仿宋" w:hAnsi="仿宋" w:eastAsia="仿宋" w:cs="仿宋"/>
          <w:color w:val="auto"/>
          <w:kern w:val="0"/>
          <w:sz w:val="30"/>
          <w:szCs w:val="30"/>
          <w:shd w:val="clear" w:color="auto" w:fill="FFFFFF"/>
        </w:rPr>
        <w:t> </w:t>
      </w:r>
    </w:p>
    <w:p>
      <w:pPr>
        <w:widowControl/>
        <w:shd w:val="clear" w:color="auto" w:fill="FFFFFF"/>
        <w:spacing w:line="525" w:lineRule="atLeast"/>
        <w:ind w:firstLine="795"/>
        <w:jc w:val="left"/>
        <w:rPr>
          <w:rFonts w:ascii="微软雅黑" w:hAnsi="微软雅黑" w:eastAsia="微软雅黑" w:cs="微软雅黑"/>
          <w:color w:val="auto"/>
          <w:sz w:val="27"/>
          <w:szCs w:val="27"/>
        </w:rPr>
      </w:pPr>
      <w:r>
        <w:rPr>
          <w:rFonts w:hint="eastAsia" w:ascii="仿宋" w:hAnsi="仿宋" w:eastAsia="仿宋" w:cs="仿宋"/>
          <w:color w:val="auto"/>
          <w:kern w:val="0"/>
          <w:sz w:val="30"/>
          <w:szCs w:val="30"/>
          <w:shd w:val="clear" w:color="auto" w:fill="FFFFFF"/>
        </w:rPr>
        <w:t> </w:t>
      </w:r>
    </w:p>
    <w:p>
      <w:pPr>
        <w:widowControl/>
        <w:shd w:val="clear" w:color="auto" w:fill="FFFFFF"/>
        <w:spacing w:line="525" w:lineRule="atLeast"/>
        <w:ind w:firstLine="795"/>
        <w:jc w:val="left"/>
        <w:rPr>
          <w:rFonts w:ascii="微软雅黑" w:hAnsi="微软雅黑" w:eastAsia="微软雅黑" w:cs="微软雅黑"/>
          <w:color w:val="auto"/>
          <w:sz w:val="27"/>
          <w:szCs w:val="27"/>
        </w:rPr>
      </w:pPr>
      <w:r>
        <w:rPr>
          <w:rFonts w:hint="eastAsia" w:ascii="仿宋" w:hAnsi="仿宋" w:eastAsia="仿宋" w:cs="仿宋"/>
          <w:color w:val="auto"/>
          <w:kern w:val="0"/>
          <w:sz w:val="30"/>
          <w:szCs w:val="30"/>
          <w:shd w:val="clear" w:color="auto" w:fill="FFFFFF"/>
        </w:rPr>
        <w:t> </w:t>
      </w:r>
    </w:p>
    <w:p>
      <w:pPr>
        <w:widowControl/>
        <w:shd w:val="clear" w:color="auto" w:fill="FFFFFF"/>
        <w:spacing w:line="330" w:lineRule="atLeast"/>
        <w:ind w:firstLine="4350"/>
        <w:jc w:val="right"/>
        <w:rPr>
          <w:rFonts w:ascii="微软雅黑" w:hAnsi="微软雅黑" w:eastAsia="微软雅黑" w:cs="微软雅黑"/>
          <w:color w:val="auto"/>
          <w:sz w:val="27"/>
          <w:szCs w:val="27"/>
        </w:rPr>
      </w:pPr>
      <w:r>
        <w:rPr>
          <w:rFonts w:hint="eastAsia" w:ascii="仿宋" w:hAnsi="仿宋" w:eastAsia="仿宋" w:cs="仿宋"/>
          <w:color w:val="auto"/>
          <w:kern w:val="0"/>
          <w:sz w:val="30"/>
          <w:szCs w:val="30"/>
          <w:shd w:val="clear" w:color="auto" w:fill="FFFFFF"/>
        </w:rPr>
        <w:t>单位全称：许昌市建设投资有限责任公司</w:t>
      </w:r>
    </w:p>
    <w:p>
      <w:pPr>
        <w:widowControl/>
        <w:shd w:val="clear" w:color="auto" w:fill="FFFFFF"/>
        <w:spacing w:line="330" w:lineRule="atLeast"/>
        <w:ind w:firstLine="5700"/>
        <w:jc w:val="right"/>
        <w:rPr>
          <w:rFonts w:ascii="微软雅黑" w:hAnsi="微软雅黑" w:eastAsia="微软雅黑" w:cs="微软雅黑"/>
          <w:color w:val="auto"/>
          <w:sz w:val="27"/>
          <w:szCs w:val="27"/>
        </w:rPr>
      </w:pPr>
      <w:r>
        <w:rPr>
          <w:rFonts w:hint="eastAsia" w:ascii="仿宋" w:hAnsi="仿宋" w:eastAsia="仿宋" w:cs="仿宋"/>
          <w:color w:val="auto"/>
          <w:kern w:val="0"/>
          <w:sz w:val="30"/>
          <w:szCs w:val="30"/>
          <w:shd w:val="clear" w:color="auto" w:fill="FFFFFF"/>
        </w:rPr>
        <w:t> </w:t>
      </w:r>
    </w:p>
    <w:p>
      <w:pPr>
        <w:widowControl/>
        <w:shd w:val="clear" w:color="auto" w:fill="FFFFFF"/>
        <w:spacing w:line="330" w:lineRule="atLeast"/>
        <w:ind w:firstLine="5100"/>
        <w:jc w:val="right"/>
        <w:rPr>
          <w:rFonts w:ascii="微软雅黑" w:hAnsi="微软雅黑" w:eastAsia="微软雅黑" w:cs="微软雅黑"/>
          <w:color w:val="auto"/>
          <w:sz w:val="27"/>
          <w:szCs w:val="27"/>
        </w:rPr>
      </w:pPr>
      <w:r>
        <w:rPr>
          <w:rFonts w:hint="eastAsia" w:ascii="仿宋" w:hAnsi="仿宋" w:eastAsia="仿宋" w:cs="仿宋"/>
          <w:color w:val="auto"/>
          <w:kern w:val="0"/>
          <w:sz w:val="30"/>
          <w:szCs w:val="30"/>
          <w:shd w:val="clear" w:color="auto" w:fill="FFFFFF"/>
          <w:lang w:val="en-US" w:eastAsia="zh-CN"/>
        </w:rPr>
        <w:t>2018</w:t>
      </w:r>
      <w:r>
        <w:rPr>
          <w:rFonts w:hint="eastAsia" w:ascii="仿宋" w:hAnsi="仿宋" w:eastAsia="仿宋" w:cs="仿宋"/>
          <w:color w:val="auto"/>
          <w:kern w:val="0"/>
          <w:sz w:val="30"/>
          <w:szCs w:val="30"/>
          <w:shd w:val="clear" w:color="auto" w:fill="FFFFFF"/>
        </w:rPr>
        <w:t>年</w:t>
      </w:r>
      <w:r>
        <w:rPr>
          <w:rFonts w:hint="eastAsia" w:ascii="仿宋" w:hAnsi="仿宋" w:eastAsia="仿宋" w:cs="仿宋"/>
          <w:color w:val="auto"/>
          <w:kern w:val="0"/>
          <w:sz w:val="30"/>
          <w:szCs w:val="30"/>
          <w:shd w:val="clear" w:color="auto" w:fill="FFFFFF"/>
          <w:lang w:val="en-US" w:eastAsia="zh-CN"/>
        </w:rPr>
        <w:t>4</w:t>
      </w:r>
      <w:r>
        <w:rPr>
          <w:rFonts w:hint="eastAsia" w:ascii="仿宋" w:hAnsi="仿宋" w:eastAsia="仿宋" w:cs="仿宋"/>
          <w:color w:val="auto"/>
          <w:kern w:val="0"/>
          <w:sz w:val="30"/>
          <w:szCs w:val="30"/>
          <w:shd w:val="clear" w:color="auto" w:fill="FFFFFF"/>
        </w:rPr>
        <w:t>月</w:t>
      </w:r>
      <w:r>
        <w:rPr>
          <w:rFonts w:hint="eastAsia" w:ascii="仿宋" w:hAnsi="仿宋" w:eastAsia="仿宋" w:cs="仿宋"/>
          <w:color w:val="auto"/>
          <w:kern w:val="0"/>
          <w:sz w:val="30"/>
          <w:szCs w:val="30"/>
          <w:shd w:val="clear" w:color="auto" w:fill="FFFFFF"/>
          <w:lang w:val="en-US" w:eastAsia="zh-CN"/>
        </w:rPr>
        <w:t>18</w:t>
      </w:r>
      <w:r>
        <w:rPr>
          <w:rFonts w:hint="eastAsia" w:ascii="仿宋" w:hAnsi="仿宋" w:eastAsia="仿宋" w:cs="仿宋"/>
          <w:color w:val="auto"/>
          <w:kern w:val="0"/>
          <w:sz w:val="30"/>
          <w:szCs w:val="30"/>
          <w:shd w:val="clear" w:color="auto" w:fill="FFFFFF"/>
        </w:rPr>
        <w:t>日</w:t>
      </w:r>
    </w:p>
    <w:p>
      <w:pPr>
        <w:snapToGrid w:val="0"/>
        <w:ind w:firstLine="640" w:firstLineChars="200"/>
        <w:rPr>
          <w:rFonts w:ascii="仿宋" w:hAnsi="仿宋" w:eastAsia="仿宋" w:cs="仿宋"/>
          <w:color w:val="auto"/>
          <w:sz w:val="32"/>
          <w:szCs w:val="32"/>
          <w:lang w:val="zh-CN"/>
        </w:rPr>
      </w:pPr>
    </w:p>
    <w:p>
      <w:pPr>
        <w:snapToGrid w:val="0"/>
        <w:ind w:firstLine="640" w:firstLineChars="200"/>
        <w:rPr>
          <w:rFonts w:ascii="仿宋" w:hAnsi="仿宋" w:eastAsia="仿宋" w:cs="仿宋"/>
          <w:color w:val="auto"/>
          <w:sz w:val="32"/>
          <w:szCs w:val="32"/>
          <w:lang w:val="zh-CN"/>
        </w:rPr>
      </w:pPr>
    </w:p>
    <w:p>
      <w:pPr>
        <w:snapToGrid w:val="0"/>
        <w:ind w:firstLine="640" w:firstLineChars="200"/>
        <w:rPr>
          <w:rFonts w:ascii="仿宋" w:hAnsi="仿宋" w:eastAsia="仿宋" w:cs="仿宋"/>
          <w:color w:val="auto"/>
          <w:sz w:val="32"/>
          <w:szCs w:val="32"/>
          <w:lang w:val="zh-CN"/>
        </w:rPr>
      </w:pPr>
    </w:p>
    <w:p>
      <w:pPr>
        <w:snapToGrid w:val="0"/>
        <w:ind w:firstLine="640" w:firstLineChars="200"/>
        <w:rPr>
          <w:rFonts w:ascii="仿宋" w:hAnsi="仿宋" w:eastAsia="仿宋" w:cs="仿宋"/>
          <w:color w:val="auto"/>
          <w:sz w:val="32"/>
          <w:szCs w:val="32"/>
        </w:rPr>
      </w:pPr>
    </w:p>
    <w:p>
      <w:pPr>
        <w:snapToGrid w:val="0"/>
        <w:ind w:firstLine="640" w:firstLineChars="200"/>
        <w:rPr>
          <w:rFonts w:ascii="仿宋" w:hAnsi="仿宋" w:eastAsia="仿宋" w:cs="仿宋"/>
          <w:color w:val="auto"/>
          <w:sz w:val="32"/>
          <w:szCs w:val="32"/>
          <w:lang w:val="zh-CN"/>
        </w:rPr>
      </w:pPr>
    </w:p>
    <w:sectPr>
      <w:footerReference r:id="rId5" w:type="first"/>
      <w:headerReference r:id="rId3" w:type="default"/>
      <w:footerReference r:id="rId4" w:type="default"/>
      <w:pgSz w:w="12240" w:h="15840"/>
      <w:pgMar w:top="720" w:right="720" w:bottom="720" w:left="720" w:header="72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_5b8b_4f53">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A27F8"/>
    <w:multiLevelType w:val="multilevel"/>
    <w:tmpl w:val="594A27F8"/>
    <w:lvl w:ilvl="0" w:tentative="0">
      <w:start w:val="1"/>
      <w:numFmt w:val="decimal"/>
      <w:lvlText w:val="%1)"/>
      <w:lvlJc w:val="left"/>
      <w:pPr>
        <w:tabs>
          <w:tab w:val="left" w:pos="420"/>
        </w:tabs>
        <w:ind w:left="420" w:hanging="420"/>
      </w:pPr>
    </w:lvl>
    <w:lvl w:ilvl="1" w:tentative="0">
      <w:start w:val="1"/>
      <w:numFmt w:val="decimal"/>
      <w:pStyle w:val="3"/>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10E3"/>
    <w:rsid w:val="000A1A17"/>
    <w:rsid w:val="000B2449"/>
    <w:rsid w:val="00117061"/>
    <w:rsid w:val="00172A27"/>
    <w:rsid w:val="00195049"/>
    <w:rsid w:val="002005B5"/>
    <w:rsid w:val="00257414"/>
    <w:rsid w:val="00283A59"/>
    <w:rsid w:val="002C6E4E"/>
    <w:rsid w:val="00366143"/>
    <w:rsid w:val="00373E15"/>
    <w:rsid w:val="00381B44"/>
    <w:rsid w:val="003E1660"/>
    <w:rsid w:val="003E575B"/>
    <w:rsid w:val="004560A8"/>
    <w:rsid w:val="0048466B"/>
    <w:rsid w:val="004A61C9"/>
    <w:rsid w:val="004B328D"/>
    <w:rsid w:val="004E4DB6"/>
    <w:rsid w:val="005151E8"/>
    <w:rsid w:val="00524FEA"/>
    <w:rsid w:val="005503DE"/>
    <w:rsid w:val="005845E8"/>
    <w:rsid w:val="005B3FF0"/>
    <w:rsid w:val="005B5FCD"/>
    <w:rsid w:val="005C67D3"/>
    <w:rsid w:val="00601859"/>
    <w:rsid w:val="0069033E"/>
    <w:rsid w:val="006A1515"/>
    <w:rsid w:val="007212AD"/>
    <w:rsid w:val="007921BE"/>
    <w:rsid w:val="007D704F"/>
    <w:rsid w:val="008166A3"/>
    <w:rsid w:val="00880CF6"/>
    <w:rsid w:val="00886526"/>
    <w:rsid w:val="008C7F2B"/>
    <w:rsid w:val="008F72B2"/>
    <w:rsid w:val="00961262"/>
    <w:rsid w:val="009961E2"/>
    <w:rsid w:val="00A970AD"/>
    <w:rsid w:val="00B30047"/>
    <w:rsid w:val="00B37043"/>
    <w:rsid w:val="00B55CEE"/>
    <w:rsid w:val="00B603E2"/>
    <w:rsid w:val="00B95CD2"/>
    <w:rsid w:val="00BB3F6D"/>
    <w:rsid w:val="00BC59A1"/>
    <w:rsid w:val="00C119F2"/>
    <w:rsid w:val="00C37506"/>
    <w:rsid w:val="00D41693"/>
    <w:rsid w:val="00D8368D"/>
    <w:rsid w:val="00D8664E"/>
    <w:rsid w:val="00D91CE9"/>
    <w:rsid w:val="00DB117B"/>
    <w:rsid w:val="00E074EE"/>
    <w:rsid w:val="00E865E3"/>
    <w:rsid w:val="00ED5C38"/>
    <w:rsid w:val="00EE101A"/>
    <w:rsid w:val="00EF1654"/>
    <w:rsid w:val="00F0506A"/>
    <w:rsid w:val="00F21CB7"/>
    <w:rsid w:val="00F97AB0"/>
    <w:rsid w:val="02ED184F"/>
    <w:rsid w:val="04A00EB9"/>
    <w:rsid w:val="04C920B7"/>
    <w:rsid w:val="08BF4EF4"/>
    <w:rsid w:val="0A115A1B"/>
    <w:rsid w:val="0A1C1C04"/>
    <w:rsid w:val="0B867A74"/>
    <w:rsid w:val="0D447B01"/>
    <w:rsid w:val="0E372776"/>
    <w:rsid w:val="0EF267E0"/>
    <w:rsid w:val="0FE6170E"/>
    <w:rsid w:val="107A3C26"/>
    <w:rsid w:val="12861502"/>
    <w:rsid w:val="136F5362"/>
    <w:rsid w:val="1434094D"/>
    <w:rsid w:val="14A8297C"/>
    <w:rsid w:val="160835EB"/>
    <w:rsid w:val="17573408"/>
    <w:rsid w:val="177A4E02"/>
    <w:rsid w:val="197030A6"/>
    <w:rsid w:val="19B37785"/>
    <w:rsid w:val="1BCC4249"/>
    <w:rsid w:val="1C824115"/>
    <w:rsid w:val="1CFC797F"/>
    <w:rsid w:val="1D3E5EB5"/>
    <w:rsid w:val="1DA934DB"/>
    <w:rsid w:val="1ECB5FC8"/>
    <w:rsid w:val="20801037"/>
    <w:rsid w:val="22044933"/>
    <w:rsid w:val="22AD3F5B"/>
    <w:rsid w:val="2412348A"/>
    <w:rsid w:val="246C53F6"/>
    <w:rsid w:val="25C27ECC"/>
    <w:rsid w:val="25E55690"/>
    <w:rsid w:val="26705863"/>
    <w:rsid w:val="27D83CE3"/>
    <w:rsid w:val="28F6580F"/>
    <w:rsid w:val="29B34229"/>
    <w:rsid w:val="2A89120F"/>
    <w:rsid w:val="2B5D1C47"/>
    <w:rsid w:val="2C050B84"/>
    <w:rsid w:val="2EA41EF6"/>
    <w:rsid w:val="31E30EAD"/>
    <w:rsid w:val="31F813BD"/>
    <w:rsid w:val="3310601D"/>
    <w:rsid w:val="34074641"/>
    <w:rsid w:val="352569FC"/>
    <w:rsid w:val="38B94000"/>
    <w:rsid w:val="38E03AAB"/>
    <w:rsid w:val="39CC66FD"/>
    <w:rsid w:val="3C3F724F"/>
    <w:rsid w:val="3CEA06C1"/>
    <w:rsid w:val="3F685F87"/>
    <w:rsid w:val="40771CD4"/>
    <w:rsid w:val="40ED071B"/>
    <w:rsid w:val="414A2E06"/>
    <w:rsid w:val="418F6F5E"/>
    <w:rsid w:val="42BC2C10"/>
    <w:rsid w:val="434F5CEA"/>
    <w:rsid w:val="43D016F3"/>
    <w:rsid w:val="486F3259"/>
    <w:rsid w:val="4ACE5349"/>
    <w:rsid w:val="4BC24860"/>
    <w:rsid w:val="4BE801B7"/>
    <w:rsid w:val="4BF7326E"/>
    <w:rsid w:val="4C7F74F8"/>
    <w:rsid w:val="4DF82000"/>
    <w:rsid w:val="4E654BFB"/>
    <w:rsid w:val="4E9B0570"/>
    <w:rsid w:val="5007097F"/>
    <w:rsid w:val="502B3E50"/>
    <w:rsid w:val="509B4B62"/>
    <w:rsid w:val="542974BE"/>
    <w:rsid w:val="5587010A"/>
    <w:rsid w:val="5640366B"/>
    <w:rsid w:val="5654272E"/>
    <w:rsid w:val="586D2BB2"/>
    <w:rsid w:val="596D14B0"/>
    <w:rsid w:val="59A10BA1"/>
    <w:rsid w:val="5A5B76FF"/>
    <w:rsid w:val="5A944B00"/>
    <w:rsid w:val="5AC76860"/>
    <w:rsid w:val="5B6A5FBE"/>
    <w:rsid w:val="5BFA3CDA"/>
    <w:rsid w:val="5D4B572B"/>
    <w:rsid w:val="5D522A99"/>
    <w:rsid w:val="5DB63D25"/>
    <w:rsid w:val="5EFE663C"/>
    <w:rsid w:val="601C6F53"/>
    <w:rsid w:val="603A13DF"/>
    <w:rsid w:val="60D034CF"/>
    <w:rsid w:val="64A07D60"/>
    <w:rsid w:val="650E0B74"/>
    <w:rsid w:val="65CF6A5A"/>
    <w:rsid w:val="671C4A69"/>
    <w:rsid w:val="67B92F26"/>
    <w:rsid w:val="694C4F71"/>
    <w:rsid w:val="699144A0"/>
    <w:rsid w:val="6C4B3D2E"/>
    <w:rsid w:val="6CFA7CCC"/>
    <w:rsid w:val="6DD9496A"/>
    <w:rsid w:val="714376F4"/>
    <w:rsid w:val="735B1B81"/>
    <w:rsid w:val="75CA5798"/>
    <w:rsid w:val="75D64882"/>
    <w:rsid w:val="76632D7A"/>
    <w:rsid w:val="77E74EA5"/>
    <w:rsid w:val="791C17DF"/>
    <w:rsid w:val="797356FD"/>
    <w:rsid w:val="7AD6086E"/>
    <w:rsid w:val="7C3D33B4"/>
    <w:rsid w:val="7F2B19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unhideWhenUsed/>
    <w:qFormat/>
    <w:uiPriority w:val="0"/>
    <w:pPr>
      <w:keepNext/>
      <w:keepLines/>
      <w:numPr>
        <w:ilvl w:val="1"/>
        <w:numId w:val="1"/>
      </w:numPr>
      <w:spacing w:line="413" w:lineRule="auto"/>
      <w:jc w:val="center"/>
      <w:outlineLvl w:val="1"/>
    </w:pPr>
    <w:rPr>
      <w:rFonts w:ascii="Arial" w:hAnsi="Arial" w:eastAsia="黑体"/>
      <w:b/>
      <w:sz w:val="32"/>
      <w:szCs w:val="22"/>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link w:val="2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Normal Indent"/>
    <w:basedOn w:val="1"/>
    <w:qFormat/>
    <w:uiPriority w:val="0"/>
    <w:pPr>
      <w:ind w:firstLine="420" w:firstLineChars="200"/>
    </w:pPr>
  </w:style>
  <w:style w:type="paragraph" w:styleId="5">
    <w:name w:val="annotation subject"/>
    <w:basedOn w:val="6"/>
    <w:next w:val="6"/>
    <w:link w:val="21"/>
    <w:qFormat/>
    <w:uiPriority w:val="0"/>
    <w:rPr>
      <w:b/>
      <w:bCs/>
    </w:rPr>
  </w:style>
  <w:style w:type="paragraph" w:styleId="6">
    <w:name w:val="annotation text"/>
    <w:basedOn w:val="1"/>
    <w:link w:val="20"/>
    <w:qFormat/>
    <w:uiPriority w:val="0"/>
    <w:pPr>
      <w:jc w:val="left"/>
    </w:pPr>
  </w:style>
  <w:style w:type="paragraph" w:styleId="7">
    <w:name w:val="Body Text"/>
    <w:basedOn w:val="1"/>
    <w:qFormat/>
    <w:uiPriority w:val="0"/>
    <w:pPr>
      <w:adjustRightInd w:val="0"/>
      <w:spacing w:line="360" w:lineRule="atLeast"/>
      <w:ind w:left="72" w:leftChars="30" w:right="30" w:rightChars="30"/>
      <w:jc w:val="center"/>
      <w:textAlignment w:val="baseline"/>
    </w:pPr>
  </w:style>
  <w:style w:type="paragraph" w:styleId="8">
    <w:name w:val="Plain Text"/>
    <w:basedOn w:val="1"/>
    <w:qFormat/>
    <w:uiPriority w:val="0"/>
    <w:rPr>
      <w:rFonts w:eastAsia="宋体"/>
      <w:sz w:val="24"/>
    </w:r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23"/>
    <w:qFormat/>
    <w:uiPriority w:val="0"/>
    <w:pPr>
      <w:snapToGrid w:val="0"/>
      <w:jc w:val="left"/>
    </w:pPr>
    <w:rPr>
      <w:sz w:val="18"/>
      <w:szCs w:val="18"/>
    </w:rPr>
  </w:style>
  <w:style w:type="paragraph" w:styleId="13">
    <w:name w:val="Normal (Web)"/>
    <w:basedOn w:val="1"/>
    <w:qFormat/>
    <w:uiPriority w:val="0"/>
    <w:rPr>
      <w:rFonts w:ascii="Calibri" w:hAnsi="Calibri" w:eastAsia="宋体" w:cs="Times New Roman"/>
      <w:sz w:val="24"/>
    </w:r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character" w:styleId="17">
    <w:name w:val="footnote reference"/>
    <w:basedOn w:val="14"/>
    <w:qFormat/>
    <w:uiPriority w:val="0"/>
    <w:rPr>
      <w:vertAlign w:val="superscript"/>
    </w:rPr>
  </w:style>
  <w:style w:type="paragraph" w:customStyle="1" w:styleId="19">
    <w:name w:val="样式1"/>
    <w:basedOn w:val="1"/>
    <w:qFormat/>
    <w:uiPriority w:val="0"/>
    <w:pPr>
      <w:autoSpaceDE w:val="0"/>
      <w:autoSpaceDN w:val="0"/>
      <w:adjustRightInd w:val="0"/>
      <w:spacing w:line="360" w:lineRule="auto"/>
      <w:jc w:val="center"/>
    </w:pPr>
    <w:rPr>
      <w:rFonts w:ascii="黑体" w:eastAsia="黑体"/>
      <w:b/>
      <w:bCs/>
      <w:sz w:val="28"/>
      <w:szCs w:val="28"/>
      <w:lang w:val="zh-CN"/>
    </w:rPr>
  </w:style>
  <w:style w:type="character" w:customStyle="1" w:styleId="20">
    <w:name w:val="批注文字 Char"/>
    <w:basedOn w:val="14"/>
    <w:link w:val="6"/>
    <w:qFormat/>
    <w:uiPriority w:val="0"/>
    <w:rPr>
      <w:rFonts w:asciiTheme="minorHAnsi" w:hAnsiTheme="minorHAnsi" w:eastAsiaTheme="minorEastAsia" w:cstheme="minorBidi"/>
      <w:kern w:val="2"/>
      <w:sz w:val="21"/>
      <w:szCs w:val="24"/>
    </w:rPr>
  </w:style>
  <w:style w:type="character" w:customStyle="1" w:styleId="21">
    <w:name w:val="批注主题 Char"/>
    <w:basedOn w:val="20"/>
    <w:link w:val="5"/>
    <w:qFormat/>
    <w:uiPriority w:val="0"/>
    <w:rPr>
      <w:b/>
      <w:bCs/>
    </w:rPr>
  </w:style>
  <w:style w:type="character" w:customStyle="1" w:styleId="22">
    <w:name w:val="批注框文本 Char"/>
    <w:basedOn w:val="14"/>
    <w:link w:val="9"/>
    <w:qFormat/>
    <w:uiPriority w:val="0"/>
    <w:rPr>
      <w:rFonts w:asciiTheme="minorHAnsi" w:hAnsiTheme="minorHAnsi" w:eastAsiaTheme="minorEastAsia" w:cstheme="minorBidi"/>
      <w:kern w:val="2"/>
      <w:sz w:val="18"/>
      <w:szCs w:val="18"/>
    </w:rPr>
  </w:style>
  <w:style w:type="character" w:customStyle="1" w:styleId="23">
    <w:name w:val="脚注文本 Char"/>
    <w:basedOn w:val="14"/>
    <w:link w:val="12"/>
    <w:qFormat/>
    <w:uiPriority w:val="0"/>
    <w:rPr>
      <w:rFonts w:asciiTheme="minorHAnsi" w:hAnsiTheme="minorHAnsi" w:eastAsiaTheme="minorEastAsia" w:cstheme="minorBidi"/>
      <w:kern w:val="2"/>
      <w:sz w:val="18"/>
      <w:szCs w:val="18"/>
    </w:rPr>
  </w:style>
  <w:style w:type="character" w:customStyle="1" w:styleId="24">
    <w:name w:val="信息标题 Char"/>
    <w:basedOn w:val="14"/>
    <w:link w:val="2"/>
    <w:qFormat/>
    <w:uiPriority w:val="0"/>
    <w:rPr>
      <w:rFonts w:ascii="Calibri Light" w:hAnsi="Calibri Light" w:eastAsia="宋体" w:cs="Times New Roman"/>
      <w:kern w:val="2"/>
      <w:sz w:val="24"/>
      <w:szCs w:val="24"/>
      <w:shd w:val="pct20" w:color="auto" w:fil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55D46B-E118-4C09-BB65-623578FC3681}">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9</Pages>
  <Words>5990</Words>
  <Characters>1505</Characters>
  <Lines>12</Lines>
  <Paragraphs>14</Paragraphs>
  <ScaleCrop>false</ScaleCrop>
  <LinksUpToDate>false</LinksUpToDate>
  <CharactersWithSpaces>7481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2018-04-13T00:30:00Z</cp:lastPrinted>
  <dcterms:modified xsi:type="dcterms:W3CDTF">2018-04-18T04:06:30Z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