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240" w:lineRule="auto"/>
        <w:ind w:left="420" w:leftChars="0"/>
        <w:jc w:val="center"/>
        <w:rPr>
          <w:rFonts w:hint="eastAsia" w:asciiTheme="minorEastAsia" w:hAnsiTheme="minorEastAsia" w:eastAsiaTheme="minorEastAsia" w:cstheme="minorEastAsia"/>
        </w:rPr>
      </w:pPr>
      <w:bookmarkStart w:id="0" w:name="_Toc21770"/>
      <w:r>
        <w:rPr>
          <w:rFonts w:hint="eastAsia" w:asciiTheme="minorEastAsia" w:hAnsiTheme="minorEastAsia" w:eastAsiaTheme="minorEastAsia" w:cstheme="minorEastAsia"/>
        </w:rPr>
        <w:t>开标一览表</w:t>
      </w:r>
      <w:bookmarkEnd w:id="0"/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JZFCG-D2018009号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货币单位：元（人民币）</w:t>
      </w:r>
    </w:p>
    <w:tbl>
      <w:tblPr>
        <w:tblStyle w:val="6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空气质量加密监测及技术服务项目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投标报价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ind w:firstLine="555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捌拾肆万玖仟元整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ind w:firstLine="555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¥849,000.00元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交付时间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ind w:firstLine="555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服务期限：自签订合同之日起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备注：（付款方式响应承诺）</w:t>
            </w:r>
          </w:p>
        </w:tc>
        <w:tc>
          <w:tcPr>
            <w:tcW w:w="726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合同签订后两周内支付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70%，半年后支付24%。剩余6%为质量保证金，1年到期后无问题5个工作日内一次付清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注：投标报价包含技术服务一年，其中包含人工、所供设备耗材、数据分析一年。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河南省鑫属实业有限公司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（加盖公章）       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被授权委托人签字：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日</w:t>
      </w: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spacing w:line="560" w:lineRule="exact"/>
        <w:jc w:val="left"/>
        <w:rPr>
          <w:rFonts w:hint="eastAsia" w:ascii="新宋体" w:hAnsi="新宋体" w:eastAsia="新宋体"/>
          <w:b/>
          <w:szCs w:val="21"/>
        </w:rPr>
      </w:pPr>
    </w:p>
    <w:p>
      <w:pPr>
        <w:pStyle w:val="3"/>
        <w:numPr>
          <w:ilvl w:val="0"/>
          <w:numId w:val="0"/>
        </w:numPr>
        <w:ind w:left="420" w:leftChars="0"/>
        <w:jc w:val="center"/>
        <w:rPr>
          <w:rFonts w:hint="eastAsia"/>
        </w:rPr>
      </w:pPr>
      <w:bookmarkStart w:id="1" w:name="_Toc30753"/>
      <w:r>
        <w:rPr>
          <w:rFonts w:hint="eastAsia" w:asciiTheme="minorEastAsia" w:hAnsiTheme="minorEastAsia" w:eastAsiaTheme="minorEastAsia" w:cstheme="minorEastAsia"/>
        </w:rPr>
        <w:t>投标分项报价—览表</w:t>
      </w:r>
      <w:bookmarkEnd w:id="1"/>
    </w:p>
    <w:tbl>
      <w:tblPr>
        <w:tblStyle w:val="6"/>
        <w:tblW w:w="10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42"/>
        <w:gridCol w:w="4950"/>
        <w:gridCol w:w="480"/>
        <w:gridCol w:w="510"/>
        <w:gridCol w:w="14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6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  <w:t>序号</w:t>
            </w:r>
          </w:p>
        </w:tc>
        <w:tc>
          <w:tcPr>
            <w:tcW w:w="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  <w:t>名称</w:t>
            </w:r>
          </w:p>
        </w:tc>
        <w:tc>
          <w:tcPr>
            <w:tcW w:w="49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4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  <w:t>单位</w:t>
            </w:r>
          </w:p>
        </w:tc>
        <w:tc>
          <w:tcPr>
            <w:tcW w:w="51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  <w:t>数量</w:t>
            </w:r>
          </w:p>
        </w:tc>
        <w:tc>
          <w:tcPr>
            <w:tcW w:w="148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  <w:t>单价（元）</w:t>
            </w:r>
          </w:p>
        </w:tc>
        <w:tc>
          <w:tcPr>
            <w:tcW w:w="17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36363D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exact"/>
          <w:jc w:val="center"/>
        </w:trPr>
        <w:tc>
          <w:tcPr>
            <w:tcW w:w="6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bookmarkStart w:id="2" w:name="_Toc16951"/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  <w:t>1</w:t>
            </w:r>
            <w:bookmarkEnd w:id="2"/>
          </w:p>
        </w:tc>
        <w:tc>
          <w:tcPr>
            <w:tcW w:w="7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便携式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PM1-10颗粒物分析仪（购买）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可调换的旋风式切割器提供更加精确</w:t>
            </w:r>
            <w:r>
              <w:rPr>
                <w:rFonts w:hint="eastAsia" w:ascii="宋体" w:hAnsi="宋体" w:cs="Arial"/>
                <w:kern w:val="0"/>
                <w:szCs w:val="21"/>
              </w:rPr>
              <w:t>的粒径切割点，可分别测量PM10、PM4、PM2.5及PM1等。</w:t>
            </w:r>
            <w:r>
              <w:rPr>
                <w:rFonts w:hint="eastAsia"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台式设备性能的个人颗粒物监测设备</w:t>
            </w:r>
            <w:r>
              <w:rPr>
                <w:rFonts w:hint="eastAsia"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适用于NIOSH的0500和0600t的方法带WIFE功能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自动量程：0.001-400 mg/m3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散射系数：1.5*10-6 – 0.6 m-1@ λ=880nm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重现性：±2％读数或±0.005 mg/m3取大者（1s平均），±0.5％读数或±0.0015 mg/m3取大者（10s平均）, ±0.2％读数或±0.0005 mg/m3取大者（60s平均）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准确度：±5％ 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分辨率：0.1％读数或0.001 mg/m3取大者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流量范围：1.0-3.5L/min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最大响应粒径：0.1-10μm 显示更新频率：1秒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存储数据范围：平均浓度，温度，相对湿度，大气压，数据点总数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数据存储&gt;500,000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￥85,000.00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￥170,000.00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exact"/>
          <w:jc w:val="center"/>
        </w:trPr>
        <w:tc>
          <w:tcPr>
            <w:tcW w:w="6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bookmarkStart w:id="3" w:name="_Toc25418"/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  <w:t>2</w:t>
            </w:r>
            <w:bookmarkEnd w:id="3"/>
          </w:p>
        </w:tc>
        <w:tc>
          <w:tcPr>
            <w:tcW w:w="7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小型化空气站（租用）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放射源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碳－14，＜3.7MBq（100μCi）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测量范围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0~0.1,1.0,2.0,3.0,5.0,10.0mg/m³；0~100,1000,2000,3000，5000,10000μg/m³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最低检出线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＜4μg/m³（1小时）@2σ；＜1μg/m³（24小时）@2σ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分辨率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0.1μg/m³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精度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±3.0μg/m³＜80μg/m³；4－5μg/m³＞80μg/m³（24小时）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RMS精度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PM2.5＜5%，PM10＜5%（24小时）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准确度</w:t>
            </w:r>
            <w:r>
              <w:rPr>
                <w:rFonts w:hint="eastAsia" w:ascii="宋体" w:hAnsi="宋体" w:cs="Arial"/>
                <w:kern w:val="0"/>
                <w:szCs w:val="21"/>
              </w:rPr>
              <w:t>（对于质量流量）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±5%，使用NIST可溯源标准膜片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采样流量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1m³/h（16.67L/min）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采样流量精度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测量值的±2%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采样流量准确度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小于测量值的5%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长期质量浓度平均时间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60～3,600秒和24小时，时时采样，可出具分钟值数据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数据输出频率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1秒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工作温度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环境温度﹣30～50℃之间变化，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输出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可选电压，RS232/RS485，TCP/IP，10个继电器输出和断电指示（标准），0-20或4-20mA隔离电流输出（选配）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输入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16位数字输入（标准），8路0～10 VDC模拟输入（选配）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电源要求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110～120 VAC，220～240 VAC，50/60 Hz，最大功率700 Watts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泵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220 VAC 50/60 Hz，2.0 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重量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220 VAC：不大于30 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通讯协议</w:t>
            </w:r>
            <w:r>
              <w:rPr>
                <w:rFonts w:hint="eastAsia"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>C-Link，MODBUS，Gesytec（Bayern-Hessen）,ESM协议，数据流和NTP协议（Network Time Protocol）,通过以太网可从不同地方同时连接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台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￥120,000.00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￥240,000.00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bookmarkStart w:id="4" w:name="_Toc23421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3</w:t>
            </w:r>
            <w:bookmarkEnd w:id="4"/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人员服务及专题会议研判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￥439,000.00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￥439,000.00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6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  <w:t>总计</w:t>
            </w:r>
          </w:p>
        </w:tc>
        <w:tc>
          <w:tcPr>
            <w:tcW w:w="9165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捌拾肆万玖仟</w:t>
            </w:r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  <w:u w:val="single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  <w:t xml:space="preserve"> 小写：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¥849,000.00</w:t>
            </w:r>
            <w:r>
              <w:rPr>
                <w:rFonts w:hint="eastAsia" w:asciiTheme="minorEastAsia" w:hAnsiTheme="minorEastAsia" w:eastAsiaTheme="minorEastAsia" w:cstheme="minorEastAsia"/>
                <w:color w:val="36363D"/>
                <w:sz w:val="24"/>
                <w:szCs w:val="24"/>
              </w:rPr>
              <w:t>元</w:t>
            </w:r>
          </w:p>
        </w:tc>
      </w:tr>
    </w:tbl>
    <w:p>
      <w:pPr>
        <w:spacing w:before="48" w:beforeLines="20" w:after="48" w:afterLines="20"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河南省鑫属实业有限公司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（加盖公章）       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投标人法定代表人（或被授权委托人）签字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</w:t>
      </w:r>
    </w:p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日期：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日</w:t>
      </w: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zh-CN" w:eastAsia="zh-CN" w:bidi="ar-SA"/>
        </w:rPr>
      </w:pPr>
    </w:p>
    <w:p>
      <w:bookmarkStart w:id="5" w:name="_GoBack"/>
      <w:bookmarkEnd w:id="5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A421F"/>
    <w:rsid w:val="653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2018-04-11T07:54:17Z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