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中标标的概况</w:t>
      </w:r>
    </w:p>
    <w:p>
      <w:pPr>
        <w:spacing w:line="460" w:lineRule="exact"/>
        <w:ind w:firstLine="482" w:firstLineChars="200"/>
        <w:rPr>
          <w:rFonts w:hint="eastAsia" w:ascii="宋体" w:hAnsi="宋体"/>
          <w:b/>
          <w:bCs/>
          <w:sz w:val="24"/>
        </w:rPr>
      </w:pPr>
      <w:r>
        <w:rPr>
          <w:rFonts w:hint="eastAsia" w:ascii="宋体" w:hAnsi="宋体"/>
          <w:b/>
          <w:bCs/>
          <w:sz w:val="24"/>
        </w:rPr>
        <w:t>一、工程概况</w:t>
      </w:r>
    </w:p>
    <w:p>
      <w:pPr>
        <w:spacing w:line="460" w:lineRule="exact"/>
        <w:ind w:firstLine="480" w:firstLineChars="200"/>
        <w:rPr>
          <w:rFonts w:hint="eastAsia" w:ascii="宋体" w:hAnsi="宋体"/>
          <w:bCs/>
          <w:sz w:val="24"/>
        </w:rPr>
      </w:pPr>
      <w:r>
        <w:rPr>
          <w:rFonts w:hint="eastAsia" w:ascii="宋体" w:hAnsi="宋体"/>
          <w:bCs/>
          <w:sz w:val="24"/>
        </w:rPr>
        <w:t xml:space="preserve">   新建广场3座，其中万庄村2座、刘庄自然村1座，均为混凝土结构，同时新建广场围墙2处。广场施工结构为广场1（30m*20m）、广场2（35m*25m）、广场3（29.75m*25m）为面层15厘米厚c25水泥混凝土，其中①广场1、广场2砼面层下设15/20cm厚三七灰土垫层，②广场2、广场3新建广场围墙2处，高1.9m，总长45m,宽0.24m，MU10浆砌砖，每4m设37cm*37cm垛，墙体双面2CM厚1:2水泥砂浆抹面，双面罩白。</w:t>
      </w:r>
    </w:p>
    <w:p>
      <w:pPr>
        <w:spacing w:line="460" w:lineRule="exact"/>
        <w:ind w:firstLine="482" w:firstLineChars="200"/>
        <w:rPr>
          <w:rFonts w:hint="eastAsia" w:ascii="宋体" w:hAnsi="宋体"/>
          <w:b/>
          <w:bCs/>
          <w:sz w:val="24"/>
        </w:rPr>
      </w:pPr>
      <w:r>
        <w:rPr>
          <w:rFonts w:hint="eastAsia" w:ascii="宋体" w:hAnsi="宋体"/>
          <w:b/>
          <w:bCs/>
          <w:sz w:val="24"/>
        </w:rPr>
        <w:t>二、招标范围</w:t>
      </w:r>
    </w:p>
    <w:p>
      <w:pPr>
        <w:spacing w:line="460" w:lineRule="exact"/>
        <w:ind w:firstLine="480" w:firstLineChars="200"/>
        <w:rPr>
          <w:rFonts w:hint="eastAsia" w:ascii="宋体" w:hAnsi="宋体"/>
          <w:bCs/>
          <w:sz w:val="24"/>
        </w:rPr>
      </w:pPr>
      <w:r>
        <w:rPr>
          <w:rFonts w:hint="eastAsia" w:ascii="宋体" w:hAnsi="宋体"/>
          <w:bCs/>
          <w:sz w:val="24"/>
        </w:rPr>
        <w:t>招标文件、工程量清单、施工图纸、答疑纪要和补充文件（如有）范围内的所有建设内容。</w:t>
      </w:r>
    </w:p>
    <w:p>
      <w:pPr>
        <w:spacing w:line="460" w:lineRule="exact"/>
        <w:ind w:firstLine="482" w:firstLineChars="200"/>
        <w:rPr>
          <w:rFonts w:hint="eastAsia" w:ascii="宋体" w:hAnsi="宋体"/>
          <w:b/>
          <w:bCs/>
          <w:sz w:val="24"/>
        </w:rPr>
      </w:pPr>
      <w:r>
        <w:rPr>
          <w:rFonts w:hint="eastAsia" w:ascii="宋体" w:hAnsi="宋体"/>
          <w:b/>
          <w:bCs/>
          <w:sz w:val="24"/>
        </w:rPr>
        <w:t>三、资格要求</w:t>
      </w:r>
    </w:p>
    <w:p>
      <w:pPr>
        <w:spacing w:line="460" w:lineRule="exact"/>
        <w:ind w:firstLine="482" w:firstLineChars="200"/>
        <w:rPr>
          <w:rFonts w:ascii="宋体" w:hAnsi="宋体"/>
          <w:bCs/>
          <w:sz w:val="24"/>
        </w:rPr>
      </w:pPr>
      <w:r>
        <w:rPr>
          <w:rFonts w:ascii="宋体" w:hAnsi="宋体"/>
          <w:b/>
          <w:bCs/>
          <w:sz w:val="24"/>
        </w:rPr>
        <w:t>1</w:t>
      </w:r>
      <w:r>
        <w:rPr>
          <w:rFonts w:hint="eastAsia" w:ascii="宋体" w:hAnsi="宋体"/>
          <w:b/>
          <w:bCs/>
          <w:sz w:val="24"/>
        </w:rPr>
        <w:t>、</w:t>
      </w:r>
      <w:r>
        <w:rPr>
          <w:rFonts w:hint="eastAsia" w:ascii="宋体" w:hAnsi="宋体"/>
          <w:bCs/>
          <w:sz w:val="24"/>
        </w:rPr>
        <w:t>具备《中华人民共和国政府采购法》第二十二条规定</w:t>
      </w:r>
      <w:bookmarkStart w:id="0" w:name="_GoBack"/>
      <w:bookmarkEnd w:id="0"/>
      <w:r>
        <w:rPr>
          <w:rFonts w:hint="eastAsia" w:ascii="宋体" w:hAnsi="宋体"/>
          <w:bCs/>
          <w:sz w:val="24"/>
        </w:rPr>
        <w:t>；</w:t>
      </w:r>
    </w:p>
    <w:p>
      <w:pPr>
        <w:spacing w:line="460" w:lineRule="exact"/>
        <w:ind w:firstLine="482" w:firstLineChars="200"/>
        <w:rPr>
          <w:rFonts w:hint="eastAsia" w:ascii="宋体" w:hAnsi="宋体"/>
          <w:bCs/>
          <w:sz w:val="24"/>
        </w:rPr>
      </w:pPr>
      <w:r>
        <w:rPr>
          <w:rFonts w:ascii="宋体" w:hAnsi="宋体"/>
          <w:b/>
          <w:bCs/>
          <w:sz w:val="24"/>
        </w:rPr>
        <w:t>2</w:t>
      </w:r>
      <w:r>
        <w:rPr>
          <w:rFonts w:hint="eastAsia" w:ascii="宋体" w:hAnsi="宋体"/>
          <w:b/>
          <w:bCs/>
          <w:sz w:val="24"/>
        </w:rPr>
        <w:t>、</w:t>
      </w:r>
      <w:r>
        <w:rPr>
          <w:rFonts w:hint="eastAsia" w:ascii="宋体" w:hAnsi="宋体"/>
          <w:bCs/>
          <w:sz w:val="24"/>
        </w:rPr>
        <w:t>具备水利水电工程施工总承包三级及以上或</w:t>
      </w:r>
      <w:r>
        <w:rPr>
          <w:rFonts w:ascii="宋体" w:hAnsi="宋体"/>
          <w:bCs/>
          <w:sz w:val="24"/>
        </w:rPr>
        <w:t>市政公用工程施工总承包</w:t>
      </w:r>
      <w:r>
        <w:rPr>
          <w:rFonts w:hint="eastAsia" w:ascii="宋体" w:hAnsi="宋体"/>
          <w:bCs/>
          <w:sz w:val="24"/>
        </w:rPr>
        <w:t>三级及以上资质，具备有效的安全生产许可证；</w:t>
      </w:r>
    </w:p>
    <w:p>
      <w:pPr>
        <w:spacing w:line="460" w:lineRule="exact"/>
        <w:ind w:firstLine="482" w:firstLineChars="200"/>
        <w:rPr>
          <w:rFonts w:ascii="宋体" w:hAnsi="宋体"/>
          <w:bCs/>
          <w:sz w:val="24"/>
        </w:rPr>
      </w:pPr>
      <w:r>
        <w:rPr>
          <w:rFonts w:hint="eastAsia" w:ascii="宋体" w:hAnsi="宋体"/>
          <w:b/>
          <w:bCs/>
          <w:sz w:val="24"/>
        </w:rPr>
        <w:t>3、</w:t>
      </w:r>
      <w:r>
        <w:rPr>
          <w:rFonts w:hint="eastAsia" w:ascii="宋体" w:hAnsi="宋体"/>
          <w:bCs/>
          <w:sz w:val="24"/>
        </w:rPr>
        <w:t>拟拟派项目经理必须具备水利水电专业贰级及以上注册建造师资格并具备水利专业中级及以上技术职称或具备市政公用工程专业贰级及以上注册建造师资格并具备有效的安全生产考核证书，且未担任其他在施建设工程项目</w:t>
      </w:r>
      <w:r>
        <w:rPr>
          <w:rFonts w:ascii="宋体" w:hAnsi="宋体"/>
          <w:bCs/>
          <w:sz w:val="24"/>
        </w:rPr>
        <w:t xml:space="preserve"> </w:t>
      </w:r>
      <w:r>
        <w:rPr>
          <w:rFonts w:hint="eastAsia" w:ascii="宋体" w:hAnsi="宋体"/>
          <w:bCs/>
          <w:sz w:val="24"/>
        </w:rPr>
        <w:t>。</w:t>
      </w:r>
    </w:p>
    <w:p>
      <w:pPr>
        <w:spacing w:line="460" w:lineRule="exact"/>
        <w:ind w:firstLine="482" w:firstLineChars="200"/>
        <w:rPr>
          <w:rFonts w:ascii="宋体" w:hAnsi="宋体"/>
          <w:bCs/>
          <w:sz w:val="24"/>
        </w:rPr>
      </w:pPr>
      <w:r>
        <w:rPr>
          <w:rFonts w:hint="eastAsia" w:ascii="宋体" w:hAnsi="宋体"/>
          <w:b/>
          <w:bCs/>
          <w:sz w:val="24"/>
        </w:rPr>
        <w:t>4、</w:t>
      </w:r>
      <w:r>
        <w:rPr>
          <w:rFonts w:hint="eastAsia" w:ascii="宋体" w:hAnsi="宋体"/>
          <w:bCs/>
          <w:sz w:val="24"/>
        </w:rPr>
        <w:t>自2015年以来在经营活动中没有重大违法记录（以检察机关出具的查询行贿犯罪档案结果告知函为准）。</w:t>
      </w:r>
    </w:p>
    <w:p>
      <w:pPr>
        <w:spacing w:line="460" w:lineRule="exact"/>
        <w:ind w:firstLine="482" w:firstLineChars="200"/>
        <w:rPr>
          <w:rFonts w:hint="eastAsia" w:ascii="宋体" w:hAnsi="宋体"/>
          <w:bCs/>
          <w:sz w:val="24"/>
        </w:rPr>
      </w:pPr>
      <w:r>
        <w:rPr>
          <w:rFonts w:hint="eastAsia" w:ascii="宋体" w:hAnsi="宋体"/>
          <w:b/>
          <w:bCs/>
          <w:sz w:val="24"/>
        </w:rPr>
        <w:t>5、</w:t>
      </w:r>
      <w:r>
        <w:rPr>
          <w:rFonts w:hint="eastAsia" w:ascii="宋体" w:hAnsi="宋体"/>
          <w:bCs/>
          <w:sz w:val="24"/>
        </w:rPr>
        <w:t>不接受联合体投标。</w:t>
      </w:r>
    </w:p>
    <w:p>
      <w:pPr>
        <w:spacing w:line="460" w:lineRule="exact"/>
        <w:ind w:firstLine="482" w:firstLineChars="200"/>
        <w:rPr>
          <w:rFonts w:hint="eastAsia" w:ascii="宋体" w:hAnsi="宋体"/>
          <w:bCs/>
          <w:sz w:val="24"/>
        </w:rPr>
      </w:pPr>
      <w:r>
        <w:rPr>
          <w:rFonts w:hint="eastAsia" w:ascii="宋体" w:hAnsi="宋体"/>
          <w:b/>
          <w:bCs/>
          <w:sz w:val="24"/>
        </w:rPr>
        <w:t>6、</w:t>
      </w:r>
      <w:r>
        <w:rPr>
          <w:rFonts w:hint="eastAsia" w:ascii="宋体" w:hAnsi="宋体"/>
          <w:bCs/>
          <w:sz w:val="24"/>
        </w:rPr>
        <w:t>未被列入失信被执行人、政府采购严重违法失信行为记录名单及其他不符合《中华人民共和国政府采购法》第二十二条规定条件的供应商。</w:t>
      </w:r>
    </w:p>
    <w:p>
      <w:pPr>
        <w:spacing w:line="460" w:lineRule="exact"/>
        <w:ind w:firstLine="482" w:firstLineChars="200"/>
        <w:rPr>
          <w:rFonts w:hint="eastAsia" w:ascii="宋体" w:hAnsi="宋体"/>
          <w:b/>
          <w:bCs/>
          <w:sz w:val="24"/>
        </w:rPr>
      </w:pPr>
      <w:r>
        <w:rPr>
          <w:rFonts w:hint="eastAsia" w:ascii="宋体" w:hAnsi="宋体"/>
          <w:b/>
          <w:bCs/>
          <w:sz w:val="24"/>
        </w:rPr>
        <w:t>四、采购预算</w:t>
      </w:r>
    </w:p>
    <w:p>
      <w:pPr>
        <w:spacing w:line="460" w:lineRule="exact"/>
        <w:ind w:firstLine="480" w:firstLineChars="200"/>
        <w:rPr>
          <w:rFonts w:hint="eastAsia" w:ascii="宋体" w:hAnsi="宋体"/>
          <w:bCs/>
          <w:sz w:val="24"/>
        </w:rPr>
      </w:pPr>
      <w:r>
        <w:rPr>
          <w:rFonts w:hint="eastAsia" w:ascii="宋体" w:hAnsi="宋体"/>
          <w:bCs/>
          <w:sz w:val="24"/>
        </w:rPr>
        <w:t>302564.88元（财政拨款）</w:t>
      </w:r>
    </w:p>
    <w:p>
      <w:pPr>
        <w:spacing w:line="460" w:lineRule="exact"/>
        <w:ind w:firstLine="482" w:firstLineChars="200"/>
        <w:rPr>
          <w:rFonts w:hint="eastAsia" w:ascii="宋体" w:hAnsi="宋体"/>
          <w:b/>
          <w:bCs/>
          <w:sz w:val="24"/>
        </w:rPr>
      </w:pPr>
      <w:r>
        <w:rPr>
          <w:rFonts w:hint="eastAsia" w:ascii="宋体" w:hAnsi="宋体"/>
          <w:b/>
          <w:bCs/>
          <w:sz w:val="24"/>
        </w:rPr>
        <w:t>五、目标工期</w:t>
      </w:r>
    </w:p>
    <w:p>
      <w:pPr>
        <w:spacing w:line="460" w:lineRule="exact"/>
        <w:ind w:firstLine="480" w:firstLineChars="200"/>
        <w:rPr>
          <w:rFonts w:hint="eastAsia" w:ascii="宋体" w:hAnsi="宋体"/>
          <w:bCs/>
          <w:sz w:val="24"/>
        </w:rPr>
      </w:pPr>
      <w:r>
        <w:rPr>
          <w:rFonts w:hint="eastAsia" w:ascii="宋体" w:hAnsi="宋体"/>
          <w:bCs/>
          <w:sz w:val="24"/>
        </w:rPr>
        <w:t>30日历天</w:t>
      </w:r>
    </w:p>
    <w:p>
      <w:pPr>
        <w:spacing w:line="460" w:lineRule="exact"/>
        <w:ind w:firstLine="482" w:firstLineChars="200"/>
        <w:rPr>
          <w:rFonts w:hint="eastAsia" w:ascii="宋体" w:hAnsi="宋体"/>
          <w:b/>
          <w:bCs/>
          <w:sz w:val="24"/>
        </w:rPr>
      </w:pPr>
      <w:r>
        <w:rPr>
          <w:rFonts w:hint="eastAsia" w:ascii="宋体" w:hAnsi="宋体"/>
          <w:b/>
          <w:bCs/>
          <w:sz w:val="24"/>
        </w:rPr>
        <w:t>六、质量要求</w:t>
      </w:r>
    </w:p>
    <w:p>
      <w:pPr>
        <w:spacing w:line="460" w:lineRule="exact"/>
        <w:ind w:firstLine="480" w:firstLineChars="200"/>
        <w:rPr>
          <w:rFonts w:hint="eastAsia" w:ascii="仿宋" w:hAnsi="仿宋" w:eastAsia="仿宋" w:cs="宋体"/>
          <w:b/>
          <w:bCs/>
          <w:color w:val="000000"/>
          <w:kern w:val="0"/>
          <w:sz w:val="32"/>
          <w:szCs w:val="32"/>
        </w:rPr>
      </w:pPr>
      <w:r>
        <w:rPr>
          <w:rFonts w:hint="eastAsia" w:ascii="宋体" w:hAnsi="宋体"/>
          <w:bCs/>
          <w:sz w:val="24"/>
        </w:rPr>
        <w:t>达到国家建设工程质量验收的规范和标准（合格）。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E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2018-04-09T06:31:16Z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