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bookmarkStart w:id="9" w:name="_GoBack"/>
    </w:p>
    <w:p>
      <w:pPr>
        <w:ind w:left="3095" w:leftChars="212" w:hanging="2650" w:hangingChars="6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禹州市公安局执法音视频综合管理平台项目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公安局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项目名称：禹州市公安局执法音视频综合管理平台项目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8063</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ind w:left="2123" w:leftChars="877" w:hanging="281" w:hangingChars="1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禹州市公安局执法音视频综合管理平台项目</w:t>
      </w:r>
    </w:p>
    <w:p>
      <w:pPr>
        <w:ind w:left="3079" w:leftChars="1466"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　标邀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函</w:t>
      </w:r>
    </w:p>
    <w:p>
      <w:pPr>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公安局</w:t>
      </w:r>
      <w:r>
        <w:rPr>
          <w:rFonts w:hint="eastAsia" w:ascii="仿宋" w:hAnsi="仿宋" w:eastAsia="仿宋" w:cs="仿宋"/>
          <w:sz w:val="24"/>
          <w:szCs w:val="24"/>
        </w:rPr>
        <w:t>的委托，就“</w:t>
      </w:r>
      <w:r>
        <w:rPr>
          <w:rFonts w:hint="eastAsia" w:ascii="仿宋" w:hAnsi="仿宋" w:eastAsia="仿宋" w:cs="仿宋"/>
          <w:sz w:val="24"/>
          <w:szCs w:val="24"/>
          <w:lang w:eastAsia="zh-CN"/>
        </w:rPr>
        <w:t>禹州市公安局执法音视频综合管理平台项目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2、项目名称：禹州市公安局执法音视频综合管理平台项目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8063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4、项目需求：执法音视频综合管理平台</w:t>
      </w:r>
      <w:r>
        <w:rPr>
          <w:rFonts w:hint="eastAsia" w:ascii="仿宋" w:hAnsi="仿宋" w:eastAsia="仿宋" w:cs="仿宋"/>
          <w:sz w:val="24"/>
          <w:szCs w:val="24"/>
          <w:lang w:eastAsia="zh-CN"/>
        </w:rPr>
        <w:t>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166</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107.35</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hint="eastAsia" w:ascii="仿宋" w:hAnsi="仿宋" w:eastAsia="仿宋" w:cs="仿宋"/>
          <w:sz w:val="24"/>
          <w:szCs w:val="24"/>
          <w:lang w:val="en-US" w:eastAsia="zh-CN"/>
        </w:rPr>
        <w:t>10：00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华夏大道</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18839900682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禹州市公安局执法音视频综合管理平台项目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8</w:t>
            </w:r>
            <w:r>
              <w:rPr>
                <w:rFonts w:hint="eastAsia" w:ascii="仿宋" w:hAnsi="仿宋" w:eastAsia="仿宋"/>
                <w:sz w:val="24"/>
                <w:szCs w:val="24"/>
              </w:rPr>
              <w:t>日</w:t>
            </w:r>
            <w:r>
              <w:rPr>
                <w:rFonts w:hint="eastAsia" w:ascii="仿宋" w:hAnsi="仿宋" w:eastAsia="仿宋"/>
                <w:sz w:val="24"/>
                <w:szCs w:val="24"/>
                <w:lang w:val="en-US" w:eastAsia="zh-CN"/>
              </w:rPr>
              <w:t>10</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107.35</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spacing w:line="360" w:lineRule="auto"/>
        <w:jc w:val="left"/>
        <w:rPr>
          <w:rFonts w:hint="eastAsia" w:ascii="仿宋" w:hAnsi="仿宋" w:eastAsia="仿宋" w:cs="Arial Unicode MS"/>
          <w:position w:val="-4"/>
          <w:sz w:val="24"/>
          <w:lang w:val="en-US" w:eastAsia="zh-CN"/>
        </w:rPr>
      </w:pPr>
      <w:r>
        <w:rPr>
          <w:rFonts w:hint="eastAsia" w:ascii="仿宋" w:hAnsi="仿宋" w:eastAsia="仿宋" w:cs="Arial Unicode MS"/>
          <w:position w:val="-4"/>
          <w:sz w:val="24"/>
          <w:lang w:val="en-US" w:eastAsia="zh-CN"/>
        </w:rPr>
        <w:t>一、采购设备内容：</w:t>
      </w:r>
    </w:p>
    <w:tbl>
      <w:tblPr>
        <w:tblStyle w:val="36"/>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54"/>
        <w:gridCol w:w="5670"/>
        <w:gridCol w:w="61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1" w:type="dxa"/>
            <w:vAlign w:val="top"/>
          </w:tcPr>
          <w:p>
            <w:pPr>
              <w:spacing w:line="360" w:lineRule="auto"/>
              <w:jc w:val="center"/>
              <w:rPr>
                <w:rFonts w:ascii="仿宋" w:hAnsi="仿宋" w:eastAsia="仿宋" w:cs="Arial Unicode MS"/>
                <w:b/>
                <w:bCs/>
                <w:position w:val="-4"/>
                <w:sz w:val="24"/>
              </w:rPr>
            </w:pPr>
            <w:r>
              <w:rPr>
                <w:rFonts w:hint="eastAsia" w:ascii="仿宋" w:hAnsi="仿宋" w:eastAsia="仿宋" w:cs="Arial Unicode MS"/>
                <w:b/>
                <w:bCs/>
                <w:position w:val="-4"/>
                <w:sz w:val="24"/>
              </w:rPr>
              <w:t>序号</w:t>
            </w:r>
          </w:p>
        </w:tc>
        <w:tc>
          <w:tcPr>
            <w:tcW w:w="1254" w:type="dxa"/>
            <w:vAlign w:val="top"/>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产品类别</w:t>
            </w:r>
          </w:p>
        </w:tc>
        <w:tc>
          <w:tcPr>
            <w:tcW w:w="5670" w:type="dxa"/>
            <w:vAlign w:val="top"/>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技术规格</w:t>
            </w:r>
          </w:p>
        </w:tc>
        <w:tc>
          <w:tcPr>
            <w:tcW w:w="614" w:type="dxa"/>
            <w:vAlign w:val="top"/>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单位</w:t>
            </w:r>
          </w:p>
        </w:tc>
        <w:tc>
          <w:tcPr>
            <w:tcW w:w="797" w:type="dxa"/>
            <w:vAlign w:val="top"/>
          </w:tcPr>
          <w:p>
            <w:pPr>
              <w:spacing w:line="360" w:lineRule="auto"/>
              <w:jc w:val="center"/>
              <w:rPr>
                <w:rFonts w:hint="eastAsia" w:ascii="仿宋" w:hAnsi="仿宋" w:eastAsia="仿宋" w:cs="Arial Unicode MS"/>
                <w:b/>
                <w:bCs/>
                <w:position w:val="-4"/>
                <w:sz w:val="24"/>
              </w:rPr>
            </w:pPr>
            <w:r>
              <w:rPr>
                <w:rFonts w:hint="eastAsia" w:ascii="仿宋" w:hAnsi="仿宋" w:eastAsia="仿宋" w:cs="Arial Unicode MS"/>
                <w:b/>
                <w:bCs/>
                <w:position w:val="-4"/>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731"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1</w:t>
            </w:r>
          </w:p>
        </w:tc>
        <w:tc>
          <w:tcPr>
            <w:tcW w:w="125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磁盘阵列</w:t>
            </w:r>
          </w:p>
        </w:tc>
        <w:tc>
          <w:tcPr>
            <w:tcW w:w="5670"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单设备应配置≥64位多核处理器，≥4GB内存，内存支持扩展到≥32GB，需配置冗余金牌电源，支持双系统</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★单设备应标配≥2个千兆网口，可增扩8个千兆网口或增扩≥4个万兆口或≥8个光纤接口或增配≥4个HDMI接口或≥2个SAS3.0接口</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可接入2T/3T/4T/6T/8T/10TSATA磁盘，支持磁盘交错启动和漫游，并支持在线热插拔；</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★可接入硬盘≥48块，支持SATA和SAS混插，并支持≥12级扩展柜级联扩展；</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应能提供RAID0、1、3、5、6、10、50，60、JBOD、RAIDErasingCode、Raid5EE模式，支持全局、局部等多种热备选择，支持坏盘自动重构；</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★设备可对视音频、图片、智能数据（智能行为分析录像）流进行混合直存，无须存储服务器和图片服务器的参与，平台服务器宕机时，存储业务正常</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应能接入并存储1880Mbps视频图像，同时转发1880Mbps的视频图像；同时回放512Mbps的视频图像；</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★支持不低于512MBps图片并发输入，同时不低于512MBps图片并发输出</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★设备在不增加任何外围服务器硬件的情况下可由存储设备直接进行虚拟化系统部署</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★设备应能预录报警触发前1-40分钟的视频录像。</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★可接入MPEG4、H.264、H.265、Smart265、SVAC、4K编码格式的前端设备并存储录像文件,可将大华、宇视、海康等厂商SDK封装格式的视频流转成标准（MPEG4、H.264、H.265、SVAC、4K等编码格式）PS流（ProgramStream）输出。</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以上带★的须在公安部检验报告中体现</w:t>
            </w:r>
          </w:p>
        </w:tc>
        <w:tc>
          <w:tcPr>
            <w:tcW w:w="61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797"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1"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2</w:t>
            </w:r>
          </w:p>
        </w:tc>
        <w:tc>
          <w:tcPr>
            <w:tcW w:w="125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监控级硬盘</w:t>
            </w:r>
          </w:p>
        </w:tc>
        <w:tc>
          <w:tcPr>
            <w:tcW w:w="5670"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6T,7200RPM,256MB,SATA 6Gb/s</w:t>
            </w:r>
          </w:p>
        </w:tc>
        <w:tc>
          <w:tcPr>
            <w:tcW w:w="61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个</w:t>
            </w:r>
          </w:p>
        </w:tc>
        <w:tc>
          <w:tcPr>
            <w:tcW w:w="797"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1"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3</w:t>
            </w:r>
          </w:p>
        </w:tc>
        <w:tc>
          <w:tcPr>
            <w:tcW w:w="125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存储管理服务系统</w:t>
            </w:r>
          </w:p>
        </w:tc>
        <w:tc>
          <w:tcPr>
            <w:tcW w:w="5670"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E5-2620V2x2/8GB DDR3 ECCx3/480G SSD x2/热插拔/以太网口1Gx2/冗余电源/2U</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操作系统：CentOS7 64位</w:t>
            </w:r>
          </w:p>
        </w:tc>
        <w:tc>
          <w:tcPr>
            <w:tcW w:w="614" w:type="dxa"/>
            <w:vAlign w:val="top"/>
          </w:tcPr>
          <w:p>
            <w:pPr>
              <w:spacing w:line="360" w:lineRule="auto"/>
              <w:jc w:val="left"/>
              <w:rPr>
                <w:rFonts w:hint="eastAsia" w:ascii="仿宋" w:hAnsi="仿宋" w:eastAsia="仿宋" w:cs="Arial Unicode MS"/>
                <w:position w:val="-4"/>
                <w:sz w:val="24"/>
                <w:lang w:eastAsia="zh-CN"/>
              </w:rPr>
            </w:pPr>
            <w:r>
              <w:rPr>
                <w:rFonts w:hint="eastAsia" w:ascii="仿宋" w:hAnsi="仿宋" w:eastAsia="仿宋" w:cs="Arial Unicode MS"/>
                <w:position w:val="-4"/>
                <w:sz w:val="24"/>
                <w:lang w:eastAsia="zh-CN"/>
              </w:rPr>
              <w:t>套</w:t>
            </w:r>
          </w:p>
        </w:tc>
        <w:tc>
          <w:tcPr>
            <w:tcW w:w="797"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trPr>
        <w:tc>
          <w:tcPr>
            <w:tcW w:w="731"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4</w:t>
            </w:r>
          </w:p>
        </w:tc>
        <w:tc>
          <w:tcPr>
            <w:tcW w:w="125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存储管理软件</w:t>
            </w:r>
          </w:p>
        </w:tc>
        <w:tc>
          <w:tcPr>
            <w:tcW w:w="5670"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模块列表：</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1)视频录像基础模块；</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2)图片存储基础模块</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3）国标模块；</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4）抽帧转存模块；</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5）Smart前端支持；</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★存储空间利用率可以达到90%以上。</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★支持分布式对称架构与非对称架构自由切换，对称架构可升级为非对称架构。</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★支持前端设备和存储设备之间直接存储，采用块级存储，不生成文件（即不使用文件系统），无碎片。</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支持主子码流直写存储到磁盘阵列，可提供回放、下载服务。</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★支持将指定的设备创建为指定的存储空间。</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★支持系统内多存储节点故障后，只要系统内的正常存储节点不少于1台，仍可进行正常的录像写入，仍具备磁盘间容错能力。</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兼容标准的IP-SAN/FC-SAN第三方存储设备</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支持数据分散存储到存储节点上，数据呈离散式分布。</w:t>
            </w:r>
            <w:r>
              <w:rPr>
                <w:rFonts w:hint="eastAsia" w:ascii="仿宋" w:hAnsi="仿宋" w:eastAsia="仿宋" w:cs="Arial Unicode MS"/>
                <w:position w:val="-4"/>
                <w:sz w:val="24"/>
              </w:rPr>
              <w:br w:type="textWrapping"/>
            </w:r>
            <w:r>
              <w:rPr>
                <w:rFonts w:hint="eastAsia" w:ascii="仿宋" w:hAnsi="仿宋" w:eastAsia="仿宋" w:cs="Arial Unicode MS"/>
                <w:position w:val="-4"/>
                <w:sz w:val="24"/>
              </w:rPr>
              <w:t>以上带★的须在公安部检验报告中体现</w:t>
            </w:r>
          </w:p>
        </w:tc>
        <w:tc>
          <w:tcPr>
            <w:tcW w:w="61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套</w:t>
            </w:r>
          </w:p>
        </w:tc>
        <w:tc>
          <w:tcPr>
            <w:tcW w:w="797"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1"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5</w:t>
            </w:r>
          </w:p>
        </w:tc>
        <w:tc>
          <w:tcPr>
            <w:tcW w:w="125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视图库系统</w:t>
            </w:r>
          </w:p>
        </w:tc>
        <w:tc>
          <w:tcPr>
            <w:tcW w:w="5670"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对音视频、图片进行结构化处理，含服务器，配置：E5-2620V2x2/8GB DDR3 ECCx3/480G SSD x2/热插拔/以太网口1Gx2/冗余电源/2U，操作系统：CentOS7 64位</w:t>
            </w:r>
          </w:p>
        </w:tc>
        <w:tc>
          <w:tcPr>
            <w:tcW w:w="61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套</w:t>
            </w:r>
          </w:p>
        </w:tc>
        <w:tc>
          <w:tcPr>
            <w:tcW w:w="797"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1"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6</w:t>
            </w:r>
          </w:p>
        </w:tc>
        <w:tc>
          <w:tcPr>
            <w:tcW w:w="125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千兆交换机</w:t>
            </w:r>
          </w:p>
        </w:tc>
        <w:tc>
          <w:tcPr>
            <w:tcW w:w="5670"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24口千兆全网管二层交换机，机架式，24个千兆电口,4个千兆光口,支持通过console口管理。交换容量256Gbps,包转发率42Mpps</w:t>
            </w:r>
          </w:p>
        </w:tc>
        <w:tc>
          <w:tcPr>
            <w:tcW w:w="614"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台</w:t>
            </w:r>
          </w:p>
        </w:tc>
        <w:tc>
          <w:tcPr>
            <w:tcW w:w="797" w:type="dxa"/>
            <w:vAlign w:val="top"/>
          </w:tcPr>
          <w:p>
            <w:pPr>
              <w:spacing w:line="360" w:lineRule="auto"/>
              <w:jc w:val="left"/>
              <w:rPr>
                <w:rFonts w:hint="eastAsia" w:ascii="仿宋" w:hAnsi="仿宋" w:eastAsia="仿宋" w:cs="Arial Unicode MS"/>
                <w:position w:val="-4"/>
                <w:sz w:val="24"/>
              </w:rPr>
            </w:pPr>
            <w:r>
              <w:rPr>
                <w:rFonts w:hint="eastAsia" w:ascii="仿宋" w:hAnsi="仿宋" w:eastAsia="仿宋" w:cs="Arial Unicode MS"/>
                <w:position w:val="-4"/>
                <w:sz w:val="24"/>
              </w:rPr>
              <w:t>1</w:t>
            </w:r>
          </w:p>
        </w:tc>
      </w:tr>
    </w:tbl>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73"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0"/>
        <w:gridCol w:w="1019"/>
        <w:gridCol w:w="155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00" w:type="dxa"/>
            <w:vAlign w:val="center"/>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578"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lang w:eastAsia="zh-CN"/>
              </w:rPr>
              <w:t>评审</w:t>
            </w:r>
            <w:r>
              <w:rPr>
                <w:rFonts w:hint="eastAsia" w:ascii="仿宋" w:hAnsi="仿宋" w:eastAsia="仿宋" w:cs="仿宋"/>
                <w:b/>
                <w:sz w:val="24"/>
                <w:szCs w:val="24"/>
              </w:rPr>
              <w:t>内容</w:t>
            </w:r>
          </w:p>
        </w:tc>
        <w:tc>
          <w:tcPr>
            <w:tcW w:w="6095"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b/>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.1</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分值组成</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（总分100分）</w:t>
            </w:r>
          </w:p>
        </w:tc>
        <w:tc>
          <w:tcPr>
            <w:tcW w:w="6095" w:type="dxa"/>
            <w:vAlign w:val="bottom"/>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报价得分</w:t>
            </w:r>
            <w:r>
              <w:rPr>
                <w:rFonts w:hint="eastAsia" w:ascii="仿宋" w:hAnsi="仿宋" w:eastAsia="仿宋" w:cs="仿宋"/>
                <w:sz w:val="24"/>
                <w:szCs w:val="24"/>
              </w:rPr>
              <w:t>：</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商务</w:t>
            </w:r>
            <w:r>
              <w:rPr>
                <w:rFonts w:hint="eastAsia" w:ascii="仿宋" w:hAnsi="仿宋" w:eastAsia="仿宋" w:cs="仿宋"/>
                <w:sz w:val="24"/>
                <w:szCs w:val="24"/>
              </w:rPr>
              <w:t>技术</w:t>
            </w:r>
            <w:r>
              <w:rPr>
                <w:rFonts w:hint="eastAsia" w:ascii="仿宋" w:hAnsi="仿宋" w:eastAsia="仿宋" w:cs="仿宋"/>
                <w:sz w:val="24"/>
                <w:szCs w:val="24"/>
                <w:lang w:eastAsia="zh-CN"/>
              </w:rPr>
              <w:t>评分</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.2</w:t>
            </w:r>
          </w:p>
        </w:tc>
        <w:tc>
          <w:tcPr>
            <w:tcW w:w="2578" w:type="dxa"/>
            <w:gridSpan w:val="2"/>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评标基准价</w:t>
            </w:r>
          </w:p>
        </w:tc>
        <w:tc>
          <w:tcPr>
            <w:tcW w:w="6095" w:type="dxa"/>
            <w:vAlign w:val="center"/>
          </w:tcPr>
          <w:p>
            <w:pPr>
              <w:spacing w:line="360" w:lineRule="auto"/>
              <w:ind w:firstLine="72" w:firstLineChars="30"/>
              <w:jc w:val="left"/>
              <w:rPr>
                <w:rFonts w:hint="eastAsia" w:ascii="仿宋" w:hAnsi="仿宋" w:eastAsia="仿宋" w:cs="仿宋"/>
                <w:color w:val="FF0000"/>
                <w:sz w:val="24"/>
                <w:szCs w:val="24"/>
              </w:rPr>
            </w:pPr>
            <w:r>
              <w:rPr>
                <w:rFonts w:hint="eastAsia" w:ascii="仿宋" w:hAnsi="仿宋" w:eastAsia="仿宋" w:cs="仿宋"/>
                <w:sz w:val="24"/>
                <w:szCs w:val="24"/>
              </w:rPr>
              <w:t>评标基准价指满足招标文件要求且投标价格最低的投标报价为评标基准价</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.3</w:t>
            </w:r>
          </w:p>
        </w:tc>
        <w:tc>
          <w:tcPr>
            <w:tcW w:w="2578" w:type="dxa"/>
            <w:gridSpan w:val="2"/>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投标报价得分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c>
          <w:tcPr>
            <w:tcW w:w="6095"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价格得分=（评标基准价/投标报价）×50</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64" w:hRule="atLeast"/>
        </w:trPr>
        <w:tc>
          <w:tcPr>
            <w:tcW w:w="900" w:type="dxa"/>
            <w:vMerge w:val="restart"/>
            <w:tcBorders>
              <w:right w:val="single" w:color="auto" w:sz="4" w:space="0"/>
            </w:tcBorders>
            <w:vAlign w:val="center"/>
          </w:tcPr>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w:t>
            </w:r>
          </w:p>
        </w:tc>
        <w:tc>
          <w:tcPr>
            <w:tcW w:w="1019" w:type="dxa"/>
            <w:vMerge w:val="restart"/>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务</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w:t>
            </w:r>
          </w:p>
          <w:p>
            <w:pPr>
              <w:pStyle w:val="19"/>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企业综合实力</w:t>
            </w:r>
          </w:p>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color w:val="000000"/>
                <w:sz w:val="24"/>
                <w:szCs w:val="24"/>
              </w:rPr>
              <w:t>及项目班子配备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tc>
        <w:tc>
          <w:tcPr>
            <w:tcW w:w="6095" w:type="dxa"/>
            <w:tcBorders>
              <w:left w:val="single" w:color="auto" w:sz="4" w:space="0"/>
            </w:tcBorders>
            <w:vAlign w:val="center"/>
          </w:tcPr>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322"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主要设备、材料的质量和性能</w:t>
            </w:r>
            <w:r>
              <w:rPr>
                <w:rFonts w:hint="eastAsia" w:ascii="仿宋" w:hAnsi="仿宋" w:eastAsia="仿宋" w:cs="仿宋"/>
                <w:sz w:val="24"/>
                <w:szCs w:val="24"/>
              </w:rPr>
              <w:t>（</w:t>
            </w:r>
            <w:r>
              <w:rPr>
                <w:rFonts w:hint="eastAsia" w:ascii="仿宋" w:hAnsi="仿宋" w:eastAsia="仿宋" w:cs="仿宋"/>
                <w:sz w:val="24"/>
                <w:szCs w:val="24"/>
                <w:lang w:val="en-US" w:eastAsia="zh-CN"/>
              </w:rPr>
              <w:t>0-22</w:t>
            </w:r>
            <w:r>
              <w:rPr>
                <w:rFonts w:hint="eastAsia" w:ascii="仿宋" w:hAnsi="仿宋" w:eastAsia="仿宋" w:cs="仿宋"/>
                <w:sz w:val="24"/>
                <w:szCs w:val="24"/>
              </w:rPr>
              <w:t>分）</w:t>
            </w:r>
          </w:p>
        </w:tc>
        <w:tc>
          <w:tcPr>
            <w:tcW w:w="6095" w:type="dxa"/>
            <w:tcBorders>
              <w:left w:val="single" w:color="auto" w:sz="4" w:space="0"/>
            </w:tcBorders>
            <w:vAlign w:val="center"/>
          </w:tcPr>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、所投云存储磁盘阵列产品的制造商获得中华人民共和国工商行政管理总局颁发的工商企业信用 “守合同重信用单位”</w:t>
            </w:r>
            <w:r>
              <w:rPr>
                <w:rFonts w:hint="eastAsia" w:ascii="仿宋" w:hAnsi="仿宋" w:eastAsia="仿宋" w:cs="仿宋"/>
                <w:kern w:val="0"/>
                <w:sz w:val="24"/>
                <w:szCs w:val="24"/>
                <w:lang w:eastAsia="zh-CN"/>
              </w:rPr>
              <w:t>荣誉</w:t>
            </w:r>
            <w:r>
              <w:rPr>
                <w:rFonts w:hint="eastAsia" w:ascii="仿宋" w:hAnsi="仿宋" w:eastAsia="仿宋" w:cs="仿宋"/>
                <w:kern w:val="0"/>
                <w:sz w:val="24"/>
                <w:szCs w:val="24"/>
              </w:rPr>
              <w:t>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获得</w:t>
            </w:r>
            <w:r>
              <w:rPr>
                <w:rFonts w:hint="eastAsia" w:ascii="仿宋" w:hAnsi="仿宋" w:eastAsia="仿宋" w:cs="仿宋"/>
                <w:kern w:val="0"/>
                <w:sz w:val="24"/>
                <w:szCs w:val="24"/>
                <w:lang w:eastAsia="zh-CN"/>
              </w:rPr>
              <w:t>省级</w:t>
            </w:r>
            <w:r>
              <w:rPr>
                <w:rFonts w:hint="eastAsia" w:ascii="仿宋" w:hAnsi="仿宋" w:eastAsia="仿宋" w:cs="仿宋"/>
                <w:kern w:val="0"/>
                <w:sz w:val="24"/>
                <w:szCs w:val="24"/>
              </w:rPr>
              <w:t xml:space="preserve"> “守合同重信用单位”</w:t>
            </w:r>
            <w:r>
              <w:rPr>
                <w:rFonts w:hint="eastAsia" w:ascii="仿宋" w:hAnsi="仿宋" w:eastAsia="仿宋" w:cs="仿宋"/>
                <w:kern w:val="0"/>
                <w:sz w:val="24"/>
                <w:szCs w:val="24"/>
                <w:lang w:eastAsia="zh-CN"/>
              </w:rPr>
              <w:t>荣誉</w:t>
            </w:r>
            <w:r>
              <w:rPr>
                <w:rFonts w:hint="eastAsia" w:ascii="仿宋" w:hAnsi="仿宋" w:eastAsia="仿宋" w:cs="仿宋"/>
                <w:kern w:val="0"/>
                <w:sz w:val="24"/>
                <w:szCs w:val="24"/>
              </w:rPr>
              <w:t xml:space="preserve"> 的得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分；所投千兆交换机产品的制造商获得中华人民共和国工商行政管理总局颁发的工商企业信用 “守合同重信用单位” 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获得</w:t>
            </w:r>
            <w:r>
              <w:rPr>
                <w:rFonts w:hint="eastAsia" w:ascii="仿宋" w:hAnsi="仿宋" w:eastAsia="仿宋" w:cs="仿宋"/>
                <w:kern w:val="0"/>
                <w:sz w:val="24"/>
                <w:szCs w:val="24"/>
                <w:lang w:eastAsia="zh-CN"/>
              </w:rPr>
              <w:t>省级</w:t>
            </w:r>
            <w:r>
              <w:rPr>
                <w:rFonts w:hint="eastAsia" w:ascii="仿宋" w:hAnsi="仿宋" w:eastAsia="仿宋" w:cs="仿宋"/>
                <w:kern w:val="0"/>
                <w:sz w:val="24"/>
                <w:szCs w:val="24"/>
              </w:rPr>
              <w:t xml:space="preserve"> “守合同重信用单位”</w:t>
            </w:r>
            <w:r>
              <w:rPr>
                <w:rFonts w:hint="eastAsia" w:ascii="仿宋" w:hAnsi="仿宋" w:eastAsia="仿宋" w:cs="仿宋"/>
                <w:kern w:val="0"/>
                <w:sz w:val="24"/>
                <w:szCs w:val="24"/>
                <w:lang w:eastAsia="zh-CN"/>
              </w:rPr>
              <w:t>荣誉</w:t>
            </w:r>
            <w:r>
              <w:rPr>
                <w:rFonts w:hint="eastAsia" w:ascii="仿宋" w:hAnsi="仿宋" w:eastAsia="仿宋" w:cs="仿宋"/>
                <w:kern w:val="0"/>
                <w:sz w:val="24"/>
                <w:szCs w:val="24"/>
              </w:rPr>
              <w:t xml:space="preserve"> 的得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 xml:space="preserve">分。（投标时提供有效证明材料复印件并加盖原厂商公章）； </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、投标人所投云存储磁盘阵列产品的制造商获得国家级科技类奖的得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获得</w:t>
            </w:r>
            <w:r>
              <w:rPr>
                <w:rFonts w:hint="eastAsia" w:ascii="仿宋" w:hAnsi="仿宋" w:eastAsia="仿宋" w:cs="仿宋"/>
                <w:kern w:val="0"/>
                <w:sz w:val="24"/>
                <w:szCs w:val="24"/>
                <w:lang w:eastAsia="zh-CN"/>
              </w:rPr>
              <w:t>省</w:t>
            </w:r>
            <w:r>
              <w:rPr>
                <w:rFonts w:hint="eastAsia" w:ascii="仿宋" w:hAnsi="仿宋" w:eastAsia="仿宋" w:cs="仿宋"/>
                <w:kern w:val="0"/>
                <w:sz w:val="24"/>
                <w:szCs w:val="24"/>
              </w:rPr>
              <w:t>级科技类奖的得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分；所投千兆交换机产品的制造商获得国家级科技类奖的得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获得</w:t>
            </w:r>
            <w:r>
              <w:rPr>
                <w:rFonts w:hint="eastAsia" w:ascii="仿宋" w:hAnsi="仿宋" w:eastAsia="仿宋" w:cs="仿宋"/>
                <w:kern w:val="0"/>
                <w:sz w:val="24"/>
                <w:szCs w:val="24"/>
                <w:lang w:eastAsia="zh-CN"/>
              </w:rPr>
              <w:t>省</w:t>
            </w:r>
            <w:r>
              <w:rPr>
                <w:rFonts w:hint="eastAsia" w:ascii="仿宋" w:hAnsi="仿宋" w:eastAsia="仿宋" w:cs="仿宋"/>
                <w:kern w:val="0"/>
                <w:sz w:val="24"/>
                <w:szCs w:val="24"/>
              </w:rPr>
              <w:t>级科技类奖的得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分。（投标时提供有效证明材料复印件并加盖原厂商公章）；</w:t>
            </w:r>
          </w:p>
          <w:p>
            <w:pPr>
              <w:spacing w:line="360" w:lineRule="auto"/>
              <w:ind w:firstLine="72" w:firstLineChars="3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所投云存储磁盘阵列产品的制造商具有安全生产标准化二级及以上证书的得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分；所投千兆交换机产品的制造商具有安全生产标准化二级及以上证书的得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分。（投标时提供有效证明材料复印件并加盖原厂商公章）；</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、设备技术参数（</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pacing w:line="360" w:lineRule="auto"/>
              <w:rPr>
                <w:rFonts w:hint="eastAsia" w:ascii="仿宋" w:hAnsi="仿宋" w:eastAsia="仿宋" w:cs="仿宋"/>
                <w:sz w:val="24"/>
                <w:szCs w:val="24"/>
              </w:rPr>
            </w:pPr>
            <w:r>
              <w:rPr>
                <w:rFonts w:hint="eastAsia" w:ascii="仿宋" w:hAnsi="仿宋" w:eastAsia="仿宋" w:cs="仿宋"/>
                <w:sz w:val="24"/>
                <w:szCs w:val="24"/>
              </w:rPr>
              <w:t>投标人所提供货物必须为“无偏离或正偏离”，评委根据正楄离情况在</w:t>
            </w:r>
            <w:r>
              <w:rPr>
                <w:rFonts w:hint="eastAsia" w:ascii="仿宋" w:hAnsi="仿宋" w:eastAsia="仿宋" w:cs="仿宋"/>
                <w:sz w:val="24"/>
                <w:szCs w:val="24"/>
                <w:lang w:val="en-US" w:eastAsia="zh-CN"/>
              </w:rPr>
              <w:t>0-6</w:t>
            </w:r>
            <w:r>
              <w:rPr>
                <w:rFonts w:hint="eastAsia" w:ascii="仿宋" w:hAnsi="仿宋" w:eastAsia="仿宋" w:cs="仿宋"/>
                <w:sz w:val="24"/>
                <w:szCs w:val="24"/>
              </w:rPr>
              <w:t>分内加分（最多加</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54" w:hRule="atLeast"/>
        </w:trPr>
        <w:tc>
          <w:tcPr>
            <w:tcW w:w="900" w:type="dxa"/>
            <w:vMerge w:val="continue"/>
            <w:tcBorders>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019" w:type="dxa"/>
            <w:vMerge w:val="continue"/>
            <w:tcBorders>
              <w:left w:val="single" w:color="auto" w:sz="4" w:space="0"/>
              <w:right w:val="single" w:color="auto" w:sz="4" w:space="0"/>
            </w:tcBorders>
            <w:vAlign w:val="center"/>
          </w:tcPr>
          <w:p>
            <w:pPr>
              <w:pStyle w:val="19"/>
              <w:spacing w:line="360" w:lineRule="auto"/>
              <w:jc w:val="center"/>
              <w:rPr>
                <w:rFonts w:hint="eastAsia" w:ascii="仿宋" w:hAnsi="仿宋" w:eastAsia="仿宋" w:cs="仿宋"/>
                <w:sz w:val="24"/>
                <w:szCs w:val="24"/>
              </w:rPr>
            </w:pPr>
          </w:p>
        </w:tc>
        <w:tc>
          <w:tcPr>
            <w:tcW w:w="1559" w:type="dxa"/>
            <w:tcBorders>
              <w:left w:val="single" w:color="auto" w:sz="4" w:space="0"/>
              <w:right w:val="single" w:color="auto" w:sz="4" w:space="0"/>
            </w:tcBorders>
            <w:vAlign w:val="center"/>
          </w:tcPr>
          <w:p>
            <w:pPr>
              <w:spacing w:line="360" w:lineRule="auto"/>
              <w:ind w:firstLine="72" w:firstLineChars="30"/>
              <w:jc w:val="center"/>
              <w:rPr>
                <w:rFonts w:hint="eastAsia" w:ascii="仿宋" w:hAnsi="仿宋" w:eastAsia="仿宋" w:cs="仿宋"/>
                <w:sz w:val="24"/>
                <w:szCs w:val="24"/>
              </w:rPr>
            </w:pPr>
            <w:r>
              <w:rPr>
                <w:rFonts w:hint="eastAsia" w:ascii="仿宋" w:hAnsi="仿宋" w:eastAsia="仿宋" w:cs="仿宋"/>
                <w:sz w:val="24"/>
                <w:szCs w:val="24"/>
              </w:rPr>
              <w:t>售后服务</w:t>
            </w:r>
          </w:p>
          <w:p>
            <w:pPr>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6095" w:type="dxa"/>
            <w:tcBorders>
              <w:left w:val="single" w:color="auto" w:sz="4" w:space="0"/>
            </w:tcBorders>
            <w:vAlign w:val="center"/>
          </w:tcPr>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1、售后服务（</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-2分） </w:t>
            </w:r>
          </w:p>
          <w:p>
            <w:pPr>
              <w:autoSpaceDE w:val="0"/>
              <w:autoSpaceDN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根据技术培训内容、形式、时间安排的合理性以及投标人在方案中阐述的售后服务情况，在1-2分范围内酌情打分。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2、售后响应时间（</w:t>
            </w:r>
            <w:r>
              <w:rPr>
                <w:rFonts w:hint="eastAsia" w:ascii="仿宋" w:hAnsi="仿宋" w:eastAsia="仿宋" w:cs="仿宋"/>
                <w:sz w:val="24"/>
                <w:szCs w:val="24"/>
                <w:lang w:val="en-US" w:eastAsia="zh-CN"/>
              </w:rPr>
              <w:t>0-2</w:t>
            </w:r>
            <w:r>
              <w:rPr>
                <w:rFonts w:hint="eastAsia" w:ascii="仿宋" w:hAnsi="仿宋" w:eastAsia="仿宋" w:cs="仿宋"/>
                <w:sz w:val="24"/>
                <w:szCs w:val="24"/>
              </w:rPr>
              <w:t>分）</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售后服务上门响应时间以小时为单位，以6小时为起点，基本分0.5分，每减少1小时，加0.5分，</w:t>
            </w:r>
            <w:r>
              <w:rPr>
                <w:rFonts w:hint="eastAsia" w:ascii="仿宋" w:hAnsi="仿宋" w:eastAsia="仿宋" w:cs="仿宋"/>
                <w:sz w:val="24"/>
                <w:szCs w:val="24"/>
                <w:lang w:eastAsia="zh-CN"/>
              </w:rPr>
              <w:t>最多加</w:t>
            </w:r>
            <w:r>
              <w:rPr>
                <w:rFonts w:hint="eastAsia" w:ascii="仿宋" w:hAnsi="仿宋" w:eastAsia="仿宋" w:cs="仿宋"/>
                <w:sz w:val="24"/>
                <w:szCs w:val="24"/>
                <w:lang w:val="en-US" w:eastAsia="zh-CN"/>
              </w:rPr>
              <w:t>2</w:t>
            </w:r>
            <w:r>
              <w:rPr>
                <w:rFonts w:hint="eastAsia" w:ascii="仿宋" w:hAnsi="仿宋" w:eastAsia="仿宋" w:cs="仿宋"/>
                <w:sz w:val="24"/>
                <w:szCs w:val="24"/>
              </w:rPr>
              <w:t>分，6小时以上的不得分。</w:t>
            </w:r>
          </w:p>
          <w:p>
            <w:pPr>
              <w:autoSpaceDE w:val="0"/>
              <w:autoSpaceDN w:val="0"/>
              <w:spacing w:line="360" w:lineRule="auto"/>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rPr>
              <w:t>服务承诺（</w:t>
            </w:r>
            <w:r>
              <w:rPr>
                <w:rFonts w:hint="eastAsia" w:ascii="仿宋" w:hAnsi="仿宋" w:eastAsia="仿宋" w:cs="仿宋"/>
                <w:color w:val="000000"/>
                <w:sz w:val="24"/>
                <w:szCs w:val="24"/>
                <w:lang w:val="en-US" w:eastAsia="zh-CN"/>
              </w:rPr>
              <w:t>0-2</w:t>
            </w:r>
            <w:r>
              <w:rPr>
                <w:rFonts w:hint="eastAsia" w:ascii="仿宋" w:hAnsi="仿宋" w:eastAsia="仿宋" w:cs="仿宋"/>
                <w:color w:val="000000"/>
                <w:sz w:val="24"/>
                <w:szCs w:val="24"/>
              </w:rPr>
              <w:t>分）</w:t>
            </w:r>
          </w:p>
          <w:p>
            <w:pPr>
              <w:spacing w:line="360" w:lineRule="auto"/>
              <w:rPr>
                <w:rFonts w:hint="eastAsia" w:ascii="仿宋" w:hAnsi="仿宋" w:eastAsia="仿宋" w:cs="仿宋"/>
                <w:sz w:val="24"/>
                <w:szCs w:val="24"/>
              </w:rPr>
            </w:pPr>
            <w:r>
              <w:rPr>
                <w:rFonts w:hint="eastAsia" w:ascii="仿宋" w:hAnsi="仿宋" w:eastAsia="仿宋" w:cs="仿宋"/>
                <w:sz w:val="24"/>
                <w:szCs w:val="24"/>
              </w:rPr>
              <w:t>评标委员会根据响应情况进行横向比较得分。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restart"/>
            <w:vAlign w:val="center"/>
          </w:tcPr>
          <w:p>
            <w:pPr>
              <w:pStyle w:val="19"/>
              <w:spacing w:line="360" w:lineRule="auto"/>
              <w:ind w:firstLine="45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5</w:t>
            </w:r>
          </w:p>
          <w:p>
            <w:pPr>
              <w:pStyle w:val="19"/>
              <w:spacing w:line="360" w:lineRule="auto"/>
              <w:rPr>
                <w:rFonts w:hint="eastAsia" w:ascii="仿宋" w:hAnsi="仿宋" w:eastAsia="仿宋" w:cs="仿宋"/>
                <w:sz w:val="24"/>
                <w:szCs w:val="24"/>
              </w:rPr>
            </w:pPr>
          </w:p>
        </w:tc>
        <w:tc>
          <w:tcPr>
            <w:tcW w:w="1019" w:type="dxa"/>
            <w:vMerge w:val="restart"/>
            <w:vAlign w:val="center"/>
          </w:tcPr>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技</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rPr>
              <w:t>术</w:t>
            </w:r>
          </w:p>
          <w:p>
            <w:pPr>
              <w:pStyle w:val="19"/>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部</w:t>
            </w:r>
          </w:p>
          <w:p>
            <w:pPr>
              <w:pStyle w:val="19"/>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分</w:t>
            </w:r>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（20分）</w:t>
            </w:r>
          </w:p>
        </w:tc>
        <w:tc>
          <w:tcPr>
            <w:tcW w:w="1559" w:type="dxa"/>
            <w:vAlign w:val="center"/>
          </w:tcPr>
          <w:p>
            <w:pPr>
              <w:autoSpaceDE w:val="0"/>
              <w:autoSpaceDN w:val="0"/>
              <w:adjustRightInd w:val="0"/>
              <w:spacing w:line="360" w:lineRule="auto"/>
              <w:jc w:val="center"/>
              <w:rPr>
                <w:rFonts w:hint="eastAsia" w:ascii="仿宋" w:hAnsi="仿宋" w:eastAsia="仿宋" w:cs="仿宋"/>
                <w:kern w:val="0"/>
                <w:sz w:val="24"/>
                <w:szCs w:val="24"/>
              </w:rPr>
            </w:pPr>
            <w:bookmarkStart w:id="0" w:name="OLE_LINK5"/>
            <w:r>
              <w:rPr>
                <w:rFonts w:hint="eastAsia" w:ascii="仿宋" w:hAnsi="仿宋" w:eastAsia="仿宋" w:cs="仿宋"/>
                <w:kern w:val="0"/>
                <w:sz w:val="24"/>
                <w:szCs w:val="24"/>
              </w:rPr>
              <w:t>项目实施方案</w:t>
            </w:r>
            <w:bookmarkEnd w:id="0"/>
          </w:p>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6095" w:type="dxa"/>
            <w:vAlign w:val="center"/>
          </w:tcPr>
          <w:p>
            <w:pPr>
              <w:widowControl/>
              <w:adjustRightInd w:val="0"/>
              <w:spacing w:line="360" w:lineRule="auto"/>
              <w:jc w:val="left"/>
              <w:rPr>
                <w:rFonts w:hint="eastAsia" w:ascii="仿宋" w:hAnsi="仿宋" w:eastAsia="仿宋" w:cs="仿宋"/>
                <w:sz w:val="24"/>
                <w:szCs w:val="24"/>
              </w:rPr>
            </w:pPr>
            <w:bookmarkStart w:id="1" w:name="OLE_LINK9"/>
            <w:r>
              <w:rPr>
                <w:rFonts w:hint="eastAsia" w:ascii="仿宋" w:hAnsi="仿宋" w:eastAsia="仿宋" w:cs="仿宋"/>
                <w:sz w:val="24"/>
                <w:szCs w:val="24"/>
              </w:rPr>
              <w:t>（1）</w:t>
            </w:r>
            <w:bookmarkStart w:id="2" w:name="OLE_LINK28"/>
            <w:bookmarkStart w:id="3" w:name="OLE_LINK7"/>
            <w:r>
              <w:rPr>
                <w:rFonts w:hint="eastAsia" w:ascii="仿宋" w:hAnsi="仿宋" w:eastAsia="仿宋" w:cs="仿宋"/>
                <w:sz w:val="24"/>
                <w:szCs w:val="24"/>
              </w:rPr>
              <w:t>设备供货、安装、调试方案</w:t>
            </w:r>
            <w:bookmarkEnd w:id="2"/>
            <w:bookmarkStart w:id="4" w:name="OLE_LINK6"/>
            <w:r>
              <w:rPr>
                <w:rFonts w:hint="eastAsia" w:ascii="仿宋" w:hAnsi="仿宋" w:eastAsia="仿宋" w:cs="仿宋"/>
                <w:sz w:val="24"/>
                <w:szCs w:val="24"/>
              </w:rPr>
              <w:t>（1-2分）</w:t>
            </w:r>
            <w:bookmarkEnd w:id="4"/>
          </w:p>
          <w:bookmarkEnd w:id="3"/>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w:t>
            </w:r>
            <w:bookmarkStart w:id="5" w:name="OLE_LINK29"/>
            <w:r>
              <w:rPr>
                <w:rFonts w:hint="eastAsia" w:ascii="仿宋" w:hAnsi="仿宋" w:eastAsia="仿宋" w:cs="仿宋"/>
                <w:sz w:val="24"/>
                <w:szCs w:val="24"/>
              </w:rPr>
              <w:t>伴随服务</w:t>
            </w:r>
            <w:bookmarkEnd w:id="5"/>
            <w:bookmarkStart w:id="6" w:name="OLE_LINK8"/>
            <w:r>
              <w:rPr>
                <w:rFonts w:hint="eastAsia" w:ascii="仿宋" w:hAnsi="仿宋" w:eastAsia="仿宋" w:cs="仿宋"/>
                <w:sz w:val="24"/>
                <w:szCs w:val="24"/>
              </w:rPr>
              <w:t>（1-2分）</w:t>
            </w:r>
            <w:bookmarkEnd w:id="6"/>
          </w:p>
          <w:p>
            <w:pPr>
              <w:widowControl/>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w:t>
            </w:r>
            <w:bookmarkStart w:id="7" w:name="OLE_LINK31"/>
            <w:r>
              <w:rPr>
                <w:rFonts w:hint="eastAsia" w:ascii="仿宋" w:hAnsi="仿宋" w:eastAsia="仿宋" w:cs="仿宋"/>
                <w:sz w:val="24"/>
                <w:szCs w:val="24"/>
              </w:rPr>
              <w:t>成品保护措施</w:t>
            </w:r>
            <w:bookmarkEnd w:id="7"/>
            <w:r>
              <w:rPr>
                <w:rFonts w:hint="eastAsia" w:ascii="仿宋" w:hAnsi="仿宋" w:eastAsia="仿宋" w:cs="仿宋"/>
                <w:sz w:val="24"/>
                <w:szCs w:val="24"/>
              </w:rPr>
              <w:t>（1-2分）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1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供货安装质量保证措施</w:t>
            </w:r>
            <w:r>
              <w:rPr>
                <w:rFonts w:hint="eastAsia" w:ascii="仿宋" w:hAnsi="仿宋" w:eastAsia="仿宋" w:cs="仿宋"/>
                <w:kern w:val="0"/>
                <w:sz w:val="24"/>
                <w:szCs w:val="24"/>
              </w:rPr>
              <w:t>（3分）</w:t>
            </w:r>
          </w:p>
        </w:tc>
        <w:tc>
          <w:tcPr>
            <w:tcW w:w="6095"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供货及安装质量保证措施可行的得1-3分，没有的不得分。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供货及安装进度保证措施</w:t>
            </w:r>
            <w:r>
              <w:rPr>
                <w:rFonts w:hint="eastAsia" w:ascii="仿宋" w:hAnsi="仿宋" w:eastAsia="仿宋" w:cs="仿宋"/>
                <w:kern w:val="0"/>
                <w:sz w:val="24"/>
                <w:szCs w:val="24"/>
              </w:rPr>
              <w:t>（3分）</w:t>
            </w:r>
          </w:p>
        </w:tc>
        <w:tc>
          <w:tcPr>
            <w:tcW w:w="6095"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供货及安装进度保证措施可行的得1-3分，没有的不得分。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后续服务的安排及保证措施</w:t>
            </w:r>
            <w:r>
              <w:rPr>
                <w:rFonts w:hint="eastAsia" w:ascii="仿宋" w:hAnsi="仿宋" w:eastAsia="仿宋" w:cs="仿宋"/>
                <w:kern w:val="0"/>
                <w:sz w:val="24"/>
                <w:szCs w:val="24"/>
              </w:rPr>
              <w:t>（5分）</w:t>
            </w:r>
          </w:p>
        </w:tc>
        <w:tc>
          <w:tcPr>
            <w:tcW w:w="6095"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有后续服务的安排及保证措施得在1-5分范围内酌情打分，没有的不得分。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00" w:type="dxa"/>
            <w:vMerge w:val="continue"/>
            <w:vAlign w:val="center"/>
          </w:tcPr>
          <w:p>
            <w:pPr>
              <w:pStyle w:val="19"/>
              <w:spacing w:line="360" w:lineRule="auto"/>
              <w:jc w:val="center"/>
              <w:rPr>
                <w:rFonts w:hint="eastAsia" w:ascii="仿宋" w:hAnsi="仿宋" w:eastAsia="仿宋" w:cs="仿宋"/>
                <w:sz w:val="24"/>
                <w:szCs w:val="24"/>
              </w:rPr>
            </w:pPr>
          </w:p>
        </w:tc>
        <w:tc>
          <w:tcPr>
            <w:tcW w:w="1019" w:type="dxa"/>
            <w:vMerge w:val="continue"/>
            <w:vAlign w:val="center"/>
          </w:tcPr>
          <w:p>
            <w:pPr>
              <w:pStyle w:val="19"/>
              <w:spacing w:line="360" w:lineRule="auto"/>
              <w:jc w:val="center"/>
              <w:rPr>
                <w:rFonts w:hint="eastAsia" w:ascii="仿宋" w:hAnsi="仿宋" w:eastAsia="仿宋" w:cs="仿宋"/>
                <w:sz w:val="24"/>
                <w:szCs w:val="24"/>
              </w:rPr>
            </w:pPr>
          </w:p>
        </w:tc>
        <w:tc>
          <w:tcPr>
            <w:tcW w:w="1559" w:type="dxa"/>
            <w:vAlign w:val="center"/>
          </w:tcPr>
          <w:p>
            <w:pPr>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技术培训计划</w:t>
            </w:r>
            <w:r>
              <w:rPr>
                <w:rFonts w:hint="eastAsia" w:ascii="仿宋" w:hAnsi="仿宋" w:eastAsia="仿宋" w:cs="仿宋"/>
                <w:kern w:val="0"/>
                <w:sz w:val="24"/>
                <w:szCs w:val="24"/>
              </w:rPr>
              <w:t>（3分）</w:t>
            </w:r>
          </w:p>
        </w:tc>
        <w:tc>
          <w:tcPr>
            <w:tcW w:w="6095" w:type="dxa"/>
            <w:vAlign w:val="center"/>
          </w:tcPr>
          <w:p>
            <w:pPr>
              <w:pStyle w:val="19"/>
              <w:spacing w:line="360" w:lineRule="auto"/>
              <w:jc w:val="left"/>
              <w:rPr>
                <w:rFonts w:hint="eastAsia" w:ascii="仿宋" w:hAnsi="仿宋" w:eastAsia="仿宋" w:cs="仿宋"/>
                <w:sz w:val="24"/>
                <w:szCs w:val="24"/>
              </w:rPr>
            </w:pPr>
            <w:r>
              <w:rPr>
                <w:rFonts w:hint="eastAsia" w:ascii="仿宋" w:hAnsi="仿宋" w:eastAsia="仿宋" w:cs="仿宋"/>
                <w:sz w:val="24"/>
                <w:szCs w:val="24"/>
              </w:rPr>
              <w:t>根据技术培训内容、形式、时间安排的合理性在1-3分范围内酌情打分，没有的不得分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8" w:name="_Toc606"/>
          </w:p>
        </w:tc>
      </w:tr>
      <w:bookmarkEnd w:id="8"/>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服务周期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bookmarkEnd w:id="9"/>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7"/>
  </w:num>
  <w:num w:numId="4">
    <w:abstractNumId w:val="4"/>
  </w:num>
  <w:num w:numId="5">
    <w:abstractNumId w:val="3"/>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2018-03-16T03:20:04Z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