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1790" w:firstLineChars="450"/>
        <w:rPr>
          <w:rFonts w:hint="eastAsia" w:ascii="仿宋" w:hAnsi="仿宋" w:eastAsia="仿宋"/>
          <w:b/>
          <w:w w:val="90"/>
          <w:sz w:val="44"/>
          <w:szCs w:val="44"/>
          <w:lang w:eastAsia="zh-CN"/>
        </w:rPr>
      </w:pPr>
      <w:r>
        <w:rPr>
          <w:rFonts w:hint="eastAsia" w:ascii="仿宋" w:hAnsi="仿宋" w:eastAsia="仿宋"/>
          <w:b/>
          <w:w w:val="90"/>
          <w:sz w:val="44"/>
          <w:szCs w:val="44"/>
          <w:lang w:eastAsia="zh-CN"/>
        </w:rPr>
        <w:t>禹州市公安局民警餐厅委托服务项目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公安局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项目名称：民警餐厅委托服务项目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8091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lang w:val="en-US" w:eastAsia="zh-CN"/>
        </w:rPr>
        <w:t xml:space="preserve"> </w:t>
      </w: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ind w:firstLine="2249" w:firstLineChars="8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禹州市公安局民警餐厅委托服务项目</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招标邀请函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w:t>
      </w:r>
      <w:r>
        <w:rPr>
          <w:rFonts w:hint="eastAsia" w:ascii="仿宋" w:hAnsi="仿宋" w:eastAsia="仿宋" w:cs="仿宋"/>
          <w:sz w:val="24"/>
          <w:szCs w:val="24"/>
          <w:lang w:eastAsia="zh-CN"/>
        </w:rPr>
        <w:t>禹州市公安局民警餐厅委托服务项目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2、项目名称：禹州市公安局民警餐厅委托服务项目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8091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4、项目需求：民警餐厅委托服务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219</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219</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 xml:space="preserve">前  附 </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w:t>
            </w:r>
            <w:r>
              <w:rPr>
                <w:rFonts w:hint="eastAsia" w:ascii="仿宋" w:hAnsi="仿宋" w:eastAsia="仿宋" w:cs="仿宋"/>
                <w:sz w:val="24"/>
                <w:szCs w:val="24"/>
                <w:lang w:eastAsia="zh-CN"/>
              </w:rPr>
              <w:t>民警餐厅委托服务项目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eastAsia="zh-CN"/>
              </w:rPr>
              <w:t>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2</w:t>
            </w:r>
            <w:r>
              <w:rPr>
                <w:rFonts w:hint="eastAsia" w:ascii="仿宋" w:hAnsi="仿宋" w:eastAsia="仿宋"/>
                <w:sz w:val="24"/>
                <w:szCs w:val="24"/>
              </w:rPr>
              <w:t>日</w:t>
            </w:r>
            <w:r>
              <w:rPr>
                <w:rFonts w:hint="eastAsia" w:ascii="仿宋" w:hAnsi="仿宋" w:eastAsia="仿宋"/>
                <w:sz w:val="24"/>
                <w:szCs w:val="24"/>
                <w:lang w:val="en-US" w:eastAsia="zh-CN"/>
              </w:rPr>
              <w:t xml:space="preserve">  9</w:t>
            </w:r>
            <w:r>
              <w:rPr>
                <w:rFonts w:hint="eastAsia" w:ascii="仿宋" w:hAnsi="仿宋" w:eastAsia="仿宋"/>
                <w:sz w:val="24"/>
                <w:szCs w:val="24"/>
              </w:rPr>
              <w:t>：</w:t>
            </w:r>
            <w:r>
              <w:rPr>
                <w:rFonts w:hint="eastAsia" w:ascii="仿宋" w:hAnsi="仿宋" w:eastAsia="仿宋"/>
                <w:sz w:val="24"/>
                <w:szCs w:val="24"/>
                <w:lang w:val="en-US" w:eastAsia="zh-C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w:t>
            </w:r>
            <w:r>
              <w:rPr>
                <w:rFonts w:hint="eastAsia" w:ascii="仿宋" w:hAnsi="仿宋" w:eastAsia="仿宋"/>
                <w:color w:val="FF0000"/>
                <w:sz w:val="24"/>
                <w:szCs w:val="24"/>
                <w:lang w:val="en-US" w:eastAsia="zh-CN"/>
              </w:rPr>
              <w:t xml:space="preserve">00 </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 xml:space="preserve">  9</w:t>
            </w:r>
            <w:r>
              <w:rPr>
                <w:rFonts w:hint="eastAsia" w:ascii="仿宋" w:hAnsi="仿宋" w:eastAsia="仿宋"/>
                <w:color w:val="FF0000"/>
                <w:sz w:val="24"/>
                <w:szCs w:val="24"/>
              </w:rPr>
              <w:t>：</w:t>
            </w:r>
            <w:r>
              <w:rPr>
                <w:rFonts w:hint="eastAsia" w:ascii="仿宋" w:hAnsi="仿宋" w:eastAsia="仿宋"/>
                <w:color w:val="FF0000"/>
                <w:sz w:val="24"/>
                <w:szCs w:val="24"/>
                <w:lang w:val="en-US" w:eastAsia="zh-C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theme="minorBidi"/>
                <w:color w:val="FF0000"/>
                <w:kern w:val="2"/>
                <w:sz w:val="24"/>
                <w:szCs w:val="24"/>
                <w:lang w:val="en-US" w:eastAsia="zh-CN" w:bidi="ar-SA"/>
              </w:rPr>
              <w:t>219</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hint="eastAsia" w:ascii="仿宋" w:hAnsi="仿宋" w:eastAsia="仿宋"/>
          <w:b/>
          <w:sz w:val="44"/>
        </w:rPr>
      </w:pPr>
      <w:r>
        <w:rPr>
          <w:rFonts w:hint="eastAsia" w:ascii="仿宋" w:hAnsi="仿宋" w:eastAsia="仿宋"/>
          <w:b/>
          <w:sz w:val="44"/>
        </w:rPr>
        <w:t>分 服务项目及要求</w:t>
      </w:r>
    </w:p>
    <w:p>
      <w:pPr>
        <w:tabs>
          <w:tab w:val="left" w:pos="5963"/>
        </w:tabs>
        <w:spacing w:line="420" w:lineRule="exact"/>
        <w:rPr>
          <w:rFonts w:hint="eastAsia" w:ascii="仿宋" w:hAnsi="仿宋" w:eastAsia="仿宋" w:cs="仿宋"/>
          <w:b/>
          <w:sz w:val="24"/>
          <w:szCs w:val="24"/>
          <w:lang w:val="en-US" w:eastAsia="zh-CN"/>
        </w:rPr>
      </w:pP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一、基本要求</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1、招标人禹州市公安局餐厅委托管理服务项目。</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2、招标人厨房已通水、电、气，并配备有灶台、抽烟系统、蒸饭柜、消毒柜等，配套设施合理；有独立仓库、洗菜池，操作空间宽敞，产生相关费用由招标人承担。</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3、食堂每日所需食材、人工费由经营方承担；垃圾清理及日常卫生保持由经营方负责。</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4、招标人提供水、电、气，餐具，投标人负责保管使用和卫生清洁工作。</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5、餐厅、操作间等均属于投标人管理范围，须负责区域内的卫生清扫和安全管理。</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6、因管理不善造成食物中毒等食品安全事故，由投标人负责承担全部责任。</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7、所有工作人员需持有健康证上岗，卫生检疫、体检等费用投标人自行承担，食堂的食材及卫生防疫、就餐环境必须达到市食药监局所制定的标准，招标人有权不定期对其进行监督检查。</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8、投标人所有从业人员年龄不得超过60周岁，投保人应为所有从业人员办理社保及人身意外保险，并对其人身安全进行负责，如出现相关问题，与招标人无关，招标人有权责令其更换人员。</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9、投标人保证一日三餐准点开膳，保证饭菜足量、优质，做到品种多样，能适应不同口味的人员就餐。</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为确保饮食安全，招标人有权委托第三方（如食药监局、财务审计部门）进行监督，如发现服务中存在问题或隐患(如食材选取不合格)、有权强制通知投标人整改，并接受相关部门及招标人对其进行的处罚；对供货渠道进行检查并对其财务状况、服务质量等进行监督和提出改善意见，投标人必须虚心听取招标人意见。</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11、投标人须负责经食堂的消防安全工作，服从招标人职能部门的统一管理，确保消防安全无事故。</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12、投标人应加强对从业人员的安全教育、守法教育，提高安全意识及法制意识，严格遵守各项操作规程，因未执行操作规程造成安全事故或人身、财产损失的，由投标人承担全部责任。</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二、拟经营项目</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1、餐品花样（做到每周七天不重复）</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早餐：各类粥、胡辣汤、包子、面包、馒头、花卷、油馍、油条、水煎包、鸡蛋等，须配有各类营养丰富的菜品。</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午餐：米饭、面食为主食的基础上，须搭配荤类（如羊肉、牛肉、猪肉、鸡肉、鱼肉等）为主的菜品，素食（如蔬菜、菌类、豆制品等）为主的菜品，其中荤菜中的肉类不得少于总菜量的50%；卤面及焖面等同类面食须配汤；根据每人对饭菜种类的要求，适量加配馒头、包子等餐品。</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晚餐：以包子、馒头、花卷、油馍、各类粥为主要餐品，荤类菜品、素类菜品根据晚餐及需求进行合理搭配；根据每人对饭菜种类的要求，适量加配面条、米饭等餐品</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注：食堂每周的餐品食谱须提交申请，在征得单位负责人同意后提前一周进行公布。</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2、食堂所用米、面、油等、调料及食材须使用国家知名大品牌，所有食材须经单位相关负责人验收签字确认后方可使用。</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3、食堂桌面所需求的辣椒、大蒜、醋等相关材料须由经营方提供，</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三、合作经营保证金：</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1、中标人签订经营合同后须向招标人交纳10万元履约保证金。经营期满，经招标人对餐厅设备及卫生等验收合格后，无息退还。</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2、经营者有以下情况之一的终止合同，合同保证金不予退还，同时依法保留要求经营方赔偿的权力： </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（1）经营者有违反《中华人民共和国食品安全法》等有关管理法律法规，或没有按合同经营至承包期满，或经营期内不正常营业，严重影响按时就餐情况出现。 </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（2）发生重大食品卫生安全事故，造成不良影响和后果等情况。 </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注：如有新的技术规范及相关要求执行最新标准；未完善部分执行相关规定。</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 、建设运营要求</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1、合作经营单位应充分考虑功能分区、科学设置操作流程，在经营过程中，对出现的问题应及时整改，并承担由此发生的费用。</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建立健全内部安全控制体系。日常经营管理中，食堂的食材采购、加工、供应、贮存、留样等关键环节须做到可追溯，建立完善的采购进货台账、过期食品台账、添加剂台账、餐厨垃圾台账等内部安全管控体系，做到餐饮业务、食品安全管理和实操结合的总体管控：通过对供应商和生产厂家的资质、证照、供货范围、有效期进行严格审核管理，不符合条件的不入库。合作经营单位应进行严管细抓，确保食品质量、杜绝食品安全事件发生。</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3、建立并完善餐厅财务管理制度。餐厅必须按照现行财务管理规定，建立完善的财务账目，做到账实、帐账、账证相符，并接受监督。</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4、食堂经营管理团队要求：进驻餐厅的工作人员团队须达到15人及以上，其中包括：行政总厨、厨师长、副厨师长、主厨、面点师、营养师、质检员、保洁员、勤杂工等。</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5、食物餐品多样化。经营期间，应合理设置餐品样式，体现多样性、营养化特点。</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五、承包经营费用：</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食堂每天就餐费用标准（本项目实行就餐补贴制，职工个人承担就餐费用的40%，单位承担就餐费用的60%）：早餐个人缴纳2元，单位补贴3元；午餐个人缴纳5元，单位补贴7.5元；晚餐个人缴纳3元，单位补贴4.5元（此项为预算金额，最终缴纳及补贴费用视投标人最终中标金额决定）。日常就餐人数为400人，投保人按照400人一日三餐单位应承担部分进行报价，个人承担的费用由中标人直接收取，单位承担费用按照每餐实际就餐人数据实结算，每月末支付。</w:t>
      </w: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六、需要补充的其他事项：</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1、投标人在中标后不得以任何理由拒绝原签订的协议价格或约定的价格，如出现此现象，视为违约，并进行相应处罚，直至取消中标单位的资格。</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2、投标人应就该项目完整投标，否则为无效投标。</w:t>
      </w:r>
    </w:p>
    <w:p>
      <w:pPr>
        <w:tabs>
          <w:tab w:val="left" w:pos="5963"/>
        </w:tabs>
        <w:spacing w:line="42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3、本招标文件的最终解释权归禹州市公安局所有。</w:t>
      </w:r>
    </w:p>
    <w:p>
      <w:pPr>
        <w:tabs>
          <w:tab w:val="left" w:pos="5963"/>
        </w:tabs>
        <w:spacing w:line="420" w:lineRule="exact"/>
        <w:rPr>
          <w:rFonts w:hint="eastAsia" w:ascii="仿宋" w:hAnsi="仿宋" w:eastAsia="仿宋" w:cs="仿宋"/>
          <w:b/>
          <w:sz w:val="24"/>
          <w:szCs w:val="24"/>
          <w:lang w:val="en-US" w:eastAsia="zh-CN"/>
        </w:rPr>
      </w:pPr>
    </w:p>
    <w:p>
      <w:pPr>
        <w:tabs>
          <w:tab w:val="left" w:pos="5963"/>
        </w:tabs>
        <w:spacing w:line="42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备注：投标人须满足以上要求，且须做出详细的说明及承诺，否则为无效投标</w:t>
      </w:r>
    </w:p>
    <w:p>
      <w:pPr>
        <w:numPr>
          <w:ilvl w:val="0"/>
          <w:numId w:val="0"/>
        </w:numPr>
        <w:spacing w:line="360" w:lineRule="auto"/>
        <w:jc w:val="left"/>
        <w:rPr>
          <w:rFonts w:hint="eastAsia" w:ascii="仿宋" w:hAnsi="仿宋" w:eastAsia="仿宋" w:cs="Arial Unicode MS"/>
          <w:position w:val="-4"/>
          <w:sz w:val="24"/>
          <w:lang w:val="en-US" w:eastAsia="zh-CN"/>
        </w:rPr>
      </w:pP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按企业实力及业绩部分得分从高到低顺序进行排列，企业实力及业绩得分最高的投标人将被排序在前。</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6"/>
        <w:gridCol w:w="283"/>
        <w:gridCol w:w="1134"/>
        <w:gridCol w:w="1046"/>
        <w:gridCol w:w="797"/>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8" w:hRule="atLeast"/>
          <w:jc w:val="center"/>
        </w:trPr>
        <w:tc>
          <w:tcPr>
            <w:tcW w:w="866" w:type="dxa"/>
            <w:vAlign w:val="top"/>
          </w:tcPr>
          <w:p>
            <w:pPr>
              <w:jc w:val="center"/>
              <w:textAlignment w:val="center"/>
              <w:rPr>
                <w:rFonts w:ascii="宋体" w:hAnsi="宋体" w:cs="宋体"/>
                <w:kern w:val="0"/>
              </w:rPr>
            </w:pPr>
          </w:p>
        </w:tc>
        <w:tc>
          <w:tcPr>
            <w:tcW w:w="2463" w:type="dxa"/>
            <w:gridSpan w:val="3"/>
            <w:vAlign w:val="center"/>
          </w:tcPr>
          <w:p>
            <w:pPr>
              <w:jc w:val="center"/>
              <w:textAlignment w:val="center"/>
              <w:rPr>
                <w:rFonts w:ascii="宋体" w:cs="宋体"/>
              </w:rPr>
            </w:pPr>
            <w:r>
              <w:rPr>
                <w:rFonts w:hint="eastAsia" w:ascii="宋体" w:hAnsi="宋体" w:cs="宋体"/>
                <w:kern w:val="0"/>
              </w:rPr>
              <w:t>评审因素</w:t>
            </w:r>
          </w:p>
        </w:tc>
        <w:tc>
          <w:tcPr>
            <w:tcW w:w="6483" w:type="dxa"/>
            <w:gridSpan w:val="2"/>
            <w:vAlign w:val="center"/>
          </w:tcPr>
          <w:p>
            <w:pPr>
              <w:jc w:val="center"/>
              <w:textAlignment w:val="center"/>
              <w:rPr>
                <w:rFonts w:ascii="宋体" w:cs="宋体"/>
              </w:rPr>
            </w:pPr>
            <w:r>
              <w:rPr>
                <w:rFonts w:hint="eastAsia" w:ascii="宋体" w:hAnsi="宋体" w:cs="宋体"/>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3" w:hRule="atLeast"/>
          <w:jc w:val="center"/>
        </w:trPr>
        <w:tc>
          <w:tcPr>
            <w:tcW w:w="1149" w:type="dxa"/>
            <w:gridSpan w:val="2"/>
            <w:vAlign w:val="top"/>
          </w:tcPr>
          <w:p>
            <w:pPr>
              <w:autoSpaceDE w:val="0"/>
              <w:autoSpaceDN w:val="0"/>
              <w:adjustRightInd w:val="0"/>
              <w:spacing w:before="50"/>
              <w:ind w:right="97"/>
              <w:rPr>
                <w:rFonts w:ascii="宋体" w:hAnsi="宋体"/>
              </w:rPr>
            </w:pPr>
          </w:p>
          <w:p>
            <w:pPr>
              <w:autoSpaceDE w:val="0"/>
              <w:autoSpaceDN w:val="0"/>
              <w:adjustRightInd w:val="0"/>
              <w:spacing w:before="50"/>
              <w:ind w:left="105" w:leftChars="50" w:right="97"/>
              <w:rPr>
                <w:rFonts w:ascii="宋体" w:hAnsi="宋体"/>
                <w:spacing w:val="1"/>
                <w:kern w:val="0"/>
              </w:rPr>
            </w:pPr>
            <w:r>
              <w:rPr>
                <w:rFonts w:hint="eastAsia" w:ascii="宋体" w:hAnsi="宋体" w:cs="宋体"/>
                <w:b/>
                <w:bCs/>
              </w:rPr>
              <w:t>投标报价（</w:t>
            </w:r>
            <w:r>
              <w:rPr>
                <w:rFonts w:hint="eastAsia" w:ascii="宋体" w:hAnsi="宋体" w:cs="宋体"/>
                <w:b/>
                <w:bCs/>
                <w:lang w:val="en-US" w:eastAsia="zh-CN"/>
              </w:rPr>
              <w:t>2</w:t>
            </w:r>
            <w:r>
              <w:rPr>
                <w:rFonts w:hint="eastAsia" w:ascii="宋体" w:hAnsi="宋体" w:cs="宋体"/>
                <w:b/>
                <w:bCs/>
              </w:rPr>
              <w:t>0分）</w:t>
            </w:r>
          </w:p>
        </w:tc>
        <w:tc>
          <w:tcPr>
            <w:tcW w:w="8663" w:type="dxa"/>
            <w:gridSpan w:val="4"/>
            <w:vAlign w:val="center"/>
          </w:tcPr>
          <w:p>
            <w:pPr>
              <w:pStyle w:val="129"/>
              <w:spacing w:line="276" w:lineRule="auto"/>
              <w:rPr>
                <w:rFonts w:hAnsi="宋体"/>
                <w:kern w:val="2"/>
                <w:sz w:val="21"/>
              </w:rPr>
            </w:pPr>
            <w:r>
              <w:rPr>
                <w:rFonts w:hint="eastAsia" w:hAnsi="宋体"/>
                <w:kern w:val="2"/>
                <w:sz w:val="21"/>
              </w:rPr>
              <w:t>满足招标文件要求且投标价格最低的投标报价为评标基准价，其价格分为满分。</w:t>
            </w:r>
          </w:p>
          <w:p>
            <w:pPr>
              <w:pStyle w:val="129"/>
              <w:spacing w:line="276" w:lineRule="auto"/>
              <w:rPr>
                <w:rFonts w:hAnsi="宋体"/>
                <w:kern w:val="2"/>
                <w:sz w:val="21"/>
              </w:rPr>
            </w:pPr>
            <w:r>
              <w:rPr>
                <w:rFonts w:hint="eastAsia" w:hAnsi="宋体"/>
                <w:kern w:val="2"/>
                <w:sz w:val="21"/>
              </w:rPr>
              <w:t>其他投标人的价格分统一按照下列公式计算：</w:t>
            </w:r>
          </w:p>
          <w:p>
            <w:pPr>
              <w:autoSpaceDE w:val="0"/>
              <w:autoSpaceDN w:val="0"/>
              <w:adjustRightInd w:val="0"/>
              <w:spacing w:before="50"/>
              <w:ind w:right="97" w:firstLine="58" w:firstLineChars="28"/>
              <w:jc w:val="left"/>
              <w:rPr>
                <w:rFonts w:ascii="宋体" w:hAnsi="宋体"/>
              </w:rPr>
            </w:pPr>
            <w:r>
              <w:rPr>
                <w:rFonts w:hint="eastAsia" w:ascii="Calibri" w:hAnsi="宋体" w:eastAsia="宋体" w:cs="Times New Roman"/>
                <w:kern w:val="2"/>
                <w:sz w:val="21"/>
                <w:szCs w:val="22"/>
                <w:lang w:val="en-US" w:eastAsia="zh-CN" w:bidi="ar-SA"/>
              </w:rPr>
              <w:t>投标报价得分=(评标基准价／投标报价)×20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9" w:hRule="atLeast"/>
          <w:jc w:val="center"/>
        </w:trPr>
        <w:tc>
          <w:tcPr>
            <w:tcW w:w="1149" w:type="dxa"/>
            <w:gridSpan w:val="2"/>
            <w:vMerge w:val="restart"/>
            <w:vAlign w:val="top"/>
          </w:tcPr>
          <w:p>
            <w:pPr>
              <w:jc w:val="center"/>
              <w:textAlignment w:val="center"/>
              <w:rPr>
                <w:rStyle w:val="130"/>
              </w:rPr>
            </w:pPr>
          </w:p>
          <w:p>
            <w:pPr>
              <w:jc w:val="center"/>
              <w:textAlignment w:val="center"/>
              <w:rPr>
                <w:rStyle w:val="130"/>
              </w:rPr>
            </w:pPr>
          </w:p>
          <w:p>
            <w:pPr>
              <w:jc w:val="center"/>
              <w:textAlignment w:val="center"/>
              <w:rPr>
                <w:rStyle w:val="130"/>
              </w:rPr>
            </w:pPr>
          </w:p>
          <w:p>
            <w:pPr>
              <w:jc w:val="center"/>
              <w:textAlignment w:val="center"/>
              <w:rPr>
                <w:rStyle w:val="130"/>
              </w:rPr>
            </w:pPr>
            <w:r>
              <w:rPr>
                <w:rFonts w:hint="eastAsia" w:ascii="宋体" w:hAnsi="宋体" w:cs="宋体"/>
                <w:b/>
                <w:bCs/>
              </w:rPr>
              <w:t>业绩、企业综合实力及服务承诺（5</w:t>
            </w:r>
            <w:r>
              <w:rPr>
                <w:rFonts w:hint="eastAsia" w:ascii="宋体" w:hAnsi="宋体" w:cs="宋体"/>
                <w:b/>
                <w:bCs/>
                <w:lang w:val="en-US" w:eastAsia="zh-CN"/>
              </w:rPr>
              <w:t>5</w:t>
            </w:r>
            <w:r>
              <w:rPr>
                <w:rFonts w:hint="eastAsia" w:ascii="宋体" w:hAnsi="宋体" w:cs="宋体"/>
                <w:b/>
                <w:bCs/>
              </w:rPr>
              <w:t>分）</w:t>
            </w:r>
          </w:p>
        </w:tc>
        <w:tc>
          <w:tcPr>
            <w:tcW w:w="1134" w:type="dxa"/>
            <w:vAlign w:val="center"/>
          </w:tcPr>
          <w:p>
            <w:pPr>
              <w:jc w:val="center"/>
              <w:textAlignment w:val="center"/>
              <w:rPr>
                <w:rFonts w:ascii="宋体" w:cs="宋体"/>
              </w:rPr>
            </w:pPr>
            <w:r>
              <w:rPr>
                <w:rFonts w:hint="eastAsia"/>
                <w:kern w:val="0"/>
              </w:rPr>
              <w:t>企业资信</w:t>
            </w:r>
            <w:r>
              <w:rPr>
                <w:rFonts w:ascii="宋体" w:hAnsi="宋体" w:cs="宋体"/>
                <w:kern w:val="0"/>
              </w:rPr>
              <w:t>(</w:t>
            </w:r>
            <w:r>
              <w:rPr>
                <w:rFonts w:hint="eastAsia" w:ascii="宋体" w:hAnsi="宋体" w:cs="宋体"/>
                <w:kern w:val="0"/>
              </w:rPr>
              <w:t>16分</w:t>
            </w:r>
            <w:r>
              <w:rPr>
                <w:rFonts w:ascii="宋体" w:hAnsi="宋体" w:cs="宋体"/>
                <w:kern w:val="0"/>
              </w:rPr>
              <w:t>)</w:t>
            </w:r>
          </w:p>
        </w:tc>
        <w:tc>
          <w:tcPr>
            <w:tcW w:w="7529" w:type="dxa"/>
            <w:gridSpan w:val="3"/>
            <w:vAlign w:val="center"/>
          </w:tcPr>
          <w:p>
            <w:pPr>
              <w:widowControl/>
              <w:jc w:val="left"/>
              <w:textAlignment w:val="center"/>
              <w:rPr>
                <w:rFonts w:ascii="宋体" w:hAnsi="宋体" w:cs="宋体"/>
                <w:kern w:val="0"/>
              </w:rPr>
            </w:pPr>
            <w:r>
              <w:rPr>
                <w:rFonts w:hint="eastAsia" w:ascii="宋体" w:hAnsi="宋体" w:cs="宋体"/>
                <w:kern w:val="0"/>
              </w:rPr>
              <w:t>（1）投标人获得或被评为国家级消费者放心满意餐饮企业、餐饮行业100强荣誉称号的得每项得3分，最多得6分，获得或被评为省级消费者放心满意餐饮企业、餐饮行业100强荣誉称号的得每项得1分</w:t>
            </w:r>
            <w:r>
              <w:rPr>
                <w:rFonts w:hint="eastAsia" w:ascii="宋体" w:hAnsi="宋体" w:cs="宋体"/>
                <w:kern w:val="0"/>
                <w:lang w:eastAsia="zh-CN"/>
              </w:rPr>
              <w:t>，最多得</w:t>
            </w:r>
            <w:r>
              <w:rPr>
                <w:rFonts w:hint="eastAsia" w:ascii="宋体" w:hAnsi="宋体" w:cs="宋体"/>
                <w:kern w:val="0"/>
                <w:lang w:val="en-US" w:eastAsia="zh-CN"/>
              </w:rPr>
              <w:t>2分</w:t>
            </w:r>
            <w:r>
              <w:rPr>
                <w:rFonts w:hint="eastAsia" w:ascii="宋体" w:hAnsi="宋体" w:cs="宋体"/>
                <w:kern w:val="0"/>
              </w:rPr>
              <w:t>。</w:t>
            </w:r>
          </w:p>
          <w:p>
            <w:pPr>
              <w:jc w:val="left"/>
              <w:textAlignment w:val="center"/>
              <w:rPr>
                <w:rFonts w:ascii="宋体" w:cs="宋体"/>
                <w:kern w:val="0"/>
              </w:rPr>
            </w:pPr>
            <w:r>
              <w:rPr>
                <w:rFonts w:hint="eastAsia" w:ascii="宋体" w:hAnsi="宋体" w:cs="宋体"/>
                <w:kern w:val="0"/>
              </w:rPr>
              <w:t>（2）投标人通过《</w:t>
            </w:r>
            <w:r>
              <w:rPr>
                <w:rFonts w:ascii="宋体" w:hAnsi="宋体" w:cs="宋体"/>
                <w:kern w:val="0"/>
              </w:rPr>
              <w:t>AAA</w:t>
            </w:r>
            <w:r>
              <w:rPr>
                <w:rFonts w:hint="eastAsia" w:ascii="宋体" w:hAnsi="宋体" w:cs="宋体"/>
                <w:kern w:val="0"/>
              </w:rPr>
              <w:t>级信用认证》、《环境管理体系认证》、《质量管理体系认证》、《职业健康安全管理体系认证》、《HACCP认证证书》等资信认证的每有一项得2分，最高得10分。（以证书原件为准，未提供的不得分）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0" w:hRule="atLeast"/>
          <w:jc w:val="center"/>
        </w:trPr>
        <w:tc>
          <w:tcPr>
            <w:tcW w:w="1149" w:type="dxa"/>
            <w:gridSpan w:val="2"/>
            <w:vMerge w:val="continue"/>
            <w:vAlign w:val="top"/>
          </w:tcPr>
          <w:p>
            <w:pPr>
              <w:jc w:val="center"/>
              <w:textAlignment w:val="center"/>
              <w:rPr>
                <w:rFonts w:ascii="宋体" w:hAnsi="宋体" w:cs="宋体"/>
                <w:kern w:val="0"/>
              </w:rPr>
            </w:pPr>
          </w:p>
        </w:tc>
        <w:tc>
          <w:tcPr>
            <w:tcW w:w="1134" w:type="dxa"/>
            <w:vAlign w:val="center"/>
          </w:tcPr>
          <w:p>
            <w:pPr>
              <w:jc w:val="center"/>
              <w:textAlignment w:val="center"/>
              <w:rPr>
                <w:rFonts w:hint="eastAsia" w:ascii="宋体" w:hAnsi="宋体" w:cs="宋体"/>
                <w:kern w:val="0"/>
              </w:rPr>
            </w:pPr>
            <w:r>
              <w:rPr>
                <w:rFonts w:hint="eastAsia" w:ascii="宋体" w:hAnsi="宋体" w:cs="宋体"/>
                <w:kern w:val="0"/>
              </w:rPr>
              <w:t>团队管理</w:t>
            </w:r>
          </w:p>
          <w:p>
            <w:pPr>
              <w:jc w:val="center"/>
              <w:textAlignment w:val="center"/>
              <w:rPr>
                <w:rFonts w:ascii="宋体" w:hAnsi="宋体" w:cs="宋体"/>
                <w:kern w:val="0"/>
              </w:rPr>
            </w:pPr>
            <w:r>
              <w:rPr>
                <w:rFonts w:hint="eastAsia" w:ascii="宋体" w:hAnsi="宋体" w:cs="宋体"/>
                <w:kern w:val="0"/>
              </w:rPr>
              <w:t>（7分）</w:t>
            </w:r>
          </w:p>
        </w:tc>
        <w:tc>
          <w:tcPr>
            <w:tcW w:w="7529" w:type="dxa"/>
            <w:gridSpan w:val="3"/>
            <w:vAlign w:val="center"/>
          </w:tcPr>
          <w:p>
            <w:pPr>
              <w:jc w:val="left"/>
              <w:textAlignment w:val="center"/>
              <w:rPr>
                <w:rFonts w:ascii="宋体" w:cs="宋体"/>
                <w:kern w:val="0"/>
              </w:rPr>
            </w:pPr>
            <w:r>
              <w:rPr>
                <w:rFonts w:hint="eastAsia" w:ascii="宋体" w:hAnsi="宋体" w:cs="宋体"/>
                <w:kern w:val="0"/>
              </w:rPr>
              <w:t>（1）拟派到的</w:t>
            </w:r>
            <w:r>
              <w:rPr>
                <w:rFonts w:hint="eastAsia"/>
              </w:rPr>
              <w:t>经营管理团队</w:t>
            </w:r>
            <w:r>
              <w:rPr>
                <w:rFonts w:hint="eastAsia" w:ascii="宋体" w:hAnsi="宋体" w:cs="宋体"/>
                <w:kern w:val="0"/>
              </w:rPr>
              <w:t>至少有一名项目负责人与若干名厨师及营养师，其中具有厨师证的得1分，具有营养师证的得2分，本项最高得3分。（以厨师证及营养师证原件为准，未提供或缺项的不得分）</w:t>
            </w:r>
          </w:p>
          <w:p>
            <w:pPr>
              <w:jc w:val="left"/>
              <w:textAlignment w:val="center"/>
              <w:rPr>
                <w:rFonts w:ascii="宋体" w:hAnsi="宋体" w:cs="宋体"/>
                <w:kern w:val="0"/>
              </w:rPr>
            </w:pPr>
            <w:r>
              <w:rPr>
                <w:rFonts w:hint="eastAsia" w:ascii="宋体" w:hAnsi="宋体" w:cs="宋体"/>
                <w:kern w:val="0"/>
              </w:rPr>
              <w:t>（2）投标人提供近期为职工缴纳基本养老保险的有效证明的，每有一人次得1分。此项最高得4分。（以社保部门出具的证明原件为准）</w:t>
            </w:r>
          </w:p>
          <w:p>
            <w:pPr>
              <w:jc w:val="left"/>
              <w:textAlignment w:val="center"/>
              <w:rPr>
                <w:rFonts w:ascii="宋体" w:hAnsi="宋体" w:cs="宋体"/>
                <w:kern w:val="0"/>
              </w:rPr>
            </w:pPr>
            <w:r>
              <w:rPr>
                <w:rFonts w:hint="eastAsia" w:ascii="宋体" w:hAnsi="宋体" w:cs="宋体"/>
                <w:kern w:val="0"/>
              </w:rPr>
              <w:t>注：拟派项目班子成员均须具备健康证，否则上述各项均不得分；均以原件为准计分。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6" w:hRule="atLeast"/>
          <w:jc w:val="center"/>
        </w:trPr>
        <w:tc>
          <w:tcPr>
            <w:tcW w:w="1149" w:type="dxa"/>
            <w:gridSpan w:val="2"/>
            <w:vMerge w:val="continue"/>
            <w:vAlign w:val="top"/>
          </w:tcPr>
          <w:p>
            <w:pPr>
              <w:jc w:val="center"/>
              <w:textAlignment w:val="center"/>
              <w:rPr>
                <w:rFonts w:ascii="宋体" w:hAnsi="宋体" w:cs="宋体"/>
                <w:kern w:val="0"/>
              </w:rPr>
            </w:pPr>
          </w:p>
        </w:tc>
        <w:tc>
          <w:tcPr>
            <w:tcW w:w="1134" w:type="dxa"/>
            <w:vAlign w:val="center"/>
          </w:tcPr>
          <w:p>
            <w:pPr>
              <w:jc w:val="center"/>
              <w:textAlignment w:val="center"/>
              <w:rPr>
                <w:rFonts w:ascii="宋体" w:cs="宋体"/>
              </w:rPr>
            </w:pPr>
            <w:r>
              <w:rPr>
                <w:rFonts w:hint="eastAsia" w:ascii="宋体" w:hAnsi="宋体" w:cs="宋体"/>
                <w:kern w:val="0"/>
              </w:rPr>
              <w:t>企业业绩经验</w:t>
            </w:r>
            <w:r>
              <w:rPr>
                <w:rFonts w:ascii="宋体" w:hAnsi="宋体" w:cs="宋体"/>
                <w:kern w:val="0"/>
              </w:rPr>
              <w:t>(</w:t>
            </w:r>
            <w:r>
              <w:rPr>
                <w:rFonts w:hint="eastAsia" w:ascii="宋体" w:hAnsi="宋体" w:cs="宋体"/>
                <w:kern w:val="0"/>
              </w:rPr>
              <w:t>6分</w:t>
            </w:r>
            <w:r>
              <w:rPr>
                <w:rFonts w:ascii="宋体" w:hAnsi="宋体" w:cs="宋体"/>
                <w:kern w:val="0"/>
              </w:rPr>
              <w:t>)</w:t>
            </w:r>
          </w:p>
        </w:tc>
        <w:tc>
          <w:tcPr>
            <w:tcW w:w="7529" w:type="dxa"/>
            <w:gridSpan w:val="3"/>
            <w:vAlign w:val="center"/>
          </w:tcPr>
          <w:p>
            <w:pPr>
              <w:jc w:val="left"/>
              <w:textAlignment w:val="center"/>
              <w:rPr>
                <w:rFonts w:ascii="宋体" w:cs="宋体"/>
                <w:kern w:val="0"/>
              </w:rPr>
            </w:pPr>
            <w:r>
              <w:rPr>
                <w:rFonts w:hint="eastAsia" w:ascii="宋体" w:hAnsi="宋体" w:cs="宋体"/>
                <w:kern w:val="0"/>
              </w:rPr>
              <w:t>提供食堂独立经营在1500人及以上项目业绩的每份得3分，最高得6分。</w:t>
            </w:r>
            <w:r>
              <w:rPr>
                <w:rFonts w:ascii="宋体" w:hAnsi="宋体" w:cs="宋体"/>
                <w:kern w:val="0"/>
              </w:rPr>
              <w:t>(</w:t>
            </w:r>
            <w:r>
              <w:rPr>
                <w:rFonts w:hint="eastAsia" w:ascii="宋体" w:hAnsi="宋体" w:cs="宋体"/>
                <w:kern w:val="0"/>
              </w:rPr>
              <w:t>以经营合同或中标通知书原件为准，若合同或中标通知书不显示就餐人数，则还须提供</w:t>
            </w:r>
            <w:r>
              <w:rPr>
                <w:rFonts w:hint="eastAsia" w:ascii="宋体" w:hAnsi="宋体" w:cs="宋体"/>
                <w:kern w:val="0"/>
                <w:lang w:eastAsia="zh-CN"/>
              </w:rPr>
              <w:t>相关单位</w:t>
            </w:r>
            <w:r>
              <w:rPr>
                <w:rFonts w:hint="eastAsia" w:ascii="宋体" w:hAnsi="宋体" w:cs="宋体"/>
                <w:kern w:val="0"/>
              </w:rPr>
              <w:t>出具的证明原件，未提供或缺项者不得分</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7" w:hRule="atLeast"/>
          <w:jc w:val="center"/>
        </w:trPr>
        <w:tc>
          <w:tcPr>
            <w:tcW w:w="1149" w:type="dxa"/>
            <w:gridSpan w:val="2"/>
            <w:vMerge w:val="continue"/>
            <w:vAlign w:val="top"/>
          </w:tcPr>
          <w:p>
            <w:pPr>
              <w:jc w:val="center"/>
              <w:textAlignment w:val="center"/>
              <w:rPr>
                <w:rFonts w:ascii="宋体" w:hAnsi="宋体" w:cs="宋体"/>
              </w:rPr>
            </w:pPr>
          </w:p>
        </w:tc>
        <w:tc>
          <w:tcPr>
            <w:tcW w:w="1134" w:type="dxa"/>
            <w:vAlign w:val="center"/>
          </w:tcPr>
          <w:p>
            <w:pPr>
              <w:jc w:val="center"/>
              <w:textAlignment w:val="center"/>
              <w:rPr>
                <w:rFonts w:ascii="宋体" w:hAnsi="宋体" w:cs="宋体"/>
              </w:rPr>
            </w:pPr>
            <w:r>
              <w:rPr>
                <w:rFonts w:hint="eastAsia" w:ascii="宋体" w:hAnsi="宋体" w:cs="宋体"/>
              </w:rPr>
              <w:t>企业综合实力及食品安全管理</w:t>
            </w:r>
          </w:p>
          <w:p>
            <w:pPr>
              <w:jc w:val="center"/>
              <w:textAlignment w:val="center"/>
              <w:rPr>
                <w:rFonts w:ascii="宋体" w:hAnsi="宋体" w:cs="宋体"/>
              </w:rPr>
            </w:pPr>
            <w:r>
              <w:rPr>
                <w:rFonts w:hint="eastAsia" w:ascii="宋体" w:hAnsi="宋体" w:cs="宋体"/>
              </w:rPr>
              <w:t>（</w:t>
            </w:r>
            <w:r>
              <w:rPr>
                <w:rFonts w:hint="eastAsia" w:ascii="宋体" w:hAnsi="宋体" w:cs="宋体"/>
                <w:lang w:val="en-US" w:eastAsia="zh-CN"/>
              </w:rPr>
              <w:t>23</w:t>
            </w:r>
            <w:r>
              <w:rPr>
                <w:rFonts w:hint="eastAsia" w:ascii="宋体" w:hAnsi="宋体" w:cs="宋体"/>
              </w:rPr>
              <w:t>分）</w:t>
            </w:r>
          </w:p>
        </w:tc>
        <w:tc>
          <w:tcPr>
            <w:tcW w:w="7529" w:type="dxa"/>
            <w:gridSpan w:val="3"/>
            <w:vAlign w:val="center"/>
          </w:tcPr>
          <w:p>
            <w:pPr>
              <w:jc w:val="left"/>
              <w:textAlignment w:val="center"/>
              <w:rPr>
                <w:rFonts w:ascii="宋体" w:hAnsi="宋体" w:cs="宋体"/>
                <w:kern w:val="0"/>
              </w:rPr>
            </w:pPr>
            <w:r>
              <w:rPr>
                <w:rFonts w:hint="eastAsia" w:ascii="宋体" w:hAnsi="宋体" w:cs="宋体"/>
                <w:kern w:val="0"/>
              </w:rPr>
              <w:t>（1）建立有独立的高标准操作加工车间且面积不低于3000平方米的得</w:t>
            </w:r>
            <w:r>
              <w:rPr>
                <w:rFonts w:hint="eastAsia" w:ascii="宋体" w:hAnsi="宋体" w:cs="宋体"/>
                <w:kern w:val="0"/>
                <w:lang w:val="en-US" w:eastAsia="zh-CN"/>
              </w:rPr>
              <w:t>6</w:t>
            </w:r>
            <w:r>
              <w:rPr>
                <w:rFonts w:hint="eastAsia" w:ascii="宋体" w:hAnsi="宋体" w:cs="宋体"/>
                <w:kern w:val="0"/>
              </w:rPr>
              <w:t>分</w:t>
            </w:r>
            <w:r>
              <w:rPr>
                <w:rFonts w:hint="eastAsia" w:ascii="宋体" w:hAnsi="宋体" w:cs="宋体"/>
                <w:color w:val="auto"/>
                <w:kern w:val="0"/>
              </w:rPr>
              <w:t>（须提供</w:t>
            </w:r>
            <w:r>
              <w:rPr>
                <w:rFonts w:hint="eastAsia" w:ascii="宋体" w:hAnsi="宋体" w:cs="宋体"/>
                <w:color w:val="auto"/>
                <w:kern w:val="0"/>
                <w:lang w:eastAsia="zh-CN"/>
              </w:rPr>
              <w:t>场地</w:t>
            </w:r>
            <w:r>
              <w:rPr>
                <w:rFonts w:hint="eastAsia" w:ascii="宋体" w:hAnsi="宋体" w:cs="宋体"/>
                <w:color w:val="auto"/>
                <w:kern w:val="0"/>
              </w:rPr>
              <w:t>租赁或</w:t>
            </w:r>
            <w:r>
              <w:rPr>
                <w:rFonts w:hint="eastAsia" w:ascii="宋体" w:hAnsi="宋体" w:cs="宋体"/>
                <w:color w:val="auto"/>
                <w:kern w:val="0"/>
                <w:lang w:eastAsia="zh-CN"/>
              </w:rPr>
              <w:t>产权证明</w:t>
            </w:r>
            <w:r>
              <w:rPr>
                <w:rFonts w:hint="eastAsia" w:ascii="宋体" w:hAnsi="宋体" w:cs="宋体"/>
                <w:color w:val="auto"/>
                <w:kern w:val="0"/>
              </w:rPr>
              <w:t>，合同须显示厂房使用及用途说明）</w:t>
            </w:r>
            <w:r>
              <w:rPr>
                <w:rFonts w:hint="eastAsia" w:ascii="宋体" w:hAnsi="宋体" w:cs="宋体"/>
                <w:kern w:val="0"/>
              </w:rPr>
              <w:t>，有专业的配送团队及冷藏配送车辆的得</w:t>
            </w:r>
            <w:r>
              <w:rPr>
                <w:rFonts w:hint="eastAsia" w:ascii="宋体" w:hAnsi="宋体" w:cs="宋体"/>
                <w:kern w:val="0"/>
                <w:lang w:val="en-US" w:eastAsia="zh-CN"/>
              </w:rPr>
              <w:t>5</w:t>
            </w:r>
            <w:r>
              <w:rPr>
                <w:rFonts w:hint="eastAsia" w:ascii="宋体" w:hAnsi="宋体" w:cs="宋体"/>
                <w:kern w:val="0"/>
              </w:rPr>
              <w:t>分，有配套的食品检验、监测设备，有专业的检验监测人员，来保证食堂大批量日常餐品的卫生安全的得4分，本项最高得</w:t>
            </w:r>
            <w:r>
              <w:rPr>
                <w:rFonts w:hint="eastAsia" w:ascii="宋体" w:hAnsi="宋体" w:cs="宋体"/>
                <w:kern w:val="0"/>
                <w:lang w:val="en-US" w:eastAsia="zh-CN"/>
              </w:rPr>
              <w:t>15</w:t>
            </w:r>
            <w:r>
              <w:rPr>
                <w:rFonts w:hint="eastAsia" w:ascii="宋体" w:hAnsi="宋体" w:cs="宋体"/>
                <w:kern w:val="0"/>
              </w:rPr>
              <w:t>分。（须提供操作加工车间实施照片、车辆</w:t>
            </w:r>
            <w:r>
              <w:rPr>
                <w:rFonts w:hint="eastAsia" w:ascii="宋体" w:hAnsi="宋体" w:cs="宋体"/>
                <w:kern w:val="0"/>
                <w:lang w:eastAsia="zh-CN"/>
              </w:rPr>
              <w:t>行车证或购置</w:t>
            </w:r>
            <w:r>
              <w:rPr>
                <w:rFonts w:hint="eastAsia" w:ascii="宋体" w:hAnsi="宋体" w:cs="宋体"/>
                <w:kern w:val="0"/>
              </w:rPr>
              <w:t>发票</w:t>
            </w:r>
            <w:r>
              <w:rPr>
                <w:rFonts w:hint="eastAsia" w:ascii="宋体" w:hAnsi="宋体" w:cs="宋体"/>
                <w:kern w:val="0"/>
                <w:lang w:eastAsia="zh-CN"/>
              </w:rPr>
              <w:t>及照片、</w:t>
            </w:r>
            <w:r>
              <w:rPr>
                <w:rFonts w:hint="eastAsia" w:ascii="宋体" w:hAnsi="宋体" w:cs="宋体"/>
                <w:kern w:val="0"/>
              </w:rPr>
              <w:t>检验监测设备照片及专业检验监测人员的检验证原件，未提供的不得分）；</w:t>
            </w:r>
          </w:p>
          <w:p>
            <w:pPr>
              <w:jc w:val="left"/>
              <w:textAlignment w:val="center"/>
              <w:rPr>
                <w:rFonts w:ascii="宋体" w:hAnsi="宋体" w:cs="宋体"/>
                <w:kern w:val="0"/>
              </w:rPr>
            </w:pPr>
            <w:r>
              <w:rPr>
                <w:rFonts w:hint="eastAsia" w:ascii="宋体" w:hAnsi="宋体" w:cs="宋体"/>
                <w:kern w:val="0"/>
              </w:rPr>
              <w:t>（2）有无公害蔬菜种植基地的得</w:t>
            </w:r>
            <w:r>
              <w:rPr>
                <w:rFonts w:hint="eastAsia" w:ascii="宋体" w:hAnsi="宋体" w:cs="宋体"/>
                <w:kern w:val="0"/>
                <w:lang w:val="en-US" w:eastAsia="zh-CN"/>
              </w:rPr>
              <w:t>4</w:t>
            </w:r>
            <w:r>
              <w:rPr>
                <w:rFonts w:hint="eastAsia" w:ascii="宋体" w:hAnsi="宋体" w:cs="宋体"/>
                <w:kern w:val="0"/>
              </w:rPr>
              <w:t>分；（以基地承包合同原件为准，未提供的不得分）</w:t>
            </w:r>
          </w:p>
          <w:p>
            <w:pPr>
              <w:jc w:val="left"/>
              <w:textAlignment w:val="center"/>
              <w:rPr>
                <w:rFonts w:ascii="宋体" w:hAnsi="宋体" w:cs="宋体"/>
                <w:kern w:val="0"/>
              </w:rPr>
            </w:pPr>
            <w:r>
              <w:rPr>
                <w:rFonts w:hint="eastAsia" w:ascii="宋体" w:hAnsi="宋体" w:cs="宋体"/>
                <w:kern w:val="0"/>
              </w:rPr>
              <w:t>（3）有无公害养殖畜牧、禽类供应基地的得</w:t>
            </w:r>
            <w:r>
              <w:rPr>
                <w:rFonts w:hint="eastAsia" w:ascii="宋体" w:hAnsi="宋体" w:cs="宋体"/>
                <w:kern w:val="0"/>
                <w:lang w:val="en-US" w:eastAsia="zh-CN"/>
              </w:rPr>
              <w:t>4</w:t>
            </w:r>
            <w:r>
              <w:rPr>
                <w:rFonts w:hint="eastAsia" w:ascii="宋体" w:hAnsi="宋体" w:cs="宋体"/>
                <w:kern w:val="0"/>
              </w:rPr>
              <w:t>分（以基地承包合同原件为准，未提供的不得分）</w:t>
            </w:r>
          </w:p>
          <w:p>
            <w:pPr>
              <w:jc w:val="left"/>
              <w:textAlignment w:val="center"/>
              <w:rPr>
                <w:rFonts w:ascii="宋体" w:hAnsi="宋体" w:cs="宋体"/>
                <w:kern w:val="0"/>
              </w:rPr>
            </w:pPr>
            <w:r>
              <w:rPr>
                <w:rFonts w:hint="eastAsia" w:ascii="宋体" w:hAnsi="宋体" w:cs="宋体"/>
                <w:kern w:val="0"/>
              </w:rPr>
              <w:t>注：上述内容在中标后须接受核查，核查不实者取消其中标资格。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7" w:hRule="atLeast"/>
          <w:jc w:val="center"/>
        </w:trPr>
        <w:tc>
          <w:tcPr>
            <w:tcW w:w="1149" w:type="dxa"/>
            <w:gridSpan w:val="2"/>
            <w:vMerge w:val="continue"/>
            <w:vAlign w:val="top"/>
          </w:tcPr>
          <w:p>
            <w:pPr>
              <w:jc w:val="center"/>
              <w:textAlignment w:val="center"/>
              <w:rPr>
                <w:rFonts w:ascii="宋体" w:hAnsi="宋体" w:cs="宋体"/>
              </w:rPr>
            </w:pPr>
          </w:p>
        </w:tc>
        <w:tc>
          <w:tcPr>
            <w:tcW w:w="1134" w:type="dxa"/>
            <w:vAlign w:val="center"/>
          </w:tcPr>
          <w:p>
            <w:pPr>
              <w:jc w:val="center"/>
              <w:textAlignment w:val="center"/>
              <w:rPr>
                <w:rFonts w:ascii="宋体" w:hAnsi="宋体" w:cs="宋体"/>
              </w:rPr>
            </w:pPr>
            <w:r>
              <w:rPr>
                <w:rFonts w:hint="eastAsia" w:ascii="宋体" w:hAnsi="宋体" w:cs="宋体"/>
                <w:kern w:val="0"/>
              </w:rPr>
              <w:t>优惠及服务承诺（3分）</w:t>
            </w:r>
          </w:p>
        </w:tc>
        <w:tc>
          <w:tcPr>
            <w:tcW w:w="7529" w:type="dxa"/>
            <w:gridSpan w:val="3"/>
            <w:vAlign w:val="center"/>
          </w:tcPr>
          <w:p>
            <w:pPr>
              <w:jc w:val="left"/>
              <w:textAlignment w:val="center"/>
              <w:rPr>
                <w:rFonts w:ascii="宋体" w:hAnsi="宋体" w:cs="宋体"/>
                <w:kern w:val="0"/>
              </w:rPr>
            </w:pPr>
            <w:r>
              <w:rPr>
                <w:rFonts w:hint="eastAsia" w:ascii="宋体" w:hAnsi="宋体" w:cs="宋体"/>
                <w:kern w:val="0"/>
              </w:rPr>
              <w:t>其他优惠方案和承诺</w:t>
            </w:r>
            <w:r>
              <w:rPr>
                <w:rFonts w:ascii="宋体" w:hAnsi="宋体" w:cs="宋体"/>
                <w:kern w:val="0"/>
              </w:rPr>
              <w:t xml:space="preserve"> 0-</w:t>
            </w:r>
            <w:r>
              <w:rPr>
                <w:rFonts w:hint="eastAsia" w:ascii="宋体" w:hAnsi="宋体" w:cs="宋体"/>
                <w:kern w:val="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6" w:hRule="atLeast"/>
          <w:jc w:val="center"/>
        </w:trPr>
        <w:tc>
          <w:tcPr>
            <w:tcW w:w="1149" w:type="dxa"/>
            <w:gridSpan w:val="2"/>
            <w:vMerge w:val="restart"/>
            <w:vAlign w:val="top"/>
          </w:tcPr>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p>
          <w:p>
            <w:pPr>
              <w:jc w:val="center"/>
              <w:textAlignment w:val="center"/>
              <w:rPr>
                <w:rFonts w:ascii="宋体" w:hAnsi="宋体" w:cs="宋体"/>
              </w:rPr>
            </w:pPr>
            <w:r>
              <w:rPr>
                <w:rFonts w:hint="eastAsia" w:ascii="宋体" w:hAnsi="宋体" w:cs="宋体"/>
                <w:b/>
                <w:bCs/>
              </w:rPr>
              <w:t>响应程度（2</w:t>
            </w:r>
            <w:r>
              <w:rPr>
                <w:rFonts w:hint="eastAsia" w:ascii="宋体" w:hAnsi="宋体" w:cs="宋体"/>
                <w:b/>
                <w:bCs/>
                <w:lang w:val="en-US" w:eastAsia="zh-CN"/>
              </w:rPr>
              <w:t>5</w:t>
            </w:r>
            <w:r>
              <w:rPr>
                <w:rFonts w:hint="eastAsia" w:ascii="宋体" w:hAnsi="宋体" w:cs="宋体"/>
                <w:b/>
                <w:bCs/>
              </w:rPr>
              <w:t>分）</w:t>
            </w:r>
          </w:p>
        </w:tc>
        <w:tc>
          <w:tcPr>
            <w:tcW w:w="1134" w:type="dxa"/>
            <w:vMerge w:val="restart"/>
            <w:vAlign w:val="center"/>
          </w:tcPr>
          <w:p>
            <w:pPr>
              <w:jc w:val="center"/>
              <w:textAlignment w:val="center"/>
              <w:rPr>
                <w:rFonts w:ascii="宋体" w:cs="宋体"/>
              </w:rPr>
            </w:pPr>
            <w:r>
              <w:rPr>
                <w:rFonts w:hint="eastAsia" w:ascii="宋体" w:hAnsi="宋体" w:cs="宋体"/>
                <w:color w:val="000000"/>
                <w:kern w:val="0"/>
              </w:rPr>
              <w:t>制度方案及服务承诺（</w:t>
            </w:r>
            <w:r>
              <w:rPr>
                <w:rFonts w:hint="eastAsia" w:ascii="宋体" w:hAnsi="宋体" w:cs="宋体"/>
                <w:color w:val="000000"/>
                <w:kern w:val="0"/>
                <w:lang w:val="en-US" w:eastAsia="zh-CN"/>
              </w:rPr>
              <w:t>13</w:t>
            </w:r>
            <w:r>
              <w:rPr>
                <w:rFonts w:hint="eastAsia" w:ascii="宋体" w:hAnsi="宋体" w:cs="宋体"/>
                <w:color w:val="000000"/>
                <w:kern w:val="0"/>
              </w:rPr>
              <w:t>）</w:t>
            </w:r>
          </w:p>
        </w:tc>
        <w:tc>
          <w:tcPr>
            <w:tcW w:w="1843" w:type="dxa"/>
            <w:gridSpan w:val="2"/>
            <w:vAlign w:val="center"/>
          </w:tcPr>
          <w:p>
            <w:pPr>
              <w:jc w:val="center"/>
              <w:textAlignment w:val="center"/>
              <w:rPr>
                <w:rFonts w:ascii="宋体" w:cs="宋体"/>
              </w:rPr>
            </w:pPr>
            <w:r>
              <w:rPr>
                <w:rFonts w:hint="eastAsia" w:ascii="宋体" w:hAnsi="宋体" w:cs="宋体"/>
                <w:color w:val="000000"/>
                <w:kern w:val="0"/>
              </w:rPr>
              <w:t>制度方案（</w:t>
            </w:r>
            <w:r>
              <w:rPr>
                <w:rFonts w:hint="eastAsia" w:ascii="宋体" w:hAnsi="宋体" w:cs="宋体"/>
                <w:color w:val="000000"/>
                <w:kern w:val="0"/>
                <w:lang w:val="en-US" w:eastAsia="zh-CN"/>
              </w:rPr>
              <w:t>6</w:t>
            </w:r>
            <w:r>
              <w:rPr>
                <w:rFonts w:hint="eastAsia" w:ascii="宋体" w:hAnsi="宋体" w:cs="宋体"/>
                <w:color w:val="000000"/>
                <w:kern w:val="0"/>
              </w:rPr>
              <w:t>分）</w:t>
            </w:r>
          </w:p>
        </w:tc>
        <w:tc>
          <w:tcPr>
            <w:tcW w:w="5686" w:type="dxa"/>
            <w:vAlign w:val="center"/>
          </w:tcPr>
          <w:p>
            <w:pPr>
              <w:jc w:val="left"/>
              <w:textAlignment w:val="center"/>
              <w:rPr>
                <w:rFonts w:ascii="宋体" w:hAnsi="宋体" w:cs="宋体"/>
                <w:kern w:val="0"/>
              </w:rPr>
            </w:pPr>
            <w:r>
              <w:rPr>
                <w:rFonts w:hint="eastAsia" w:ascii="宋体" w:hAnsi="宋体" w:cs="宋体"/>
                <w:kern w:val="0"/>
              </w:rPr>
              <w:t>（1）人员职责明确，团队管理制度精细、严谨；0-</w:t>
            </w:r>
            <w:r>
              <w:rPr>
                <w:rFonts w:hint="eastAsia" w:ascii="宋体" w:hAnsi="宋体" w:cs="宋体"/>
                <w:kern w:val="0"/>
                <w:lang w:val="en-US" w:eastAsia="zh-CN"/>
              </w:rPr>
              <w:t>2</w:t>
            </w:r>
            <w:r>
              <w:rPr>
                <w:rFonts w:hint="eastAsia" w:ascii="宋体" w:hAnsi="宋体" w:cs="宋体"/>
                <w:kern w:val="0"/>
              </w:rPr>
              <w:t>分</w:t>
            </w:r>
          </w:p>
          <w:p>
            <w:pPr>
              <w:jc w:val="left"/>
              <w:textAlignment w:val="center"/>
              <w:rPr>
                <w:rFonts w:ascii="宋体" w:hAnsi="宋体" w:cs="宋体"/>
                <w:kern w:val="0"/>
              </w:rPr>
            </w:pPr>
            <w:r>
              <w:rPr>
                <w:rFonts w:hint="eastAsia" w:ascii="宋体" w:hAnsi="宋体" w:cs="宋体"/>
                <w:kern w:val="0"/>
              </w:rPr>
              <w:t>（2）投诉处理及时，责任追究到位，制度合理；0-</w:t>
            </w:r>
            <w:r>
              <w:rPr>
                <w:rFonts w:hint="eastAsia" w:ascii="宋体" w:hAnsi="宋体" w:cs="宋体"/>
                <w:kern w:val="0"/>
                <w:lang w:val="en-US" w:eastAsia="zh-CN"/>
              </w:rPr>
              <w:t>2</w:t>
            </w:r>
            <w:r>
              <w:rPr>
                <w:rFonts w:hint="eastAsia" w:ascii="宋体" w:hAnsi="宋体" w:cs="宋体"/>
                <w:kern w:val="0"/>
              </w:rPr>
              <w:t>分</w:t>
            </w:r>
          </w:p>
          <w:p>
            <w:pPr>
              <w:jc w:val="left"/>
              <w:textAlignment w:val="center"/>
              <w:rPr>
                <w:rFonts w:ascii="宋体" w:cs="宋体"/>
              </w:rPr>
            </w:pPr>
            <w:r>
              <w:rPr>
                <w:rFonts w:hint="eastAsia" w:ascii="宋体" w:hAnsi="宋体" w:cs="宋体"/>
                <w:kern w:val="0"/>
              </w:rPr>
              <w:t>（3）意外事故处理得力，预案合理、可行。0-2分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6" w:hRule="atLeast"/>
          <w:jc w:val="center"/>
        </w:trPr>
        <w:tc>
          <w:tcPr>
            <w:tcW w:w="1149" w:type="dxa"/>
            <w:gridSpan w:val="2"/>
            <w:vMerge w:val="continue"/>
            <w:vAlign w:val="top"/>
          </w:tcPr>
          <w:p>
            <w:pPr>
              <w:jc w:val="center"/>
              <w:rPr>
                <w:rFonts w:ascii="宋体" w:cs="宋体"/>
              </w:rPr>
            </w:pPr>
          </w:p>
        </w:tc>
        <w:tc>
          <w:tcPr>
            <w:tcW w:w="1134" w:type="dxa"/>
            <w:vMerge w:val="continue"/>
            <w:vAlign w:val="center"/>
          </w:tcPr>
          <w:p>
            <w:pPr>
              <w:jc w:val="center"/>
              <w:rPr>
                <w:rFonts w:ascii="宋体" w:cs="宋体"/>
              </w:rPr>
            </w:pPr>
          </w:p>
        </w:tc>
        <w:tc>
          <w:tcPr>
            <w:tcW w:w="1843" w:type="dxa"/>
            <w:gridSpan w:val="2"/>
            <w:vAlign w:val="center"/>
          </w:tcPr>
          <w:p>
            <w:pPr>
              <w:jc w:val="center"/>
              <w:textAlignment w:val="center"/>
              <w:rPr>
                <w:rFonts w:ascii="ËÎÌå" w:hAnsi="ËÎÌå" w:cs="ËÎÌå"/>
              </w:rPr>
            </w:pPr>
            <w:r>
              <w:rPr>
                <w:rFonts w:hint="eastAsia" w:ascii="宋体" w:hAnsi="宋体" w:cs="宋体"/>
                <w:color w:val="000000"/>
                <w:kern w:val="0"/>
              </w:rPr>
              <w:t>服务承诺（</w:t>
            </w:r>
            <w:r>
              <w:rPr>
                <w:rFonts w:hint="eastAsia" w:ascii="宋体" w:hAnsi="宋体" w:cs="宋体"/>
                <w:color w:val="000000"/>
                <w:kern w:val="0"/>
                <w:lang w:val="en-US" w:eastAsia="zh-CN"/>
              </w:rPr>
              <w:t>7</w:t>
            </w:r>
            <w:r>
              <w:rPr>
                <w:rFonts w:hint="eastAsia" w:ascii="宋体" w:hAnsi="宋体" w:cs="宋体"/>
                <w:color w:val="000000"/>
                <w:kern w:val="0"/>
              </w:rPr>
              <w:t>分）</w:t>
            </w:r>
          </w:p>
        </w:tc>
        <w:tc>
          <w:tcPr>
            <w:tcW w:w="5686" w:type="dxa"/>
            <w:vAlign w:val="center"/>
          </w:tcPr>
          <w:p>
            <w:pPr>
              <w:spacing w:line="360" w:lineRule="exact"/>
              <w:rPr>
                <w:rFonts w:ascii="宋体" w:hAnsi="宋体" w:cs="宋体"/>
              </w:rPr>
            </w:pPr>
            <w:r>
              <w:rPr>
                <w:rFonts w:hint="eastAsia" w:ascii="宋体" w:hAnsi="宋体" w:cs="宋体"/>
                <w:kern w:val="0"/>
              </w:rPr>
              <w:t>（1）</w:t>
            </w:r>
            <w:r>
              <w:rPr>
                <w:rFonts w:hint="eastAsia" w:ascii="宋体" w:hAnsi="宋体" w:cs="宋体"/>
              </w:rPr>
              <w:t>食品卫生安全承诺：0-</w:t>
            </w:r>
            <w:r>
              <w:rPr>
                <w:rFonts w:hint="eastAsia" w:ascii="宋体" w:hAnsi="宋体" w:cs="宋体"/>
                <w:lang w:val="en-US" w:eastAsia="zh-CN"/>
              </w:rPr>
              <w:t>2</w:t>
            </w:r>
            <w:r>
              <w:rPr>
                <w:rFonts w:hint="eastAsia" w:ascii="宋体" w:hAnsi="宋体" w:cs="宋体"/>
              </w:rPr>
              <w:t>分；</w:t>
            </w:r>
          </w:p>
          <w:p>
            <w:pPr>
              <w:spacing w:line="360" w:lineRule="exact"/>
              <w:rPr>
                <w:rFonts w:ascii="宋体" w:hAnsi="宋体" w:cs="宋体"/>
              </w:rPr>
            </w:pPr>
            <w:r>
              <w:rPr>
                <w:rFonts w:hint="eastAsia" w:ascii="宋体" w:hAnsi="宋体" w:cs="宋体"/>
                <w:kern w:val="0"/>
              </w:rPr>
              <w:t>（2）</w:t>
            </w:r>
            <w:r>
              <w:rPr>
                <w:rFonts w:hint="eastAsia" w:ascii="宋体" w:hAnsi="宋体" w:cs="宋体"/>
              </w:rPr>
              <w:t>服务范围及承诺：0-</w:t>
            </w:r>
            <w:r>
              <w:rPr>
                <w:rFonts w:hint="eastAsia" w:ascii="宋体" w:hAnsi="宋体" w:cs="宋体"/>
                <w:lang w:val="en-US" w:eastAsia="zh-CN"/>
              </w:rPr>
              <w:t>2</w:t>
            </w:r>
            <w:r>
              <w:rPr>
                <w:rFonts w:hint="eastAsia" w:ascii="宋体" w:hAnsi="宋体" w:cs="宋体"/>
              </w:rPr>
              <w:t>分；</w:t>
            </w:r>
          </w:p>
          <w:p>
            <w:pPr>
              <w:spacing w:line="360" w:lineRule="exact"/>
              <w:rPr>
                <w:rFonts w:ascii="宋体" w:hAnsi="宋体" w:cs="宋体"/>
              </w:rPr>
            </w:pPr>
            <w:r>
              <w:rPr>
                <w:rFonts w:hint="eastAsia" w:ascii="宋体" w:hAnsi="宋体" w:cs="宋体"/>
                <w:kern w:val="0"/>
              </w:rPr>
              <w:t>（3）</w:t>
            </w:r>
            <w:r>
              <w:rPr>
                <w:rFonts w:hint="eastAsia" w:ascii="宋体" w:hAnsi="宋体" w:cs="宋体"/>
              </w:rPr>
              <w:t>配合招标人接待活动及其他重大活动的措施：0-2分；</w:t>
            </w:r>
          </w:p>
          <w:p>
            <w:pPr>
              <w:textAlignment w:val="center"/>
              <w:rPr>
                <w:rFonts w:ascii="宋体" w:cs="宋体"/>
              </w:rPr>
            </w:pPr>
            <w:r>
              <w:rPr>
                <w:rFonts w:hint="eastAsia" w:ascii="宋体" w:hAnsi="宋体" w:cs="宋体"/>
                <w:kern w:val="0"/>
              </w:rPr>
              <w:t>（4）</w:t>
            </w:r>
            <w:r>
              <w:rPr>
                <w:rFonts w:hint="eastAsia" w:ascii="宋体" w:hAnsi="宋体" w:cs="宋体"/>
              </w:rPr>
              <w:t>其它优惠条件：0-1分。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5" w:hRule="atLeast"/>
          <w:jc w:val="center"/>
        </w:trPr>
        <w:tc>
          <w:tcPr>
            <w:tcW w:w="1149" w:type="dxa"/>
            <w:gridSpan w:val="2"/>
            <w:vMerge w:val="continue"/>
            <w:vAlign w:val="top"/>
          </w:tcPr>
          <w:p>
            <w:pPr>
              <w:jc w:val="center"/>
              <w:textAlignment w:val="center"/>
              <w:rPr>
                <w:rFonts w:ascii="宋体" w:hAnsi="宋体" w:cs="宋体"/>
                <w:kern w:val="0"/>
              </w:rPr>
            </w:pPr>
          </w:p>
        </w:tc>
        <w:tc>
          <w:tcPr>
            <w:tcW w:w="1134" w:type="dxa"/>
            <w:vMerge w:val="restart"/>
            <w:vAlign w:val="center"/>
          </w:tcPr>
          <w:p>
            <w:pPr>
              <w:jc w:val="center"/>
              <w:textAlignment w:val="center"/>
              <w:rPr>
                <w:rFonts w:ascii="宋体" w:cs="宋体"/>
              </w:rPr>
            </w:pPr>
            <w:r>
              <w:rPr>
                <w:rFonts w:hint="eastAsia" w:ascii="宋体" w:cs="宋体"/>
              </w:rPr>
              <w:t>技术部分（1</w:t>
            </w:r>
            <w:r>
              <w:rPr>
                <w:rFonts w:hint="eastAsia" w:ascii="宋体" w:cs="宋体"/>
                <w:lang w:val="en-US" w:eastAsia="zh-CN"/>
              </w:rPr>
              <w:t>2</w:t>
            </w:r>
            <w:r>
              <w:rPr>
                <w:rFonts w:hint="eastAsia" w:ascii="宋体" w:cs="宋体"/>
              </w:rPr>
              <w:t>分）</w:t>
            </w:r>
          </w:p>
        </w:tc>
        <w:tc>
          <w:tcPr>
            <w:tcW w:w="1843" w:type="dxa"/>
            <w:gridSpan w:val="2"/>
            <w:vAlign w:val="center"/>
          </w:tcPr>
          <w:p>
            <w:pPr>
              <w:jc w:val="center"/>
              <w:textAlignment w:val="center"/>
              <w:rPr>
                <w:rFonts w:ascii="宋体" w:cs="宋体"/>
              </w:rPr>
            </w:pPr>
            <w:r>
              <w:rPr>
                <w:rFonts w:hint="eastAsia" w:ascii="宋体" w:hAnsi="宋体" w:cs="宋体"/>
                <w:kern w:val="0"/>
              </w:rPr>
              <w:t>经营服务方案（6</w:t>
            </w:r>
            <w:r>
              <w:rPr>
                <w:rFonts w:ascii="宋体" w:hAnsi="宋体" w:cs="宋体"/>
                <w:kern w:val="0"/>
              </w:rPr>
              <w:t xml:space="preserve"> </w:t>
            </w:r>
            <w:r>
              <w:rPr>
                <w:rFonts w:hint="eastAsia" w:ascii="宋体" w:hAnsi="宋体" w:cs="宋体"/>
                <w:kern w:val="0"/>
              </w:rPr>
              <w:t>分）</w:t>
            </w:r>
          </w:p>
        </w:tc>
        <w:tc>
          <w:tcPr>
            <w:tcW w:w="5686" w:type="dxa"/>
            <w:vAlign w:val="center"/>
          </w:tcPr>
          <w:p>
            <w:pPr>
              <w:widowControl/>
              <w:numPr>
                <w:ilvl w:val="0"/>
                <w:numId w:val="7"/>
              </w:numPr>
              <w:jc w:val="left"/>
              <w:textAlignment w:val="center"/>
              <w:rPr>
                <w:rFonts w:ascii="宋体" w:cs="宋体"/>
                <w:kern w:val="0"/>
              </w:rPr>
            </w:pPr>
            <w:r>
              <w:rPr>
                <w:rFonts w:hint="eastAsia" w:ascii="宋体" w:hAnsi="宋体" w:cs="宋体"/>
                <w:kern w:val="0"/>
              </w:rPr>
              <w:t>财务及管理制度</w:t>
            </w:r>
            <w:r>
              <w:rPr>
                <w:rFonts w:ascii="宋体" w:hAnsi="宋体" w:cs="宋体"/>
                <w:kern w:val="0"/>
              </w:rPr>
              <w:t xml:space="preserve"> 0-</w:t>
            </w:r>
            <w:r>
              <w:rPr>
                <w:rFonts w:hint="eastAsia" w:ascii="宋体" w:hAnsi="宋体" w:cs="宋体"/>
                <w:kern w:val="0"/>
              </w:rPr>
              <w:t>1</w:t>
            </w:r>
            <w:r>
              <w:rPr>
                <w:rFonts w:ascii="宋体" w:hAnsi="宋体" w:cs="宋体"/>
                <w:kern w:val="0"/>
              </w:rPr>
              <w:t xml:space="preserve"> </w:t>
            </w:r>
            <w:r>
              <w:rPr>
                <w:rFonts w:hint="eastAsia" w:ascii="宋体" w:hAnsi="宋体" w:cs="宋体"/>
                <w:kern w:val="0"/>
              </w:rPr>
              <w:t>分；</w:t>
            </w:r>
            <w:r>
              <w:rPr>
                <w:rFonts w:ascii="宋体" w:cs="宋体"/>
                <w:kern w:val="0"/>
              </w:rPr>
              <w:br w:type="textWrapping"/>
            </w:r>
            <w:r>
              <w:rPr>
                <w:rFonts w:hint="eastAsia" w:ascii="宋体" w:hAnsi="宋体" w:cs="宋体"/>
                <w:kern w:val="0"/>
              </w:rPr>
              <w:t>（2）食品安全管理制度和实施措施</w:t>
            </w:r>
            <w:r>
              <w:rPr>
                <w:rFonts w:ascii="宋体" w:hAnsi="宋体" w:cs="宋体"/>
                <w:kern w:val="0"/>
              </w:rPr>
              <w:t xml:space="preserve"> 0-</w:t>
            </w:r>
            <w:r>
              <w:rPr>
                <w:rFonts w:hint="eastAsia" w:ascii="宋体" w:hAnsi="宋体" w:cs="宋体"/>
                <w:kern w:val="0"/>
              </w:rPr>
              <w:t>2分；</w:t>
            </w:r>
          </w:p>
          <w:p>
            <w:pPr>
              <w:widowControl/>
              <w:jc w:val="left"/>
              <w:textAlignment w:val="center"/>
              <w:rPr>
                <w:rFonts w:ascii="宋体" w:cs="宋体"/>
                <w:kern w:val="0"/>
              </w:rPr>
            </w:pPr>
            <w:r>
              <w:rPr>
                <w:rFonts w:hint="eastAsia" w:ascii="宋体" w:hAnsi="宋体" w:cs="宋体"/>
                <w:kern w:val="0"/>
              </w:rPr>
              <w:t>（3）应对水电气等供应障碍的应急预案</w:t>
            </w:r>
            <w:r>
              <w:rPr>
                <w:rFonts w:ascii="宋体" w:hAnsi="宋体" w:cs="宋体"/>
                <w:kern w:val="0"/>
              </w:rPr>
              <w:t xml:space="preserve"> 0-</w:t>
            </w:r>
            <w:r>
              <w:rPr>
                <w:rFonts w:hint="eastAsia" w:ascii="宋体" w:hAnsi="宋体" w:cs="宋体"/>
                <w:kern w:val="0"/>
              </w:rPr>
              <w:t>2分；</w:t>
            </w:r>
          </w:p>
          <w:p>
            <w:pPr>
              <w:jc w:val="left"/>
              <w:textAlignment w:val="center"/>
              <w:rPr>
                <w:rFonts w:ascii="宋体" w:cs="宋体"/>
              </w:rPr>
            </w:pPr>
            <w:r>
              <w:rPr>
                <w:rFonts w:hint="eastAsia" w:ascii="宋体" w:hAnsi="宋体" w:cs="宋体"/>
                <w:kern w:val="0"/>
              </w:rPr>
              <w:t>（4）天燃气安全使用管理制度</w:t>
            </w:r>
            <w:r>
              <w:rPr>
                <w:rFonts w:ascii="宋体" w:hAnsi="宋体" w:cs="宋体"/>
                <w:kern w:val="0"/>
              </w:rPr>
              <w:t xml:space="preserve"> 0-</w:t>
            </w:r>
            <w:r>
              <w:rPr>
                <w:rFonts w:hint="eastAsia" w:ascii="宋体" w:hAnsi="宋体" w:cs="宋体"/>
                <w:kern w:val="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7" w:hRule="atLeast"/>
          <w:jc w:val="center"/>
        </w:trPr>
        <w:tc>
          <w:tcPr>
            <w:tcW w:w="1149" w:type="dxa"/>
            <w:gridSpan w:val="2"/>
            <w:vMerge w:val="continue"/>
            <w:vAlign w:val="top"/>
          </w:tcPr>
          <w:p>
            <w:pPr>
              <w:jc w:val="center"/>
              <w:rPr>
                <w:rFonts w:ascii="宋体" w:cs="宋体"/>
              </w:rPr>
            </w:pPr>
          </w:p>
        </w:tc>
        <w:tc>
          <w:tcPr>
            <w:tcW w:w="1134" w:type="dxa"/>
            <w:vMerge w:val="continue"/>
            <w:vAlign w:val="center"/>
          </w:tcPr>
          <w:p>
            <w:pPr>
              <w:jc w:val="center"/>
              <w:rPr>
                <w:rFonts w:ascii="宋体" w:cs="宋体"/>
              </w:rPr>
            </w:pPr>
          </w:p>
        </w:tc>
        <w:tc>
          <w:tcPr>
            <w:tcW w:w="7529" w:type="dxa"/>
            <w:gridSpan w:val="3"/>
            <w:vAlign w:val="center"/>
          </w:tcPr>
          <w:p>
            <w:pPr>
              <w:textAlignment w:val="center"/>
              <w:rPr>
                <w:rFonts w:ascii="宋体" w:hAnsi="宋体" w:cs="宋体"/>
                <w:kern w:val="0"/>
              </w:rPr>
            </w:pPr>
            <w:r>
              <w:rPr>
                <w:rFonts w:hint="eastAsia" w:ascii="宋体" w:hAnsi="宋体" w:cs="宋体"/>
                <w:kern w:val="0"/>
              </w:rPr>
              <w:t>卫生与环境管理方案（</w:t>
            </w:r>
            <w:r>
              <w:rPr>
                <w:rFonts w:hint="eastAsia" w:ascii="宋体" w:hAnsi="宋体" w:cs="宋体"/>
                <w:kern w:val="0"/>
                <w:lang w:val="en-US" w:eastAsia="zh-CN"/>
              </w:rPr>
              <w:t>3</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1" w:hRule="atLeast"/>
          <w:jc w:val="center"/>
        </w:trPr>
        <w:tc>
          <w:tcPr>
            <w:tcW w:w="1149" w:type="dxa"/>
            <w:gridSpan w:val="2"/>
            <w:vMerge w:val="continue"/>
            <w:vAlign w:val="top"/>
          </w:tcPr>
          <w:p>
            <w:pPr>
              <w:jc w:val="center"/>
              <w:rPr>
                <w:rFonts w:ascii="宋体" w:cs="宋体"/>
              </w:rPr>
            </w:pPr>
          </w:p>
        </w:tc>
        <w:tc>
          <w:tcPr>
            <w:tcW w:w="1134" w:type="dxa"/>
            <w:vMerge w:val="continue"/>
            <w:vAlign w:val="center"/>
          </w:tcPr>
          <w:p>
            <w:pPr>
              <w:jc w:val="center"/>
              <w:rPr>
                <w:rFonts w:ascii="宋体" w:cs="宋体"/>
              </w:rPr>
            </w:pPr>
          </w:p>
        </w:tc>
        <w:tc>
          <w:tcPr>
            <w:tcW w:w="7529" w:type="dxa"/>
            <w:gridSpan w:val="3"/>
            <w:vAlign w:val="center"/>
          </w:tcPr>
          <w:p>
            <w:pPr>
              <w:jc w:val="left"/>
              <w:textAlignment w:val="center"/>
              <w:rPr>
                <w:rFonts w:ascii="宋体" w:cs="宋体"/>
              </w:rPr>
            </w:pPr>
            <w:r>
              <w:rPr>
                <w:rFonts w:hint="eastAsia" w:ascii="宋体" w:hAnsi="宋体" w:cs="宋体"/>
                <w:kern w:val="0"/>
              </w:rPr>
              <w:t>人员职责与管理方案、投诉处理方案、消防、治安及意外事故处理方案（3分）</w:t>
            </w:r>
          </w:p>
        </w:tc>
      </w:tr>
    </w:tbl>
    <w:p>
      <w:pPr>
        <w:pStyle w:val="14"/>
        <w:ind w:firstLineChars="200"/>
        <w:rPr>
          <w:rFonts w:hint="eastAsia" w:ascii="Times New Roman" w:hAnsi="Times New Roman" w:eastAsia="宋体" w:cs="宋体"/>
          <w:kern w:val="2"/>
          <w:sz w:val="24"/>
          <w:szCs w:val="22"/>
          <w:lang w:val="en-US" w:eastAsia="zh-CN" w:bidi="ar-SA"/>
        </w:rPr>
      </w:pPr>
      <w:r>
        <w:rPr>
          <w:rFonts w:hint="eastAsia" w:ascii="Times New Roman" w:hAnsi="Times New Roman" w:eastAsia="宋体" w:cs="宋体"/>
          <w:kern w:val="2"/>
          <w:sz w:val="24"/>
          <w:szCs w:val="22"/>
          <w:lang w:val="en-US" w:eastAsia="zh-CN" w:bidi="ar-SA"/>
        </w:rPr>
        <w:t>本评分办法中的各种有效证明材料，投标文件中必须提供复印件，且在评标时同时提供与复印件一致的原件或公正件，未提供原件或公正件的不得分。</w:t>
      </w:r>
    </w:p>
    <w:p>
      <w:pPr>
        <w:pStyle w:val="125"/>
        <w:spacing w:before="120" w:after="120"/>
        <w:rPr>
          <w:rFonts w:ascii="仿宋" w:hAnsi="仿宋" w:eastAsia="仿宋"/>
        </w:rPr>
      </w:pPr>
      <w:r>
        <w:rPr>
          <w:rFonts w:hint="eastAsia" w:cs="宋体"/>
        </w:rPr>
        <w:t>特别提醒：投标人提交的证明材料应客观、属实。在投标有效期内，招标人有权对上述文件进行核查，发现有不实之处并经查实后，招标人有权取消投标人的中标资格，并且投标人应承担相应的法律责任；</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jc w:val="center"/>
        <w:rPr>
          <w:rFonts w:ascii="仿宋_GB2312" w:hAnsi="宋体" w:eastAsia="仿宋_GB2312" w:cs="仿宋_GB2312"/>
          <w:b/>
          <w:bCs/>
          <w:sz w:val="24"/>
          <w:szCs w:val="24"/>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ind w:firstLine="960" w:firstLineChars="400"/>
        <w:jc w:val="both"/>
        <w:rPr>
          <w:rFonts w:ascii="宋体"/>
          <w:b/>
          <w:bCs/>
          <w:sz w:val="32"/>
          <w:szCs w:val="32"/>
        </w:rPr>
      </w:pPr>
      <w:r>
        <w:rPr>
          <w:rFonts w:ascii="仿宋" w:hAnsi="仿宋" w:eastAsia="仿宋" w:cs="仿宋_GB2312"/>
          <w:sz w:val="24"/>
          <w:szCs w:val="24"/>
          <w:lang w:val="zh-CN"/>
        </w:rPr>
        <w:t xml:space="preserve">     </w:t>
      </w:r>
      <w:r>
        <w:rPr>
          <w:rFonts w:ascii="仿宋_GB2312" w:hAnsi="宋体" w:eastAsia="仿宋_GB2312" w:cs="仿宋_GB2312"/>
          <w:b/>
          <w:bCs/>
          <w:sz w:val="24"/>
          <w:szCs w:val="24"/>
        </w:rPr>
        <w:t xml:space="preserve"> </w:t>
      </w:r>
      <w:r>
        <w:rPr>
          <w:rFonts w:hint="eastAsia" w:ascii="宋体" w:hAnsi="宋体" w:cs="宋体"/>
          <w:b/>
          <w:bCs/>
          <w:sz w:val="32"/>
          <w:szCs w:val="32"/>
        </w:rPr>
        <w:t>禹州市公安局餐厅委托管理服务项目合同书</w:t>
      </w:r>
    </w:p>
    <w:p>
      <w:pPr>
        <w:jc w:val="center"/>
        <w:rPr>
          <w:rFonts w:ascii="宋体"/>
          <w:b/>
          <w:bCs/>
          <w:sz w:val="32"/>
          <w:szCs w:val="32"/>
        </w:rPr>
      </w:pPr>
      <w:r>
        <w:rPr>
          <w:rFonts w:hint="eastAsia" w:ascii="宋体" w:hAnsi="宋体" w:cs="宋体"/>
          <w:b/>
          <w:bCs/>
          <w:sz w:val="32"/>
          <w:szCs w:val="32"/>
        </w:rPr>
        <w:t>（仅供参考）</w:t>
      </w:r>
    </w:p>
    <w:p>
      <w:pPr>
        <w:spacing w:line="660" w:lineRule="exact"/>
        <w:rPr>
          <w:sz w:val="24"/>
          <w:szCs w:val="32"/>
        </w:rPr>
      </w:pPr>
      <w:r>
        <w:rPr>
          <w:rFonts w:hint="eastAsia"/>
          <w:sz w:val="24"/>
          <w:szCs w:val="32"/>
        </w:rPr>
        <w:t>合同编号：</w:t>
      </w:r>
    </w:p>
    <w:p>
      <w:pPr>
        <w:spacing w:line="660" w:lineRule="exact"/>
        <w:rPr>
          <w:sz w:val="24"/>
          <w:szCs w:val="32"/>
        </w:rPr>
      </w:pPr>
      <w:r>
        <w:rPr>
          <w:rFonts w:hint="eastAsia"/>
          <w:sz w:val="24"/>
          <w:szCs w:val="32"/>
        </w:rPr>
        <w:t>甲方：禹州市公安局      地址：</w:t>
      </w:r>
    </w:p>
    <w:p>
      <w:pPr>
        <w:spacing w:line="660" w:lineRule="exact"/>
        <w:rPr>
          <w:sz w:val="24"/>
          <w:szCs w:val="32"/>
        </w:rPr>
      </w:pPr>
      <w:r>
        <w:rPr>
          <w:rFonts w:hint="eastAsia"/>
          <w:sz w:val="24"/>
          <w:szCs w:val="32"/>
        </w:rPr>
        <w:t>乙方：                              地址：</w:t>
      </w:r>
    </w:p>
    <w:p>
      <w:pPr>
        <w:spacing w:line="660" w:lineRule="exact"/>
        <w:ind w:firstLine="480" w:firstLineChars="200"/>
        <w:rPr>
          <w:sz w:val="24"/>
          <w:szCs w:val="32"/>
        </w:rPr>
      </w:pPr>
      <w:r>
        <w:rPr>
          <w:rFonts w:hint="eastAsia"/>
          <w:sz w:val="24"/>
          <w:szCs w:val="32"/>
        </w:rPr>
        <w:t>根据《中华人民共和国合同法》及相关法律法规的规定，经共同协商，甲乙双方就甲方职工餐厅餐饮服务事宜达成如下协议:</w:t>
      </w:r>
    </w:p>
    <w:p>
      <w:pPr>
        <w:numPr>
          <w:ilvl w:val="0"/>
          <w:numId w:val="8"/>
        </w:numPr>
        <w:spacing w:line="660" w:lineRule="exact"/>
        <w:rPr>
          <w:sz w:val="24"/>
          <w:szCs w:val="32"/>
        </w:rPr>
      </w:pPr>
      <w:r>
        <w:rPr>
          <w:rFonts w:hint="eastAsia"/>
          <w:sz w:val="24"/>
          <w:szCs w:val="32"/>
        </w:rPr>
        <w:t>服务范围：</w:t>
      </w:r>
    </w:p>
    <w:p>
      <w:pPr>
        <w:spacing w:line="660" w:lineRule="exact"/>
        <w:ind w:firstLine="480" w:firstLineChars="200"/>
        <w:rPr>
          <w:sz w:val="24"/>
          <w:szCs w:val="32"/>
        </w:rPr>
      </w:pPr>
      <w:r>
        <w:rPr>
          <w:rFonts w:hint="eastAsia"/>
          <w:sz w:val="24"/>
          <w:szCs w:val="32"/>
        </w:rPr>
        <w:t>机关职工餐厅菜肴搭配和制作，单位内部接待菜品、饮食配备。</w:t>
      </w:r>
    </w:p>
    <w:p>
      <w:pPr>
        <w:numPr>
          <w:ilvl w:val="0"/>
          <w:numId w:val="8"/>
        </w:numPr>
        <w:spacing w:line="660" w:lineRule="exact"/>
        <w:rPr>
          <w:sz w:val="24"/>
          <w:szCs w:val="32"/>
        </w:rPr>
      </w:pPr>
      <w:r>
        <w:rPr>
          <w:rFonts w:hint="eastAsia"/>
          <w:sz w:val="24"/>
          <w:szCs w:val="32"/>
        </w:rPr>
        <w:t>双方权利及义务</w:t>
      </w:r>
    </w:p>
    <w:p>
      <w:pPr>
        <w:numPr>
          <w:ilvl w:val="0"/>
          <w:numId w:val="9"/>
        </w:numPr>
        <w:spacing w:line="660" w:lineRule="exact"/>
        <w:rPr>
          <w:sz w:val="24"/>
          <w:szCs w:val="32"/>
        </w:rPr>
      </w:pPr>
      <w:r>
        <w:rPr>
          <w:rFonts w:hint="eastAsia"/>
          <w:sz w:val="24"/>
          <w:szCs w:val="32"/>
        </w:rPr>
        <w:t>甲方权利义务</w:t>
      </w:r>
    </w:p>
    <w:p>
      <w:pPr>
        <w:spacing w:line="660" w:lineRule="exact"/>
        <w:ind w:firstLine="480" w:firstLineChars="200"/>
        <w:rPr>
          <w:sz w:val="24"/>
          <w:szCs w:val="32"/>
        </w:rPr>
      </w:pPr>
      <w:r>
        <w:rPr>
          <w:rFonts w:hint="eastAsia"/>
          <w:sz w:val="24"/>
          <w:szCs w:val="32"/>
        </w:rPr>
        <w:t>1、甲方提供食堂所需的厨房设备和作业所用原料、水电和燃气等设施。</w:t>
      </w:r>
    </w:p>
    <w:p>
      <w:pPr>
        <w:spacing w:line="660" w:lineRule="exact"/>
        <w:ind w:firstLine="480" w:firstLineChars="200"/>
        <w:rPr>
          <w:sz w:val="24"/>
          <w:szCs w:val="32"/>
        </w:rPr>
      </w:pPr>
      <w:r>
        <w:rPr>
          <w:rFonts w:hint="eastAsia"/>
          <w:sz w:val="24"/>
          <w:szCs w:val="32"/>
        </w:rPr>
        <w:t>2、甲方按承包合同规定监督乙方依法管理，履行合同，做好指导和协调工作。</w:t>
      </w:r>
    </w:p>
    <w:p>
      <w:pPr>
        <w:spacing w:line="660" w:lineRule="exact"/>
        <w:ind w:firstLine="480" w:firstLineChars="200"/>
        <w:rPr>
          <w:sz w:val="24"/>
          <w:szCs w:val="32"/>
        </w:rPr>
      </w:pPr>
      <w:r>
        <w:rPr>
          <w:rFonts w:hint="eastAsia"/>
          <w:sz w:val="24"/>
          <w:szCs w:val="32"/>
        </w:rPr>
        <w:t>3、甲方对乙方进菜需求、配菜、营养搭配、服务水平及卫生状况进行监督，并有权要求乙方及时整改。</w:t>
      </w:r>
    </w:p>
    <w:p>
      <w:pPr>
        <w:spacing w:line="660" w:lineRule="exact"/>
        <w:ind w:firstLine="480" w:firstLineChars="200"/>
        <w:rPr>
          <w:sz w:val="24"/>
          <w:szCs w:val="32"/>
        </w:rPr>
      </w:pPr>
      <w:r>
        <w:rPr>
          <w:rFonts w:hint="eastAsia"/>
          <w:sz w:val="24"/>
          <w:szCs w:val="32"/>
        </w:rPr>
        <w:t>4、甲方应协助乙方维持食堂治安秩序，并加强对乙方员工的教育。</w:t>
      </w:r>
    </w:p>
    <w:p>
      <w:pPr>
        <w:spacing w:line="660" w:lineRule="exact"/>
        <w:ind w:firstLine="480" w:firstLineChars="200"/>
        <w:rPr>
          <w:sz w:val="24"/>
          <w:szCs w:val="32"/>
        </w:rPr>
      </w:pPr>
      <w:r>
        <w:rPr>
          <w:rFonts w:hint="eastAsia"/>
          <w:sz w:val="24"/>
          <w:szCs w:val="32"/>
        </w:rPr>
        <w:t>5、向乙方委派人员提供三餐。</w:t>
      </w:r>
    </w:p>
    <w:p>
      <w:pPr>
        <w:spacing w:line="660" w:lineRule="exact"/>
        <w:ind w:left="630"/>
        <w:rPr>
          <w:sz w:val="24"/>
          <w:szCs w:val="32"/>
        </w:rPr>
      </w:pPr>
      <w:r>
        <w:rPr>
          <w:rFonts w:hint="eastAsia"/>
          <w:sz w:val="24"/>
          <w:szCs w:val="32"/>
        </w:rPr>
        <w:t>（二）乙方权利义务</w:t>
      </w:r>
    </w:p>
    <w:p>
      <w:pPr>
        <w:spacing w:line="660" w:lineRule="exact"/>
        <w:ind w:firstLine="480" w:firstLineChars="200"/>
        <w:rPr>
          <w:sz w:val="24"/>
          <w:szCs w:val="32"/>
        </w:rPr>
      </w:pPr>
      <w:r>
        <w:rPr>
          <w:rFonts w:hint="eastAsia"/>
          <w:sz w:val="24"/>
          <w:szCs w:val="32"/>
        </w:rPr>
        <w:t>1、乙方应严格遵守《食品安全法》、《坏境保护法》、等相关的法律法规和上级部门的规章制度，必须确保食物的质量，严把进货渠道，严禁购进变质变霉的食物，做到食品安全、食品卫生、环境卫生符合相关要求，保证各类经营所需证件齐全，经得起上级部门检查。</w:t>
      </w:r>
    </w:p>
    <w:p>
      <w:pPr>
        <w:spacing w:line="660" w:lineRule="exact"/>
        <w:ind w:firstLine="480" w:firstLineChars="200"/>
        <w:rPr>
          <w:sz w:val="24"/>
          <w:szCs w:val="32"/>
        </w:rPr>
      </w:pPr>
      <w:r>
        <w:rPr>
          <w:rFonts w:hint="eastAsia"/>
          <w:sz w:val="24"/>
          <w:szCs w:val="32"/>
        </w:rPr>
        <w:t>2、食堂工作人员按卫生部门规定进行身体检查（费用自理）；必须统一工作服装（费用自理）。食堂应有健全的防鼠、放蝇、防尘“三防” 措施。</w:t>
      </w:r>
    </w:p>
    <w:p>
      <w:pPr>
        <w:spacing w:line="660" w:lineRule="exact"/>
        <w:ind w:firstLine="480" w:firstLineChars="200"/>
        <w:rPr>
          <w:sz w:val="24"/>
          <w:szCs w:val="32"/>
        </w:rPr>
      </w:pPr>
      <w:r>
        <w:rPr>
          <w:rFonts w:hint="eastAsia"/>
          <w:sz w:val="24"/>
          <w:szCs w:val="32"/>
        </w:rPr>
        <w:t>3、食堂禁止使用对环境有污染的饭盒和方便袋，并负责对食堂内外场地随时清扫，确保环境卫生整洁。</w:t>
      </w:r>
    </w:p>
    <w:p>
      <w:pPr>
        <w:spacing w:line="660" w:lineRule="exact"/>
        <w:ind w:firstLine="480" w:firstLineChars="200"/>
        <w:rPr>
          <w:sz w:val="24"/>
          <w:szCs w:val="32"/>
        </w:rPr>
      </w:pPr>
      <w:r>
        <w:rPr>
          <w:rFonts w:hint="eastAsia"/>
          <w:sz w:val="24"/>
          <w:szCs w:val="32"/>
        </w:rPr>
        <w:t>4、乙方要认真做好防火、防盗、防电及有关的安全工作，如出现安全事故其责任完全由乙方承担。</w:t>
      </w:r>
    </w:p>
    <w:p>
      <w:pPr>
        <w:spacing w:line="660" w:lineRule="exact"/>
        <w:ind w:firstLine="480" w:firstLineChars="200"/>
        <w:rPr>
          <w:sz w:val="24"/>
          <w:szCs w:val="32"/>
        </w:rPr>
      </w:pPr>
      <w:r>
        <w:rPr>
          <w:rFonts w:hint="eastAsia"/>
          <w:sz w:val="24"/>
          <w:szCs w:val="32"/>
        </w:rPr>
        <w:t>5、乙方工作人员必须遵守甲方的规章制度，不做干扰正常办公秩序的事情。</w:t>
      </w:r>
    </w:p>
    <w:p>
      <w:pPr>
        <w:spacing w:line="660" w:lineRule="exact"/>
        <w:ind w:firstLine="480" w:firstLineChars="200"/>
        <w:rPr>
          <w:sz w:val="24"/>
          <w:szCs w:val="32"/>
        </w:rPr>
      </w:pPr>
      <w:r>
        <w:rPr>
          <w:rFonts w:hint="eastAsia"/>
          <w:sz w:val="24"/>
          <w:szCs w:val="32"/>
        </w:rPr>
        <w:t>6、乙方必须按甲方规定时间作息，准时开餐，开餐时间由甲方规定，如有变动应事先通知乙方。</w:t>
      </w:r>
    </w:p>
    <w:p>
      <w:pPr>
        <w:spacing w:line="660" w:lineRule="exact"/>
        <w:ind w:firstLine="480" w:firstLineChars="200"/>
        <w:rPr>
          <w:sz w:val="24"/>
          <w:szCs w:val="32"/>
        </w:rPr>
      </w:pPr>
      <w:r>
        <w:rPr>
          <w:rFonts w:hint="eastAsia"/>
          <w:sz w:val="24"/>
          <w:szCs w:val="32"/>
        </w:rPr>
        <w:t>7、乙方工作人员必须品行端正。</w:t>
      </w:r>
    </w:p>
    <w:p>
      <w:pPr>
        <w:spacing w:line="660" w:lineRule="exact"/>
        <w:ind w:firstLine="480" w:firstLineChars="200"/>
        <w:rPr>
          <w:sz w:val="24"/>
          <w:szCs w:val="32"/>
        </w:rPr>
      </w:pPr>
      <w:r>
        <w:rPr>
          <w:rFonts w:hint="eastAsia"/>
          <w:sz w:val="24"/>
          <w:szCs w:val="32"/>
        </w:rPr>
        <w:t>8、甲方提供的现有设备及餐具，乙方应合理使用，妥善保管，严格管理，不得人为损坏和丢失，否则折价赔偿。</w:t>
      </w:r>
    </w:p>
    <w:p>
      <w:pPr>
        <w:spacing w:line="660" w:lineRule="exact"/>
        <w:ind w:firstLine="480" w:firstLineChars="200"/>
        <w:rPr>
          <w:sz w:val="24"/>
          <w:szCs w:val="32"/>
        </w:rPr>
      </w:pPr>
      <w:r>
        <w:rPr>
          <w:rFonts w:hint="eastAsia"/>
          <w:sz w:val="24"/>
          <w:szCs w:val="32"/>
        </w:rPr>
        <w:t>9、乙方经营业务只限餐饮服务方面，未经甲方允许乙方不得在食堂内增开其他业务，否则视为违约。</w:t>
      </w:r>
    </w:p>
    <w:p>
      <w:pPr>
        <w:spacing w:line="660" w:lineRule="exact"/>
        <w:ind w:firstLine="480" w:firstLineChars="200"/>
        <w:rPr>
          <w:sz w:val="24"/>
          <w:szCs w:val="32"/>
        </w:rPr>
      </w:pPr>
      <w:r>
        <w:rPr>
          <w:rFonts w:hint="eastAsia"/>
          <w:sz w:val="24"/>
          <w:szCs w:val="32"/>
        </w:rPr>
        <w:t>10、乙方应及时缴纳水电费用，不得拖欠，如工商、卫生等管理部门收取有关费用由乙方自理。</w:t>
      </w:r>
    </w:p>
    <w:p>
      <w:pPr>
        <w:spacing w:line="660" w:lineRule="exact"/>
        <w:ind w:firstLine="480" w:firstLineChars="200"/>
        <w:rPr>
          <w:sz w:val="24"/>
          <w:szCs w:val="32"/>
        </w:rPr>
      </w:pPr>
      <w:r>
        <w:rPr>
          <w:rFonts w:hint="eastAsia"/>
          <w:sz w:val="24"/>
          <w:szCs w:val="32"/>
        </w:rPr>
        <w:t>11、乙方所聘食堂工作人员的劳资、劳保费用均由乙方自理。</w:t>
      </w:r>
    </w:p>
    <w:p>
      <w:pPr>
        <w:spacing w:line="660" w:lineRule="exact"/>
        <w:ind w:firstLine="360" w:firstLineChars="150"/>
        <w:rPr>
          <w:sz w:val="24"/>
          <w:szCs w:val="32"/>
        </w:rPr>
      </w:pPr>
      <w:r>
        <w:rPr>
          <w:rFonts w:hint="eastAsia"/>
          <w:sz w:val="24"/>
          <w:szCs w:val="32"/>
        </w:rPr>
        <w:t>（三）乙方权限</w:t>
      </w:r>
    </w:p>
    <w:p>
      <w:pPr>
        <w:spacing w:line="660" w:lineRule="exact"/>
        <w:ind w:firstLine="480" w:firstLineChars="200"/>
        <w:rPr>
          <w:sz w:val="24"/>
          <w:szCs w:val="32"/>
        </w:rPr>
      </w:pPr>
      <w:r>
        <w:rPr>
          <w:rFonts w:hint="eastAsia"/>
          <w:sz w:val="24"/>
          <w:szCs w:val="32"/>
        </w:rPr>
        <w:t>1、乙方有权自主经营，各类原材料购进自主。</w:t>
      </w:r>
    </w:p>
    <w:p>
      <w:pPr>
        <w:spacing w:line="660" w:lineRule="exact"/>
        <w:ind w:firstLine="480" w:firstLineChars="200"/>
        <w:rPr>
          <w:sz w:val="24"/>
          <w:szCs w:val="32"/>
        </w:rPr>
      </w:pPr>
      <w:r>
        <w:rPr>
          <w:rFonts w:hint="eastAsia"/>
          <w:sz w:val="24"/>
          <w:szCs w:val="32"/>
        </w:rPr>
        <w:t>2、有权自主聘用、调用工作人员。</w:t>
      </w:r>
    </w:p>
    <w:p>
      <w:pPr>
        <w:spacing w:line="660" w:lineRule="exact"/>
        <w:ind w:firstLine="480" w:firstLineChars="200"/>
        <w:rPr>
          <w:sz w:val="24"/>
          <w:szCs w:val="32"/>
        </w:rPr>
      </w:pPr>
      <w:r>
        <w:rPr>
          <w:rFonts w:hint="eastAsia"/>
          <w:sz w:val="24"/>
          <w:szCs w:val="32"/>
        </w:rPr>
        <w:t>3、甲方违约，乙方有权终止承包合同。</w:t>
      </w:r>
    </w:p>
    <w:p>
      <w:pPr>
        <w:spacing w:line="660" w:lineRule="exact"/>
        <w:ind w:left="630"/>
        <w:rPr>
          <w:sz w:val="24"/>
          <w:szCs w:val="32"/>
        </w:rPr>
      </w:pPr>
      <w:r>
        <w:rPr>
          <w:rFonts w:hint="eastAsia"/>
          <w:sz w:val="24"/>
          <w:szCs w:val="32"/>
        </w:rPr>
        <w:t>三、合同价款和结算事宜</w:t>
      </w:r>
    </w:p>
    <w:p>
      <w:pPr>
        <w:spacing w:line="660" w:lineRule="exact"/>
        <w:ind w:firstLine="480" w:firstLineChars="200"/>
        <w:rPr>
          <w:sz w:val="24"/>
          <w:szCs w:val="32"/>
        </w:rPr>
      </w:pPr>
      <w:r>
        <w:rPr>
          <w:rFonts w:hint="eastAsia"/>
          <w:sz w:val="24"/>
          <w:szCs w:val="32"/>
        </w:rPr>
        <w:t>合同价款：甲方每月支付乙方人民币元</w:t>
      </w:r>
    </w:p>
    <w:p>
      <w:pPr>
        <w:spacing w:line="660" w:lineRule="exact"/>
        <w:ind w:firstLine="480" w:firstLineChars="200"/>
        <w:rPr>
          <w:sz w:val="24"/>
          <w:szCs w:val="32"/>
        </w:rPr>
      </w:pPr>
      <w:r>
        <w:rPr>
          <w:rFonts w:hint="eastAsia"/>
          <w:sz w:val="24"/>
          <w:szCs w:val="32"/>
        </w:rPr>
        <w:t>（大写：                       ）承包费。</w:t>
      </w:r>
    </w:p>
    <w:p>
      <w:pPr>
        <w:spacing w:line="660" w:lineRule="exact"/>
        <w:ind w:left="630"/>
        <w:rPr>
          <w:sz w:val="24"/>
          <w:szCs w:val="32"/>
        </w:rPr>
      </w:pPr>
      <w:r>
        <w:rPr>
          <w:rFonts w:hint="eastAsia"/>
          <w:sz w:val="24"/>
          <w:szCs w:val="32"/>
        </w:rPr>
        <w:t>结算方法：每月   日前，由乙方开具正规合法发票，甲方收到发票后转账付款。</w:t>
      </w:r>
    </w:p>
    <w:p>
      <w:pPr>
        <w:spacing w:line="660" w:lineRule="exact"/>
        <w:ind w:firstLine="480" w:firstLineChars="200"/>
        <w:rPr>
          <w:sz w:val="24"/>
          <w:szCs w:val="32"/>
        </w:rPr>
      </w:pPr>
      <w:r>
        <w:rPr>
          <w:rFonts w:hint="eastAsia"/>
          <w:sz w:val="24"/>
          <w:szCs w:val="32"/>
        </w:rPr>
        <w:t>四、合同终止</w:t>
      </w:r>
    </w:p>
    <w:p>
      <w:pPr>
        <w:spacing w:line="660" w:lineRule="exact"/>
        <w:ind w:firstLine="480" w:firstLineChars="200"/>
        <w:rPr>
          <w:sz w:val="24"/>
          <w:szCs w:val="32"/>
        </w:rPr>
      </w:pPr>
      <w:r>
        <w:rPr>
          <w:rFonts w:hint="eastAsia"/>
          <w:sz w:val="24"/>
          <w:szCs w:val="32"/>
        </w:rPr>
        <w:t>有以下情形之一的，甲方可直接解除合同而不承担违约责任：</w:t>
      </w:r>
    </w:p>
    <w:p>
      <w:pPr>
        <w:spacing w:line="660" w:lineRule="exact"/>
        <w:rPr>
          <w:sz w:val="24"/>
          <w:szCs w:val="32"/>
        </w:rPr>
      </w:pPr>
      <w:r>
        <w:rPr>
          <w:rFonts w:hint="eastAsia"/>
          <w:sz w:val="24"/>
          <w:szCs w:val="32"/>
        </w:rPr>
        <w:t xml:space="preserve">   （一）甲方要求乙方在进菜需求、配菜、营养搭配、服务水平及卫生状况方面进行整改，经多次督促仍不改正的；</w:t>
      </w:r>
    </w:p>
    <w:p>
      <w:pPr>
        <w:spacing w:line="660" w:lineRule="exact"/>
        <w:ind w:firstLine="360" w:firstLineChars="150"/>
        <w:rPr>
          <w:sz w:val="24"/>
          <w:szCs w:val="32"/>
        </w:rPr>
      </w:pPr>
      <w:r>
        <w:rPr>
          <w:rFonts w:hint="eastAsia"/>
          <w:sz w:val="24"/>
          <w:szCs w:val="32"/>
        </w:rPr>
        <w:t>（二）乙方提供不合标准食物造成安全事故的；</w:t>
      </w:r>
    </w:p>
    <w:p>
      <w:pPr>
        <w:spacing w:line="660" w:lineRule="exact"/>
        <w:ind w:firstLine="360" w:firstLineChars="150"/>
        <w:rPr>
          <w:sz w:val="24"/>
          <w:szCs w:val="32"/>
        </w:rPr>
      </w:pPr>
      <w:r>
        <w:rPr>
          <w:rFonts w:hint="eastAsia"/>
          <w:sz w:val="24"/>
          <w:szCs w:val="32"/>
        </w:rPr>
        <w:t>（三）乙方没有按时为甲方提供工作日各餐，又没有正当理由的。</w:t>
      </w:r>
    </w:p>
    <w:p>
      <w:pPr>
        <w:spacing w:line="660" w:lineRule="exact"/>
        <w:ind w:firstLine="360" w:firstLineChars="150"/>
        <w:rPr>
          <w:sz w:val="24"/>
          <w:szCs w:val="32"/>
        </w:rPr>
      </w:pPr>
      <w:r>
        <w:rPr>
          <w:rFonts w:hint="eastAsia"/>
          <w:sz w:val="24"/>
          <w:szCs w:val="32"/>
        </w:rPr>
        <w:t>（四）乙方提供后厨服务人员严重违反甲方公司厨房相关规章制度及要求的，给甲方造成严重损失的。</w:t>
      </w:r>
    </w:p>
    <w:p>
      <w:pPr>
        <w:spacing w:line="660" w:lineRule="exact"/>
        <w:ind w:firstLine="480" w:firstLineChars="200"/>
        <w:rPr>
          <w:sz w:val="24"/>
          <w:szCs w:val="32"/>
        </w:rPr>
      </w:pPr>
      <w:r>
        <w:rPr>
          <w:rFonts w:hint="eastAsia"/>
          <w:sz w:val="24"/>
          <w:szCs w:val="32"/>
        </w:rPr>
        <w:t>五、违约责任及解决办法</w:t>
      </w:r>
    </w:p>
    <w:p>
      <w:pPr>
        <w:spacing w:line="660" w:lineRule="exact"/>
        <w:ind w:firstLine="480" w:firstLineChars="200"/>
        <w:rPr>
          <w:sz w:val="24"/>
          <w:szCs w:val="32"/>
        </w:rPr>
      </w:pPr>
      <w:r>
        <w:rPr>
          <w:rFonts w:hint="eastAsia"/>
          <w:sz w:val="24"/>
          <w:szCs w:val="32"/>
        </w:rPr>
        <w:t>1、乙方因违反《食品安全法》、《环境保护法》等相关法律法规，给学校及师生造成的损失，乙方应负相关法律责任及全部经济责任。</w:t>
      </w:r>
    </w:p>
    <w:p>
      <w:pPr>
        <w:spacing w:line="660" w:lineRule="exact"/>
        <w:ind w:firstLine="480" w:firstLineChars="200"/>
        <w:rPr>
          <w:sz w:val="24"/>
          <w:szCs w:val="32"/>
        </w:rPr>
      </w:pPr>
      <w:r>
        <w:rPr>
          <w:rFonts w:hint="eastAsia"/>
          <w:sz w:val="24"/>
          <w:szCs w:val="32"/>
        </w:rPr>
        <w:t>2、合同期满后，如甲方不再续约合同，对乙方硬件投入部分，双方协调解决。</w:t>
      </w:r>
    </w:p>
    <w:p>
      <w:pPr>
        <w:spacing w:line="660" w:lineRule="exact"/>
        <w:ind w:firstLine="480" w:firstLineChars="200"/>
        <w:rPr>
          <w:sz w:val="24"/>
          <w:szCs w:val="32"/>
        </w:rPr>
      </w:pPr>
      <w:r>
        <w:rPr>
          <w:rFonts w:hint="eastAsia"/>
          <w:sz w:val="24"/>
          <w:szCs w:val="32"/>
        </w:rPr>
        <w:t>3、乙方办理从业人员健康证。因乙方不具备相关证件而被有关部门处罚，乙方应负责解决。</w:t>
      </w:r>
    </w:p>
    <w:p>
      <w:pPr>
        <w:spacing w:line="660" w:lineRule="exact"/>
        <w:ind w:firstLine="480" w:firstLineChars="200"/>
        <w:rPr>
          <w:sz w:val="24"/>
          <w:szCs w:val="32"/>
        </w:rPr>
      </w:pPr>
      <w:r>
        <w:rPr>
          <w:rFonts w:hint="eastAsia"/>
          <w:sz w:val="24"/>
          <w:szCs w:val="32"/>
        </w:rPr>
        <w:t>4、如乙方违反本合同的条款，甲方将有权责令其限期整改，如造成损失，甲方视情况对乙方做出相应的经济处罚。</w:t>
      </w:r>
    </w:p>
    <w:p>
      <w:pPr>
        <w:spacing w:line="660" w:lineRule="exact"/>
        <w:ind w:firstLine="480" w:firstLineChars="200"/>
        <w:rPr>
          <w:sz w:val="24"/>
          <w:szCs w:val="32"/>
        </w:rPr>
      </w:pPr>
      <w:r>
        <w:rPr>
          <w:rFonts w:hint="eastAsia"/>
          <w:sz w:val="24"/>
          <w:szCs w:val="32"/>
        </w:rPr>
        <w:t>5、如乙方将所承包的食堂转包他人经营，则甲方有权终止合同。</w:t>
      </w:r>
    </w:p>
    <w:p>
      <w:pPr>
        <w:spacing w:line="660" w:lineRule="exact"/>
        <w:ind w:firstLine="480" w:firstLineChars="200"/>
        <w:rPr>
          <w:sz w:val="24"/>
          <w:szCs w:val="32"/>
        </w:rPr>
      </w:pPr>
      <w:r>
        <w:rPr>
          <w:rFonts w:hint="eastAsia"/>
          <w:sz w:val="24"/>
          <w:szCs w:val="32"/>
        </w:rPr>
        <w:t>6、甲方如违反本合同的有关规定，给乙方造成经济损失，甲方应予以相应赔偿。六、合同期限</w:t>
      </w:r>
    </w:p>
    <w:p>
      <w:pPr>
        <w:spacing w:line="660" w:lineRule="exact"/>
        <w:ind w:left="630"/>
        <w:rPr>
          <w:sz w:val="24"/>
          <w:szCs w:val="32"/>
        </w:rPr>
      </w:pPr>
      <w:r>
        <w:rPr>
          <w:rFonts w:hint="eastAsia"/>
          <w:sz w:val="24"/>
          <w:szCs w:val="32"/>
        </w:rPr>
        <w:t>甲乙双方协议期限为</w:t>
      </w:r>
      <w:r>
        <w:rPr>
          <w:rFonts w:hint="eastAsia"/>
          <w:sz w:val="24"/>
          <w:szCs w:val="32"/>
          <w:u w:val="single"/>
        </w:rPr>
        <w:t xml:space="preserve">    </w:t>
      </w:r>
      <w:r>
        <w:rPr>
          <w:rFonts w:hint="eastAsia"/>
          <w:sz w:val="24"/>
          <w:szCs w:val="32"/>
        </w:rPr>
        <w:t>年：    年    月   日至     年    月   日。</w:t>
      </w:r>
    </w:p>
    <w:p>
      <w:pPr>
        <w:spacing w:line="660" w:lineRule="exact"/>
        <w:ind w:firstLine="470" w:firstLineChars="196"/>
        <w:rPr>
          <w:sz w:val="24"/>
          <w:szCs w:val="32"/>
        </w:rPr>
      </w:pPr>
      <w:r>
        <w:rPr>
          <w:rFonts w:hint="eastAsia"/>
          <w:sz w:val="24"/>
          <w:szCs w:val="32"/>
        </w:rPr>
        <w:t>七、其他</w:t>
      </w:r>
    </w:p>
    <w:p>
      <w:pPr>
        <w:spacing w:line="660" w:lineRule="exact"/>
        <w:ind w:firstLine="470" w:firstLineChars="196"/>
        <w:rPr>
          <w:sz w:val="24"/>
          <w:szCs w:val="32"/>
        </w:rPr>
      </w:pPr>
      <w:r>
        <w:rPr>
          <w:rFonts w:hint="eastAsia"/>
          <w:sz w:val="24"/>
          <w:szCs w:val="32"/>
        </w:rPr>
        <w:t>1、遇到国家重大政策调整及不可抗力的因素致使无法履行时，双方可协调变更或解除合同。</w:t>
      </w:r>
    </w:p>
    <w:p>
      <w:pPr>
        <w:spacing w:line="660" w:lineRule="exact"/>
        <w:ind w:firstLine="470" w:firstLineChars="196"/>
        <w:rPr>
          <w:sz w:val="24"/>
          <w:szCs w:val="32"/>
        </w:rPr>
      </w:pPr>
      <w:r>
        <w:rPr>
          <w:rFonts w:hint="eastAsia"/>
          <w:sz w:val="24"/>
          <w:szCs w:val="32"/>
        </w:rPr>
        <w:t>2、甲、乙双方员工应保持相互尊重，尽量不发生摩擦，更不许出现打架等事件，如有发生，将追究责任。</w:t>
      </w:r>
    </w:p>
    <w:p>
      <w:pPr>
        <w:spacing w:line="660" w:lineRule="exact"/>
        <w:ind w:firstLine="470" w:firstLineChars="196"/>
        <w:rPr>
          <w:sz w:val="24"/>
          <w:szCs w:val="32"/>
        </w:rPr>
      </w:pPr>
      <w:r>
        <w:rPr>
          <w:rFonts w:hint="eastAsia"/>
          <w:sz w:val="24"/>
          <w:szCs w:val="32"/>
        </w:rPr>
        <w:t>3、节假日期间，乙方要按照甲方要求，提供就餐。</w:t>
      </w:r>
    </w:p>
    <w:p>
      <w:pPr>
        <w:spacing w:line="660" w:lineRule="exact"/>
        <w:ind w:firstLine="470" w:firstLineChars="196"/>
        <w:rPr>
          <w:sz w:val="24"/>
          <w:szCs w:val="32"/>
        </w:rPr>
      </w:pPr>
      <w:r>
        <w:rPr>
          <w:rFonts w:hint="eastAsia"/>
          <w:sz w:val="24"/>
          <w:szCs w:val="32"/>
        </w:rPr>
        <w:t>4、承包期期满时是否续约或终止合同，甲、乙双方均提前一个月通知对方。</w:t>
      </w:r>
    </w:p>
    <w:p>
      <w:pPr>
        <w:spacing w:line="660" w:lineRule="exact"/>
        <w:ind w:firstLine="470" w:firstLineChars="196"/>
        <w:rPr>
          <w:sz w:val="24"/>
          <w:szCs w:val="32"/>
        </w:rPr>
      </w:pPr>
      <w:r>
        <w:rPr>
          <w:rFonts w:hint="eastAsia"/>
          <w:sz w:val="24"/>
          <w:szCs w:val="32"/>
        </w:rPr>
        <w:t>5、本合同未尽事宜，将由双方代表协商解决。</w:t>
      </w:r>
    </w:p>
    <w:p>
      <w:pPr>
        <w:spacing w:line="660" w:lineRule="exact"/>
        <w:ind w:firstLine="480" w:firstLineChars="200"/>
        <w:rPr>
          <w:sz w:val="24"/>
          <w:szCs w:val="32"/>
        </w:rPr>
      </w:pPr>
      <w:r>
        <w:rPr>
          <w:rFonts w:hint="eastAsia"/>
          <w:sz w:val="24"/>
          <w:szCs w:val="32"/>
        </w:rPr>
        <w:t>6、考核：甲方对乙方所派厨师提供的饭菜质量、服务、卫生等情况实行百分制考核，由甲方每季度进行一次。如百分制考核结果低于八十分，甲方有权要求乙方及时更换厨师；如百分制考核结果连续两个月低于七十分，甲方有权与乙方终止合同。</w:t>
      </w:r>
    </w:p>
    <w:p>
      <w:pPr>
        <w:spacing w:line="660" w:lineRule="exact"/>
        <w:ind w:firstLine="480" w:firstLineChars="200"/>
        <w:rPr>
          <w:sz w:val="24"/>
          <w:szCs w:val="32"/>
        </w:rPr>
      </w:pPr>
      <w:r>
        <w:rPr>
          <w:rFonts w:hint="eastAsia"/>
          <w:sz w:val="24"/>
          <w:szCs w:val="32"/>
        </w:rPr>
        <w:t>八、争议解决方式</w:t>
      </w:r>
    </w:p>
    <w:p>
      <w:pPr>
        <w:spacing w:line="660" w:lineRule="exact"/>
        <w:ind w:firstLine="480" w:firstLineChars="200"/>
        <w:rPr>
          <w:sz w:val="24"/>
          <w:szCs w:val="32"/>
        </w:rPr>
      </w:pPr>
      <w:r>
        <w:rPr>
          <w:rFonts w:hint="eastAsia"/>
          <w:sz w:val="24"/>
          <w:szCs w:val="32"/>
        </w:rPr>
        <w:t>因执行该合同发生争议时，双方应协商解决，协商不成的，双方均可向甲方所在地人民法院诉讼解决。</w:t>
      </w:r>
    </w:p>
    <w:p>
      <w:pPr>
        <w:spacing w:line="660" w:lineRule="exact"/>
        <w:ind w:firstLine="470" w:firstLineChars="196"/>
        <w:rPr>
          <w:sz w:val="24"/>
          <w:szCs w:val="32"/>
        </w:rPr>
      </w:pPr>
      <w:r>
        <w:rPr>
          <w:rFonts w:hint="eastAsia"/>
          <w:sz w:val="24"/>
          <w:szCs w:val="32"/>
        </w:rPr>
        <w:t>九、该合同自双方签字盖章后生效。合同一式肆份，甲乙双方各执贰份，具有同等法律效力。</w:t>
      </w:r>
    </w:p>
    <w:p>
      <w:pPr>
        <w:spacing w:line="660" w:lineRule="exact"/>
        <w:ind w:firstLine="470" w:firstLineChars="196"/>
        <w:rPr>
          <w:sz w:val="24"/>
          <w:szCs w:val="32"/>
        </w:rPr>
      </w:pPr>
    </w:p>
    <w:p>
      <w:pPr>
        <w:spacing w:line="660" w:lineRule="exact"/>
        <w:rPr>
          <w:sz w:val="24"/>
          <w:szCs w:val="32"/>
        </w:rPr>
      </w:pPr>
      <w:r>
        <w:rPr>
          <w:rFonts w:hint="eastAsia"/>
          <w:sz w:val="24"/>
          <w:szCs w:val="32"/>
        </w:rPr>
        <w:t>甲方：                               乙方：</w:t>
      </w:r>
    </w:p>
    <w:p>
      <w:pPr>
        <w:spacing w:line="660" w:lineRule="exact"/>
        <w:ind w:left="630" w:leftChars="300" w:firstLine="720" w:firstLineChars="300"/>
        <w:rPr>
          <w:sz w:val="24"/>
          <w:szCs w:val="32"/>
        </w:rPr>
      </w:pPr>
    </w:p>
    <w:p>
      <w:pPr>
        <w:spacing w:line="660" w:lineRule="exact"/>
        <w:rPr>
          <w:sz w:val="24"/>
          <w:szCs w:val="32"/>
        </w:rPr>
      </w:pPr>
      <w:r>
        <w:rPr>
          <w:rFonts w:hint="eastAsia"/>
          <w:sz w:val="24"/>
          <w:szCs w:val="32"/>
        </w:rPr>
        <w:t>代表人签字：                         代表人签字：</w:t>
      </w:r>
    </w:p>
    <w:p>
      <w:pPr>
        <w:spacing w:line="660" w:lineRule="exact"/>
        <w:ind w:firstLine="630"/>
        <w:rPr>
          <w:sz w:val="24"/>
          <w:szCs w:val="32"/>
        </w:rPr>
      </w:pPr>
    </w:p>
    <w:p>
      <w:pPr>
        <w:spacing w:line="660" w:lineRule="exact"/>
        <w:rPr>
          <w:sz w:val="24"/>
          <w:szCs w:val="32"/>
        </w:rPr>
      </w:pPr>
      <w:r>
        <w:rPr>
          <w:rFonts w:hint="eastAsia"/>
          <w:sz w:val="24"/>
          <w:szCs w:val="32"/>
        </w:rPr>
        <w:t>电话：                               电话：</w:t>
      </w:r>
    </w:p>
    <w:p>
      <w:pPr>
        <w:spacing w:line="660" w:lineRule="exact"/>
        <w:ind w:firstLine="630"/>
        <w:rPr>
          <w:sz w:val="24"/>
          <w:szCs w:val="32"/>
        </w:rPr>
      </w:pPr>
    </w:p>
    <w:p>
      <w:pPr>
        <w:spacing w:line="660" w:lineRule="exact"/>
        <w:rPr>
          <w:sz w:val="24"/>
          <w:szCs w:val="32"/>
        </w:rPr>
      </w:pPr>
      <w:r>
        <w:rPr>
          <w:rFonts w:hint="eastAsia"/>
          <w:sz w:val="24"/>
          <w:szCs w:val="32"/>
        </w:rPr>
        <w:t>签订日期：   年   月  日             签订日期：   年  月  日</w:t>
      </w:r>
    </w:p>
    <w:p>
      <w:pPr>
        <w:spacing w:line="660" w:lineRule="exact"/>
        <w:rPr>
          <w:sz w:val="24"/>
          <w:szCs w:val="32"/>
        </w:rPr>
      </w:pPr>
      <w:r>
        <w:rPr>
          <w:rFonts w:hint="eastAsia"/>
          <w:sz w:val="24"/>
          <w:szCs w:val="32"/>
        </w:rPr>
        <w:t>注：合同内容及具体条款由甲乙双方根据该项目的特殊性协商约定。本合同条款不作为最终签订依据。</w:t>
      </w: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0"/>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2227"/>
        <w:gridCol w:w="4765"/>
        <w:gridCol w:w="1392"/>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22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47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22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47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bookmarkStart w:id="1" w:name="_GoBack"/>
      <w:bookmarkEnd w:id="1"/>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578" w:firstLineChars="19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3132" w:firstLineChars="13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B24397"/>
    <w:multiLevelType w:val="multilevel"/>
    <w:tmpl w:val="3CB24397"/>
    <w:lvl w:ilvl="0" w:tentative="0">
      <w:start w:val="1"/>
      <w:numFmt w:val="japaneseCounting"/>
      <w:lvlText w:val="%1、"/>
      <w:lvlJc w:val="left"/>
      <w:pPr>
        <w:tabs>
          <w:tab w:val="left" w:pos="1440"/>
        </w:tabs>
        <w:ind w:left="1440" w:hanging="720"/>
      </w:pPr>
      <w:rPr>
        <w:rFonts w:hint="default"/>
      </w:rPr>
    </w:lvl>
    <w:lvl w:ilvl="1" w:tentative="0">
      <w:start w:val="4"/>
      <w:numFmt w:val="japaneseCounting"/>
      <w:lvlText w:val="%2、"/>
      <w:lvlJc w:val="left"/>
      <w:pPr>
        <w:tabs>
          <w:tab w:val="left" w:pos="1770"/>
        </w:tabs>
        <w:ind w:left="1770" w:hanging="720"/>
      </w:pPr>
      <w:rPr>
        <w:rFonts w:hint="default"/>
      </w:r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96744EF"/>
    <w:multiLevelType w:val="singleLevel"/>
    <w:tmpl w:val="596744EF"/>
    <w:lvl w:ilvl="0" w:tentative="0">
      <w:start w:val="1"/>
      <w:numFmt w:val="decimal"/>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27AEF7"/>
    <w:multiLevelType w:val="singleLevel"/>
    <w:tmpl w:val="5A27AEF7"/>
    <w:lvl w:ilvl="0" w:tentative="0">
      <w:start w:val="2"/>
      <w:numFmt w:val="chineseCounting"/>
      <w:suff w:val="nothing"/>
      <w:lvlText w:val="（%1）"/>
      <w:lvlJc w:val="left"/>
    </w:lvl>
  </w:abstractNum>
  <w:abstractNum w:abstractNumId="8">
    <w:nsid w:val="5A30CB82"/>
    <w:multiLevelType w:val="singleLevel"/>
    <w:tmpl w:val="5A30CB82"/>
    <w:lvl w:ilvl="0" w:tentative="0">
      <w:start w:val="1"/>
      <w:numFmt w:val="chineseCounting"/>
      <w:suff w:val="space"/>
      <w:lvlText w:val="第%1部分"/>
      <w:lvlJc w:val="left"/>
    </w:lvl>
  </w:abstractNum>
  <w:abstractNum w:abstractNumId="9">
    <w:nsid w:val="7ED62EDD"/>
    <w:multiLevelType w:val="multilevel"/>
    <w:tmpl w:val="7ED62EDD"/>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4"/>
  </w:num>
  <w:num w:numId="2">
    <w:abstractNumId w:val="8"/>
  </w:num>
  <w:num w:numId="3">
    <w:abstractNumId w:val="7"/>
  </w:num>
  <w:num w:numId="4">
    <w:abstractNumId w:val="2"/>
  </w:num>
  <w:num w:numId="5">
    <w:abstractNumId w:val="1"/>
  </w:num>
  <w:num w:numId="6">
    <w:abstractNumId w:val="6"/>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57352"/>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1E66350"/>
    <w:rsid w:val="021D0962"/>
    <w:rsid w:val="028E66F9"/>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69725A"/>
    <w:rsid w:val="067E4800"/>
    <w:rsid w:val="06902805"/>
    <w:rsid w:val="06B75E86"/>
    <w:rsid w:val="071151B2"/>
    <w:rsid w:val="07206B5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C0149A2"/>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0FEB6BE7"/>
    <w:rsid w:val="10240870"/>
    <w:rsid w:val="105F0CCD"/>
    <w:rsid w:val="10A25988"/>
    <w:rsid w:val="11041811"/>
    <w:rsid w:val="11472FC4"/>
    <w:rsid w:val="11662A8F"/>
    <w:rsid w:val="1171773E"/>
    <w:rsid w:val="118A6920"/>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DD51E1"/>
    <w:rsid w:val="14E7756C"/>
    <w:rsid w:val="15555471"/>
    <w:rsid w:val="15D15729"/>
    <w:rsid w:val="162949D9"/>
    <w:rsid w:val="166F3B31"/>
    <w:rsid w:val="16BB3F9C"/>
    <w:rsid w:val="17093EDF"/>
    <w:rsid w:val="17411E12"/>
    <w:rsid w:val="175B5BC6"/>
    <w:rsid w:val="17D43D54"/>
    <w:rsid w:val="17E545EE"/>
    <w:rsid w:val="180F6DA6"/>
    <w:rsid w:val="181B481B"/>
    <w:rsid w:val="183733AB"/>
    <w:rsid w:val="183D0ACD"/>
    <w:rsid w:val="18553478"/>
    <w:rsid w:val="186A4EF9"/>
    <w:rsid w:val="18AD21CB"/>
    <w:rsid w:val="19491C75"/>
    <w:rsid w:val="19786E3B"/>
    <w:rsid w:val="19B45772"/>
    <w:rsid w:val="1A107C46"/>
    <w:rsid w:val="1A4540A3"/>
    <w:rsid w:val="1A717838"/>
    <w:rsid w:val="1A8E3CC9"/>
    <w:rsid w:val="1B1630FE"/>
    <w:rsid w:val="1BFB31C4"/>
    <w:rsid w:val="1C426BB2"/>
    <w:rsid w:val="1CAE5C61"/>
    <w:rsid w:val="1CC57EEC"/>
    <w:rsid w:val="1D1E07AB"/>
    <w:rsid w:val="1D285414"/>
    <w:rsid w:val="1D5D79CE"/>
    <w:rsid w:val="1D846EFB"/>
    <w:rsid w:val="1E1761B2"/>
    <w:rsid w:val="1E823FDD"/>
    <w:rsid w:val="1F8F7C87"/>
    <w:rsid w:val="1FA97651"/>
    <w:rsid w:val="1FD141B8"/>
    <w:rsid w:val="1FE67A99"/>
    <w:rsid w:val="200E5455"/>
    <w:rsid w:val="20852B17"/>
    <w:rsid w:val="208F4659"/>
    <w:rsid w:val="20C91244"/>
    <w:rsid w:val="20CB6D0B"/>
    <w:rsid w:val="20E71C78"/>
    <w:rsid w:val="21093329"/>
    <w:rsid w:val="212773A1"/>
    <w:rsid w:val="214A163F"/>
    <w:rsid w:val="21943796"/>
    <w:rsid w:val="21D44845"/>
    <w:rsid w:val="21F54CAB"/>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7E3622C"/>
    <w:rsid w:val="28742078"/>
    <w:rsid w:val="288E3F7A"/>
    <w:rsid w:val="288F49C5"/>
    <w:rsid w:val="28BF1B33"/>
    <w:rsid w:val="28BF2210"/>
    <w:rsid w:val="28CE556E"/>
    <w:rsid w:val="299315DB"/>
    <w:rsid w:val="29C152D2"/>
    <w:rsid w:val="2A292F06"/>
    <w:rsid w:val="2A29332E"/>
    <w:rsid w:val="2A666F4C"/>
    <w:rsid w:val="2A6671E5"/>
    <w:rsid w:val="2A8574C7"/>
    <w:rsid w:val="2AFF32DF"/>
    <w:rsid w:val="2B0B3F2F"/>
    <w:rsid w:val="2B5A4161"/>
    <w:rsid w:val="2B9F495B"/>
    <w:rsid w:val="2BB70DAF"/>
    <w:rsid w:val="2BBD2870"/>
    <w:rsid w:val="2BC21388"/>
    <w:rsid w:val="2BF938D1"/>
    <w:rsid w:val="2C01063D"/>
    <w:rsid w:val="2C824188"/>
    <w:rsid w:val="2C8C63A5"/>
    <w:rsid w:val="2CBB5585"/>
    <w:rsid w:val="2CF845CD"/>
    <w:rsid w:val="2D562101"/>
    <w:rsid w:val="2D873A70"/>
    <w:rsid w:val="2DB610BD"/>
    <w:rsid w:val="2DFB43CE"/>
    <w:rsid w:val="2E3D7FDF"/>
    <w:rsid w:val="2E5606EB"/>
    <w:rsid w:val="2E9D5FE0"/>
    <w:rsid w:val="2F232D02"/>
    <w:rsid w:val="2F2A34A3"/>
    <w:rsid w:val="2F38041E"/>
    <w:rsid w:val="2F433D86"/>
    <w:rsid w:val="2F953FE5"/>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297859"/>
    <w:rsid w:val="345D6725"/>
    <w:rsid w:val="34876DB2"/>
    <w:rsid w:val="34B022E5"/>
    <w:rsid w:val="34CE04B2"/>
    <w:rsid w:val="34F94C42"/>
    <w:rsid w:val="35020BCE"/>
    <w:rsid w:val="354E2015"/>
    <w:rsid w:val="35636C46"/>
    <w:rsid w:val="35736992"/>
    <w:rsid w:val="366D1F9C"/>
    <w:rsid w:val="37692631"/>
    <w:rsid w:val="37B10108"/>
    <w:rsid w:val="389F7F0D"/>
    <w:rsid w:val="38B66F17"/>
    <w:rsid w:val="38F36CC4"/>
    <w:rsid w:val="39264E83"/>
    <w:rsid w:val="397D15ED"/>
    <w:rsid w:val="39A31772"/>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EE16A2"/>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C967ADE"/>
    <w:rsid w:val="4DF453AF"/>
    <w:rsid w:val="4F071606"/>
    <w:rsid w:val="4F403B1D"/>
    <w:rsid w:val="4F6D257B"/>
    <w:rsid w:val="4F7F31B2"/>
    <w:rsid w:val="4F827ABA"/>
    <w:rsid w:val="4F87355B"/>
    <w:rsid w:val="4FA93F1C"/>
    <w:rsid w:val="4FCB730B"/>
    <w:rsid w:val="504A74E2"/>
    <w:rsid w:val="50D62ACD"/>
    <w:rsid w:val="510C3D06"/>
    <w:rsid w:val="518F4746"/>
    <w:rsid w:val="51937900"/>
    <w:rsid w:val="51ED5B69"/>
    <w:rsid w:val="536A53D4"/>
    <w:rsid w:val="53857B5E"/>
    <w:rsid w:val="54207CFD"/>
    <w:rsid w:val="54C67D23"/>
    <w:rsid w:val="55005AF5"/>
    <w:rsid w:val="551F63D6"/>
    <w:rsid w:val="55CC6A46"/>
    <w:rsid w:val="55DE4946"/>
    <w:rsid w:val="55EA1952"/>
    <w:rsid w:val="55FD0CFB"/>
    <w:rsid w:val="5608604D"/>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216479"/>
    <w:rsid w:val="633D6D93"/>
    <w:rsid w:val="634F7C15"/>
    <w:rsid w:val="63736A17"/>
    <w:rsid w:val="63937116"/>
    <w:rsid w:val="63C05B9E"/>
    <w:rsid w:val="642F4F3E"/>
    <w:rsid w:val="651A4BCA"/>
    <w:rsid w:val="659F5C58"/>
    <w:rsid w:val="65D24C12"/>
    <w:rsid w:val="65F1505D"/>
    <w:rsid w:val="660F7EE6"/>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392A2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731DE7"/>
    <w:rsid w:val="7ABE7E81"/>
    <w:rsid w:val="7AE73174"/>
    <w:rsid w:val="7B1234F7"/>
    <w:rsid w:val="7B5007DD"/>
    <w:rsid w:val="7BD60299"/>
    <w:rsid w:val="7BDD1DA1"/>
    <w:rsid w:val="7BE5680C"/>
    <w:rsid w:val="7C09693B"/>
    <w:rsid w:val="7C504BF4"/>
    <w:rsid w:val="7C6B7787"/>
    <w:rsid w:val="7C6F62EE"/>
    <w:rsid w:val="7C867A90"/>
    <w:rsid w:val="7C9F5AAF"/>
    <w:rsid w:val="7CAA6BBE"/>
    <w:rsid w:val="7CCC29A0"/>
    <w:rsid w:val="7CF42D7A"/>
    <w:rsid w:val="7D171AFF"/>
    <w:rsid w:val="7D4359D2"/>
    <w:rsid w:val="7D7F58A5"/>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无间隔1"/>
    <w:qFormat/>
    <w:uiPriority w:val="1"/>
    <w:rPr>
      <w:rFonts w:ascii="Calibri" w:hAnsi="Calibri" w:eastAsia="宋体" w:cs="Times New Roman"/>
      <w:sz w:val="22"/>
      <w:szCs w:val="22"/>
      <w:lang w:val="en-US" w:eastAsia="zh-CN" w:bidi="ar-SA"/>
    </w:rPr>
  </w:style>
  <w:style w:type="character" w:customStyle="1" w:styleId="130">
    <w:name w:val="font31"/>
    <w:basedOn w:val="30"/>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禹州市公共资源交易中心:付珊珊</cp:lastModifiedBy>
  <cp:lastPrinted>2018-04-09T03:45:55Z</cp:lastPrinted>
  <dcterms:modified xsi:type="dcterms:W3CDTF">2018-04-09T08:02:47Z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