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sz w:val="44"/>
          <w:szCs w:val="44"/>
        </w:rPr>
      </w:pPr>
      <w:r>
        <w:rPr>
          <w:rFonts w:hint="eastAsia" w:ascii="宋体" w:hAnsi="宋体" w:eastAsia="宋体" w:cs="宋体"/>
          <w:b/>
          <w:bCs/>
          <w:color w:val="auto"/>
          <w:sz w:val="44"/>
          <w:szCs w:val="44"/>
          <w:lang w:eastAsia="zh-CN"/>
        </w:rPr>
        <w:t>中共许昌市魏都区委组织部</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党建</w:t>
      </w:r>
      <w:r>
        <w:rPr>
          <w:rFonts w:hint="eastAsia" w:ascii="宋体" w:hAnsi="宋体" w:cs="宋体"/>
          <w:b/>
          <w:bCs/>
          <w:color w:val="auto"/>
          <w:sz w:val="44"/>
          <w:szCs w:val="44"/>
          <w:lang w:eastAsia="zh-CN"/>
        </w:rPr>
        <w:t>‘</w:t>
      </w:r>
      <w:r>
        <w:rPr>
          <w:rFonts w:hint="eastAsia" w:ascii="宋体" w:hAnsi="宋体" w:eastAsia="宋体" w:cs="宋体"/>
          <w:b/>
          <w:bCs/>
          <w:color w:val="auto"/>
          <w:sz w:val="44"/>
          <w:szCs w:val="44"/>
          <w:lang w:val="en-US" w:eastAsia="zh-CN"/>
        </w:rPr>
        <w:t>1369</w:t>
      </w:r>
      <w:r>
        <w:rPr>
          <w:rFonts w:hint="eastAsia" w:ascii="宋体" w:hAnsi="宋体" w:cs="宋体"/>
          <w:b/>
          <w:bCs/>
          <w:color w:val="auto"/>
          <w:sz w:val="44"/>
          <w:szCs w:val="44"/>
          <w:lang w:val="en-US" w:eastAsia="zh-CN"/>
        </w:rPr>
        <w:t>’</w:t>
      </w:r>
      <w:r>
        <w:rPr>
          <w:rFonts w:hint="eastAsia" w:ascii="宋体" w:hAnsi="宋体" w:eastAsia="宋体" w:cs="宋体"/>
          <w:b/>
          <w:bCs/>
          <w:color w:val="auto"/>
          <w:sz w:val="44"/>
          <w:szCs w:val="44"/>
          <w:lang w:eastAsia="zh-CN"/>
        </w:rPr>
        <w:t>工程</w:t>
      </w:r>
      <w:r>
        <w:rPr>
          <w:rFonts w:hint="eastAsia" w:ascii="宋体" w:hAnsi="宋体" w:cs="宋体"/>
          <w:b/>
          <w:bCs/>
          <w:color w:val="auto"/>
          <w:sz w:val="44"/>
          <w:szCs w:val="44"/>
          <w:lang w:eastAsia="zh-CN"/>
        </w:rPr>
        <w:t>‘</w:t>
      </w:r>
      <w:r>
        <w:rPr>
          <w:rFonts w:hint="eastAsia" w:ascii="宋体" w:hAnsi="宋体" w:eastAsia="宋体" w:cs="宋体"/>
          <w:b/>
          <w:bCs/>
          <w:color w:val="auto"/>
          <w:sz w:val="44"/>
          <w:szCs w:val="44"/>
          <w:lang w:eastAsia="zh-CN"/>
        </w:rPr>
        <w:t>一机一屏</w:t>
      </w:r>
      <w:r>
        <w:rPr>
          <w:rFonts w:hint="eastAsia" w:ascii="宋体" w:hAnsi="宋体" w:cs="宋体"/>
          <w:b/>
          <w:bCs/>
          <w:color w:val="auto"/>
          <w:sz w:val="44"/>
          <w:szCs w:val="44"/>
          <w:lang w:eastAsia="zh-CN"/>
        </w:rPr>
        <w:t>’</w:t>
      </w:r>
      <w:r>
        <w:rPr>
          <w:rFonts w:hint="eastAsia" w:ascii="宋体" w:hAnsi="宋体" w:eastAsia="宋体" w:cs="宋体"/>
          <w:b/>
          <w:bCs/>
          <w:color w:val="auto"/>
          <w:sz w:val="44"/>
          <w:szCs w:val="44"/>
          <w:lang w:eastAsia="zh-CN"/>
        </w:rPr>
        <w:t>采购</w:t>
      </w:r>
      <w:r>
        <w:rPr>
          <w:rFonts w:hint="eastAsia" w:ascii="宋体" w:hAnsi="宋体" w:eastAsia="宋体" w:cs="宋体"/>
          <w:b/>
          <w:bCs/>
          <w:color w:val="auto"/>
          <w:sz w:val="44"/>
          <w:szCs w:val="44"/>
        </w:rPr>
        <w:t>”</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8001</w:t>
      </w:r>
      <w:r>
        <w:rPr>
          <w:rFonts w:hint="eastAsia" w:ascii="宋体" w:hAnsi="宋体" w:eastAsia="宋体" w:cs="宋体"/>
          <w:b/>
          <w:bCs/>
          <w:color w:val="auto"/>
          <w:sz w:val="36"/>
          <w:szCs w:val="36"/>
          <w:lang w:val="zh-CN"/>
        </w:rPr>
        <w:t>号</w:t>
      </w:r>
    </w:p>
    <w:p>
      <w:pPr>
        <w:rPr>
          <w:rFonts w:hint="eastAsia" w:ascii="宋体" w:hAnsi="宋体" w:eastAsia="宋体" w:cs="宋体"/>
          <w:b/>
          <w:bCs/>
          <w:color w:val="auto"/>
          <w:sz w:val="36"/>
          <w:szCs w:val="36"/>
          <w:lang w:val="zh-CN" w:eastAsia="zh-CN"/>
        </w:rPr>
      </w:pP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魏采公开-2017-</w:t>
      </w:r>
      <w:r>
        <w:rPr>
          <w:rFonts w:hint="eastAsia" w:ascii="宋体" w:hAnsi="宋体" w:eastAsia="宋体" w:cs="宋体"/>
          <w:b/>
          <w:bCs/>
          <w:color w:val="auto"/>
          <w:sz w:val="36"/>
          <w:szCs w:val="36"/>
          <w:lang w:val="en-US" w:eastAsia="zh-CN"/>
        </w:rPr>
        <w:t>19</w:t>
      </w:r>
      <w:r>
        <w:rPr>
          <w:rFonts w:hint="eastAsia" w:ascii="宋体" w:hAnsi="宋体" w:eastAsia="宋体" w:cs="宋体"/>
          <w:b/>
          <w:bCs/>
          <w:color w:val="auto"/>
          <w:sz w:val="36"/>
          <w:szCs w:val="36"/>
          <w:lang w:val="zh-CN" w:eastAsia="zh-CN"/>
        </w:rPr>
        <w:t>号</w:t>
      </w:r>
    </w:p>
    <w:p>
      <w:pPr>
        <w:rPr>
          <w:rFonts w:ascii="宋体" w:hAnsi="宋体" w:eastAsia="宋体" w:cs="宋体"/>
          <w:b/>
          <w:bCs/>
          <w:color w:val="auto"/>
          <w:sz w:val="36"/>
          <w:szCs w:val="36"/>
        </w:rPr>
      </w:pP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018</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cs="宋体"/>
          <w:b/>
          <w:bCs/>
          <w:color w:val="auto"/>
          <w:sz w:val="36"/>
          <w:szCs w:val="36"/>
          <w:lang w:eastAsia="zh-CN"/>
        </w:rPr>
        <w:t>中共许昌市魏都区委组织部</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hint="eastAsia" w:ascii="宋体" w:hAnsi="宋体" w:cs="宋体"/>
          <w:b/>
          <w:bCs/>
          <w:color w:val="auto"/>
          <w:sz w:val="36"/>
          <w:szCs w:val="36"/>
          <w:lang w:eastAsia="zh-CN"/>
        </w:rPr>
      </w:pPr>
      <w:r>
        <w:rPr>
          <w:rFonts w:hint="eastAsia" w:ascii="宋体" w:hAnsi="宋体" w:eastAsia="宋体" w:cs="宋体"/>
          <w:b/>
          <w:bCs/>
          <w:color w:val="auto"/>
          <w:sz w:val="36"/>
          <w:szCs w:val="36"/>
        </w:rPr>
        <w:t>二〇一八年</w:t>
      </w:r>
      <w:r>
        <w:rPr>
          <w:rFonts w:hint="eastAsia" w:ascii="宋体" w:hAnsi="宋体" w:cs="宋体"/>
          <w:b/>
          <w:bCs/>
          <w:color w:val="auto"/>
          <w:sz w:val="36"/>
          <w:szCs w:val="36"/>
          <w:lang w:eastAsia="zh-CN"/>
        </w:rPr>
        <w:t>四月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6"/>
          <w:szCs w:val="36"/>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51"/>
        <w:widowControl/>
        <w:shd w:val="clear" w:color="auto" w:fill="FFFFFF"/>
        <w:wordWrap/>
        <w:adjustRightInd/>
        <w:snapToGrid/>
        <w:spacing w:before="0" w:after="0" w:line="360" w:lineRule="auto"/>
        <w:ind w:left="0" w:leftChars="0" w:right="0" w:firstLine="640" w:firstLineChars="200"/>
        <w:contextualSpacing/>
        <w:jc w:val="left"/>
        <w:textAlignment w:val="auto"/>
        <w:outlineLvl w:val="9"/>
        <w:rPr>
          <w:rFonts w:ascii="宋体" w:hAnsi="宋体" w:eastAsia="宋体" w:cs="黑体"/>
          <w:b/>
          <w:bCs/>
          <w:color w:val="auto"/>
        </w:rPr>
      </w:pPr>
      <w:r>
        <w:rPr>
          <w:rFonts w:hint="eastAsia" w:ascii="宋体" w:hAnsi="宋体" w:eastAsia="宋体" w:cs="黑体"/>
          <w:b/>
          <w:bCs/>
          <w:color w:val="auto"/>
          <w:shd w:val="clear" w:color="auto" w:fill="FFFFFF"/>
        </w:rPr>
        <w:t>一、项目基本情况</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（一）项目名称：</w:t>
      </w:r>
      <w:r>
        <w:rPr>
          <w:rFonts w:hint="eastAsia" w:ascii="宋体" w:hAnsi="宋体" w:cs="仿宋_GB2312"/>
          <w:color w:val="auto"/>
          <w:shd w:val="clear" w:color="auto" w:fill="FFFFFF"/>
          <w:lang w:eastAsia="zh-CN"/>
        </w:rPr>
        <w:t>党建“</w:t>
      </w:r>
      <w:r>
        <w:rPr>
          <w:rFonts w:hint="eastAsia" w:ascii="宋体" w:hAnsi="宋体" w:cs="仿宋_GB2312"/>
          <w:color w:val="auto"/>
          <w:shd w:val="clear" w:color="auto" w:fill="FFFFFF"/>
          <w:lang w:val="en-US" w:eastAsia="zh-CN"/>
        </w:rPr>
        <w:t>1369</w:t>
      </w:r>
      <w:r>
        <w:rPr>
          <w:rFonts w:hint="eastAsia" w:ascii="宋体" w:hAnsi="宋体" w:cs="仿宋_GB2312"/>
          <w:color w:val="auto"/>
          <w:shd w:val="clear" w:color="auto" w:fill="FFFFFF"/>
          <w:lang w:eastAsia="zh-CN"/>
        </w:rPr>
        <w:t>”工程“一机一屏”采购</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rPr>
      </w:pPr>
      <w:r>
        <w:rPr>
          <w:rFonts w:hint="eastAsia" w:ascii="宋体" w:hAnsi="宋体" w:eastAsia="宋体" w:cs="仿宋_GB2312"/>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8001</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eastAsia="zh-CN"/>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魏都区政府采购办</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魏采公开-2017-</w:t>
      </w:r>
      <w:r>
        <w:rPr>
          <w:rFonts w:hint="eastAsia" w:ascii="宋体" w:hAnsi="宋体" w:cs="仿宋_GB2312"/>
          <w:color w:val="auto"/>
          <w:shd w:val="clear" w:color="auto" w:fill="FFFFFF"/>
          <w:lang w:val="en-US" w:eastAsia="zh-CN"/>
        </w:rPr>
        <w:t>19</w:t>
      </w:r>
      <w:r>
        <w:rPr>
          <w:rFonts w:hint="eastAsia" w:ascii="宋体" w:hAnsi="宋体" w:eastAsia="宋体" w:cs="仿宋_GB2312"/>
          <w:color w:val="auto"/>
          <w:shd w:val="clear" w:color="auto" w:fill="FFFFFF"/>
          <w:lang w:val="zh-CN" w:eastAsia="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8018</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（三）采购方式：</w:t>
      </w:r>
      <w:r>
        <w:rPr>
          <w:rFonts w:hint="eastAsia" w:ascii="宋体" w:hAnsi="宋体" w:cs="仿宋_GB2312"/>
          <w:color w:val="auto"/>
          <w:shd w:val="clear" w:color="auto" w:fill="FFFFFF"/>
          <w:lang w:eastAsia="zh-CN"/>
        </w:rPr>
        <w:t>公开招标</w:t>
      </w:r>
      <w:r>
        <w:rPr>
          <w:rFonts w:hint="eastAsia" w:ascii="宋体" w:hAnsi="宋体" w:eastAsia="宋体" w:cs="仿宋_GB2312"/>
          <w:color w:val="auto"/>
          <w:shd w:val="clear" w:color="auto" w:fill="FFFFFF"/>
        </w:rPr>
        <w:t xml:space="preserve">                                                                                                                        </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r>
        <w:rPr>
          <w:rFonts w:hint="eastAsia" w:ascii="宋体" w:hAnsi="宋体" w:cs="仿宋_GB2312"/>
          <w:color w:val="auto"/>
          <w:shd w:val="clear" w:color="auto" w:fill="FFFFFF"/>
          <w:lang w:val="en-US" w:eastAsia="zh-CN"/>
        </w:rPr>
        <w:t>4*3拼接屏6套、</w:t>
      </w:r>
      <w:r>
        <w:rPr>
          <w:rFonts w:hint="eastAsia" w:ascii="宋体" w:hAnsi="宋体" w:cs="宋体"/>
          <w:color w:val="auto"/>
        </w:rPr>
        <w:t>3*3拼接屏</w:t>
      </w:r>
      <w:r>
        <w:rPr>
          <w:rFonts w:hint="eastAsia" w:ascii="宋体" w:hAnsi="宋体" w:cs="宋体"/>
          <w:color w:val="auto"/>
          <w:lang w:val="en-US" w:eastAsia="zh-CN"/>
        </w:rPr>
        <w:t>7套、台式电脑40台、笔记本电脑20台等</w:t>
      </w:r>
      <w:r>
        <w:rPr>
          <w:rFonts w:hint="eastAsia" w:ascii="宋体" w:hAnsi="宋体" w:eastAsia="宋体" w:cs="仿宋_GB2312"/>
          <w:color w:val="auto"/>
          <w:shd w:val="clear" w:color="auto" w:fill="FFFFFF"/>
        </w:rPr>
        <w:t>。</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w:t>
      </w:r>
      <w:r>
        <w:rPr>
          <w:rFonts w:hint="eastAsia" w:ascii="宋体" w:hAnsi="宋体" w:eastAsia="宋体" w:cs="仿宋_GB2312"/>
          <w:color w:val="auto"/>
          <w:shd w:val="clear" w:color="auto" w:fill="FFFFFF"/>
          <w:lang w:val="en-US" w:eastAsia="zh-CN"/>
        </w:rPr>
        <w:t>291.2</w:t>
      </w:r>
      <w:r>
        <w:rPr>
          <w:rFonts w:hint="eastAsia" w:ascii="宋体" w:hAnsi="宋体" w:cs="仿宋_GB2312"/>
          <w:color w:val="auto"/>
          <w:shd w:val="clear" w:color="auto" w:fill="FFFFFF"/>
          <w:lang w:val="en-US" w:eastAsia="zh-CN"/>
        </w:rPr>
        <w:t>万</w:t>
      </w:r>
      <w:r>
        <w:rPr>
          <w:rFonts w:hint="eastAsia" w:ascii="宋体" w:hAnsi="宋体" w:eastAsia="宋体" w:cs="仿宋_GB2312"/>
          <w:color w:val="auto"/>
          <w:shd w:val="clear" w:color="auto" w:fill="FFFFFF"/>
        </w:rPr>
        <w:t>元。最高限价：</w:t>
      </w:r>
      <w:r>
        <w:rPr>
          <w:rFonts w:hint="eastAsia" w:ascii="宋体" w:hAnsi="宋体" w:eastAsia="宋体" w:cs="仿宋_GB2312"/>
          <w:color w:val="auto"/>
          <w:shd w:val="clear" w:color="auto" w:fill="FFFFFF"/>
          <w:lang w:val="en-US" w:eastAsia="zh-CN"/>
        </w:rPr>
        <w:t>291.2</w:t>
      </w:r>
      <w:r>
        <w:rPr>
          <w:rFonts w:hint="eastAsia" w:ascii="宋体" w:hAnsi="宋体" w:cs="仿宋_GB2312"/>
          <w:color w:val="auto"/>
          <w:shd w:val="clear" w:color="auto" w:fill="FFFFFF"/>
          <w:lang w:val="en-US" w:eastAsia="zh-CN"/>
        </w:rPr>
        <w:t>万</w:t>
      </w:r>
      <w:r>
        <w:rPr>
          <w:rFonts w:hint="eastAsia" w:ascii="宋体" w:hAnsi="宋体" w:eastAsia="宋体" w:cs="仿宋_GB2312"/>
          <w:color w:val="auto"/>
          <w:shd w:val="clear" w:color="auto" w:fill="FFFFFF"/>
        </w:rPr>
        <w:t>元。</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 ：</w:t>
      </w:r>
      <w:r>
        <w:rPr>
          <w:rFonts w:hint="eastAsia" w:ascii="宋体" w:hAnsi="宋体" w:cs="仿宋_GB2312"/>
          <w:color w:val="auto"/>
          <w:shd w:val="clear" w:color="auto" w:fill="FFFFFF"/>
          <w:lang w:eastAsia="zh-CN"/>
        </w:rPr>
        <w:t>自合同签订之日起</w:t>
      </w:r>
      <w:r>
        <w:rPr>
          <w:rFonts w:hint="eastAsia" w:ascii="宋体" w:hAnsi="宋体" w:cs="仿宋_GB2312"/>
          <w:color w:val="auto"/>
          <w:shd w:val="clear" w:color="auto" w:fill="FFFFFF"/>
          <w:lang w:val="en-US" w:eastAsia="zh-CN"/>
        </w:rPr>
        <w:t>7个工作日内。</w:t>
      </w:r>
    </w:p>
    <w:p>
      <w:pPr>
        <w:pStyle w:val="5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ascii="宋体" w:hAnsi="宋体" w:eastAsia="宋体" w:cs="仿宋_GB2312"/>
          <w:color w:val="auto"/>
          <w:shd w:val="clear" w:color="auto" w:fill="FFFFFF"/>
        </w:rPr>
        <w:t>（七）交付（服务、完工）地点：</w:t>
      </w:r>
      <w:r>
        <w:rPr>
          <w:rFonts w:hint="eastAsia" w:ascii="宋体" w:hAnsi="宋体" w:cs="仿宋_GB2312"/>
          <w:color w:val="auto"/>
          <w:shd w:val="clear" w:color="auto" w:fill="FFFFFF"/>
          <w:lang w:eastAsia="zh-CN"/>
        </w:rPr>
        <w:t>送至魏都区十三个社区便民服务站（含安装）。</w:t>
      </w:r>
    </w:p>
    <w:p>
      <w:pPr>
        <w:pStyle w:val="51"/>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51"/>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51"/>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w:t>
      </w:r>
    </w:p>
    <w:p>
      <w:pPr>
        <w:pStyle w:val="51"/>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（二）开标地点：许昌市公共资源交易中心（龙兴路与竹林路交汇处公共资源大厦）三楼开标</w:t>
      </w:r>
      <w:r>
        <w:rPr>
          <w:rFonts w:hint="eastAsia" w:cs="仿宋_GB2312" w:asciiTheme="minorEastAsia" w:hAnsiTheme="minorEastAsia" w:eastAsiaTheme="minorEastAsia"/>
          <w:color w:val="auto"/>
          <w:lang w:eastAsia="zh-CN"/>
        </w:rPr>
        <w:t>三</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1、加密电子投标文件（.file格式）须在投标截止时间（开标时间）前通过《全国公共资源交易平台(河南省</w:t>
      </w:r>
      <w:r>
        <w:rPr>
          <w:rFonts w:hint="eastAsia" w:cs="仿宋_GB2312" w:asciiTheme="minorEastAsia" w:hAnsiTheme="minorEastAsia" w:eastAsiaTheme="minorEastAsia"/>
          <w:color w:val="auto"/>
          <w:lang w:val="en-US" w:eastAsia="zh-CN"/>
        </w:rPr>
        <w:t>·</w:t>
      </w:r>
      <w:r>
        <w:rPr>
          <w:rFonts w:hint="eastAsia" w:cs="仿宋_GB2312" w:asciiTheme="minorEastAsia" w:hAnsiTheme="minorEastAsia" w:eastAsiaTheme="minorEastAsia"/>
          <w:color w:val="auto"/>
        </w:rPr>
        <w:t>许昌市)》公共资源交易系统成功上传。</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六、本次招标公告同时在《河南省政府采购网》、《许昌市政府采购网》、</w:t>
      </w:r>
      <w:r>
        <w:rPr>
          <w:rFonts w:hint="eastAsia" w:cs="黑体" w:asciiTheme="minorEastAsia" w:hAnsiTheme="minorEastAsia" w:eastAsiaTheme="minorEastAsia"/>
          <w:b/>
          <w:bCs/>
          <w:color w:val="auto"/>
          <w:shd w:val="clear" w:color="auto" w:fill="FFFFFF"/>
          <w:lang w:eastAsia="zh-CN"/>
        </w:rPr>
        <w:t>《魏都区人民政府官方网站》、</w:t>
      </w:r>
      <w:r>
        <w:rPr>
          <w:rFonts w:hint="eastAsia" w:cs="黑体" w:asciiTheme="minorEastAsia" w:hAnsiTheme="minorEastAsia" w:eastAsiaTheme="minorEastAsia"/>
          <w:b/>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中共许昌市魏都区委组织部</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eastAsia="宋体" w:cs="仿宋_GB2312"/>
          <w:color w:val="auto"/>
          <w:lang w:val="zh-CN" w:eastAsia="zh-CN"/>
        </w:rPr>
        <w:t>许昌市天宝路魏都区政府办公楼</w:t>
      </w:r>
      <w:r>
        <w:rPr>
          <w:rFonts w:hint="eastAsia" w:ascii="宋体" w:hAnsi="宋体" w:cs="仿宋_GB2312"/>
          <w:color w:val="auto"/>
          <w:lang w:val="en-US" w:eastAsia="zh-CN"/>
        </w:rPr>
        <w:t>1141</w:t>
      </w:r>
      <w:r>
        <w:rPr>
          <w:rFonts w:hint="eastAsia" w:ascii="宋体" w:hAnsi="宋体" w:eastAsia="宋体" w:cs="仿宋_GB2312"/>
          <w:color w:val="auto"/>
          <w:lang w:val="zh-CN" w:eastAsia="zh-CN"/>
        </w:rPr>
        <w:t>室</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刘庆军</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0374-2625883</w:t>
      </w:r>
    </w:p>
    <w:p>
      <w:pPr>
        <w:pStyle w:val="51"/>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widowControl/>
        <w:shd w:val="clear" w:color="auto" w:fill="FFFFFF"/>
        <w:spacing w:line="360" w:lineRule="auto"/>
        <w:ind w:firstLine="420"/>
        <w:contextualSpacing/>
        <w:jc w:val="left"/>
        <w:rPr>
          <w:rFonts w:ascii="宋体" w:hAnsi="宋体" w:cs="仿宋_GB2312"/>
          <w:color w:val="auto"/>
          <w:sz w:val="24"/>
          <w:szCs w:val="24"/>
          <w:shd w:val="clear" w:color="auto" w:fill="FFFFFF"/>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widowControl w:val="0"/>
        <w:wordWrap w:val="0"/>
        <w:autoSpaceDE w:val="0"/>
        <w:autoSpaceDN w:val="0"/>
        <w:adjustRightInd w:val="0"/>
        <w:snapToGrid/>
        <w:spacing w:before="0" w:after="0" w:line="360" w:lineRule="auto"/>
        <w:ind w:left="0" w:leftChars="0" w:right="0" w:firstLine="0" w:firstLineChars="0"/>
        <w:jc w:val="right"/>
        <w:textAlignment w:val="auto"/>
        <w:outlineLvl w:val="9"/>
        <w:rPr>
          <w:rFonts w:hint="eastAsia" w:ascii="宋体" w:hAnsi="宋体" w:eastAsia="宋体" w:cs="仿宋_GB2312"/>
          <w:color w:val="auto"/>
          <w:kern w:val="2"/>
          <w:sz w:val="24"/>
          <w:szCs w:val="24"/>
          <w:lang w:val="zh-CN" w:eastAsia="zh-CN" w:bidi="ar-SA"/>
        </w:rPr>
      </w:pPr>
    </w:p>
    <w:p>
      <w:pPr>
        <w:widowControl w:val="0"/>
        <w:wordWrap/>
        <w:autoSpaceDE w:val="0"/>
        <w:autoSpaceDN w:val="0"/>
        <w:adjustRightInd w:val="0"/>
        <w:snapToGrid/>
        <w:spacing w:before="0" w:after="0" w:line="360" w:lineRule="auto"/>
        <w:ind w:left="0" w:leftChars="0" w:right="0" w:firstLine="0" w:firstLineChars="0"/>
        <w:jc w:val="right"/>
        <w:textAlignment w:val="auto"/>
        <w:outlineLvl w:val="9"/>
        <w:rPr>
          <w:rFonts w:hint="eastAsia" w:ascii="宋体" w:hAnsi="宋体" w:eastAsia="宋体" w:cs="仿宋_GB2312"/>
          <w:color w:val="auto"/>
          <w:kern w:val="2"/>
          <w:sz w:val="24"/>
          <w:szCs w:val="24"/>
          <w:lang w:val="zh-CN" w:eastAsia="zh-CN" w:bidi="ar-SA"/>
        </w:rPr>
      </w:pPr>
    </w:p>
    <w:p>
      <w:pPr>
        <w:widowControl w:val="0"/>
        <w:wordWrap w:val="0"/>
        <w:autoSpaceDE w:val="0"/>
        <w:autoSpaceDN w:val="0"/>
        <w:adjustRightInd w:val="0"/>
        <w:snapToGrid/>
        <w:spacing w:before="0" w:after="0" w:line="360" w:lineRule="auto"/>
        <w:ind w:left="0" w:leftChars="0" w:right="0" w:firstLine="0" w:firstLineChars="0"/>
        <w:jc w:val="right"/>
        <w:textAlignment w:val="auto"/>
        <w:outlineLvl w:val="9"/>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 xml:space="preserve">中共许昌市魏都区委组织部 </w:t>
      </w:r>
      <w:r>
        <w:rPr>
          <w:rFonts w:hint="eastAsia" w:ascii="宋体" w:hAnsi="宋体" w:eastAsia="宋体" w:cs="仿宋_GB2312"/>
          <w:color w:val="auto"/>
          <w:kern w:val="2"/>
          <w:sz w:val="24"/>
          <w:szCs w:val="24"/>
          <w:lang w:val="en-US" w:eastAsia="zh-CN" w:bidi="ar-SA"/>
        </w:rPr>
        <w:t xml:space="preserve">   </w:t>
      </w:r>
    </w:p>
    <w:p>
      <w:pPr>
        <w:wordWrap w:val="0"/>
        <w:spacing w:line="360" w:lineRule="auto"/>
        <w:jc w:val="right"/>
        <w:rPr>
          <w:rFonts w:hAnsi="宋体"/>
          <w:b/>
          <w:color w:val="auto"/>
          <w:sz w:val="28"/>
          <w:szCs w:val="28"/>
        </w:rPr>
      </w:pPr>
      <w:r>
        <w:rPr>
          <w:rFonts w:hint="eastAsia" w:ascii="宋体" w:hAnsi="宋体" w:eastAsia="宋体" w:cs="仿宋_GB2312"/>
          <w:color w:val="auto"/>
          <w:kern w:val="2"/>
          <w:sz w:val="24"/>
          <w:szCs w:val="24"/>
          <w:lang w:val="zh-CN" w:eastAsia="zh-CN" w:bidi="ar-SA"/>
        </w:rPr>
        <w:t xml:space="preserve"> 二〇一八年四月八</w:t>
      </w:r>
      <w:bookmarkStart w:id="9" w:name="_GoBack"/>
      <w:bookmarkEnd w:id="9"/>
      <w:r>
        <w:rPr>
          <w:rFonts w:hint="eastAsia" w:ascii="宋体" w:hAnsi="宋体" w:eastAsia="宋体" w:cs="仿宋_GB2312"/>
          <w:color w:val="auto"/>
          <w:kern w:val="2"/>
          <w:sz w:val="24"/>
          <w:szCs w:val="24"/>
          <w:lang w:val="zh-CN" w:eastAsia="zh-CN" w:bidi="ar-SA"/>
        </w:rPr>
        <w:t>日</w:t>
      </w:r>
      <w:r>
        <w:rPr>
          <w:rFonts w:hint="eastAsia" w:ascii="宋体" w:hAnsi="宋体" w:eastAsia="宋体" w:cs="仿宋_GB2312"/>
          <w:color w:val="auto"/>
          <w:kern w:val="2"/>
          <w:sz w:val="24"/>
          <w:szCs w:val="24"/>
          <w:lang w:val="en-US" w:eastAsia="zh-CN" w:bidi="ar-SA"/>
        </w:rPr>
        <w:t xml:space="preserve">   </w:t>
      </w:r>
      <w:r>
        <w:rPr>
          <w:rFonts w:hint="eastAsia" w:ascii="宋体" w:hAnsi="宋体" w:cs="仿宋_GB2312"/>
          <w:color w:val="auto"/>
          <w:sz w:val="24"/>
          <w:szCs w:val="24"/>
          <w:lang w:val="en-US" w:eastAsia="zh-CN"/>
        </w:rPr>
        <w:t xml:space="preserve">   </w:t>
      </w: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0"/>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根据全市党建观摩会议要求，今年我区打造完成20个全域社区。结合实际，决定为13个示范社区配备“一机一屏”及配备计算机。</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确保各社区具有一个统一的工作系统和一个资源丰富的工作平台，努力提升社区服务群众的意识、能力和水平，为建设“五个魏都”奠定坚实基础。</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tbl>
      <w:tblPr>
        <w:tblStyle w:val="24"/>
        <w:tblW w:w="8874" w:type="dxa"/>
        <w:tblInd w:w="0" w:type="dxa"/>
        <w:tblLayout w:type="fixed"/>
        <w:tblCellMar>
          <w:top w:w="15" w:type="dxa"/>
          <w:left w:w="15" w:type="dxa"/>
          <w:bottom w:w="15" w:type="dxa"/>
          <w:right w:w="15" w:type="dxa"/>
        </w:tblCellMar>
      </w:tblPr>
      <w:tblGrid>
        <w:gridCol w:w="330"/>
        <w:gridCol w:w="760"/>
        <w:gridCol w:w="6372"/>
        <w:gridCol w:w="354"/>
        <w:gridCol w:w="429"/>
        <w:gridCol w:w="629"/>
      </w:tblGrid>
      <w:tr>
        <w:tblPrEx>
          <w:tblLayout w:type="fixed"/>
          <w:tblCellMar>
            <w:top w:w="15" w:type="dxa"/>
            <w:left w:w="15" w:type="dxa"/>
            <w:bottom w:w="15" w:type="dxa"/>
            <w:right w:w="15" w:type="dxa"/>
          </w:tblCellMar>
        </w:tblPrEx>
        <w:trPr>
          <w:trHeight w:val="532" w:hRule="atLeast"/>
        </w:trPr>
        <w:tc>
          <w:tcPr>
            <w:tcW w:w="330"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序号</w:t>
            </w:r>
          </w:p>
        </w:tc>
        <w:tc>
          <w:tcPr>
            <w:tcW w:w="760"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货物名称</w:t>
            </w:r>
          </w:p>
        </w:tc>
        <w:tc>
          <w:tcPr>
            <w:tcW w:w="6372"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技术规格及主要参数</w:t>
            </w:r>
          </w:p>
        </w:tc>
        <w:tc>
          <w:tcPr>
            <w:tcW w:w="354"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单位</w:t>
            </w:r>
          </w:p>
        </w:tc>
        <w:tc>
          <w:tcPr>
            <w:tcW w:w="42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数量</w:t>
            </w:r>
          </w:p>
        </w:tc>
        <w:tc>
          <w:tcPr>
            <w:tcW w:w="62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top"/>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是否核心产品</w:t>
            </w:r>
          </w:p>
        </w:tc>
      </w:tr>
      <w:tr>
        <w:tblPrEx>
          <w:tblLayout w:type="fixed"/>
          <w:tblCellMar>
            <w:top w:w="15" w:type="dxa"/>
            <w:left w:w="15" w:type="dxa"/>
            <w:bottom w:w="15" w:type="dxa"/>
            <w:right w:w="15" w:type="dxa"/>
          </w:tblCellMar>
        </w:tblPrEx>
        <w:trPr>
          <w:trHeight w:val="56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台式电脑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CPU:≥Intel四核i5-7500,主频≥3.4GHZ，缓存≥6M</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主板：IntelB250系列芯片组</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内存：≥4GB (DDR4 )</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硬盘：≥ 1T 7200 RPM 3.5" SATA</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声卡：集成或独立5.1声道声卡，提供后置3个立体声接口</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显卡：集成显卡</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网卡：≥10M/100M/1000M以太网卡</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电源：≤180W</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机箱：可立可卧，不大于8.5L</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显示器：标准尺寸21.5英寸显示器；与主机同一厂家;</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标配接口：≥ 1个VGA接口， USB接口≥8个，其中前置USB3.0接口≥4个</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USB键盘和鼠标。</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台</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40</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65"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2</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笔记本电脑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CPU：英特尔 酷睿 i5-7200 处理器 (主频≥2.5GHz、3M 缓存，)</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内存：4GB DDR4  (4GBx1)</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硬盘：128G固态+500G机械硬盘</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显卡：独立显卡，显存≥2GB</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屏幕：14.0-英寸 HD (1366x768) 防眩光 LED背光显示器</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安全设备： 智能指纹识别系统登录，触控板（按键与触控板分离）、180度开合金转轴, 720p  摄像头含麦克风</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 xml:space="preserve">光驱：一键热插拔 DVD RW </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无线设备：802.11ac + 蓝牙 4.0</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电池：40 瓦时, 4-芯电池</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 xml:space="preserve">接口：自带VGA端口 、HDMI输出端口、RJ-45端口、4个USB 端口 </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台</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20</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2027"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3</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3*3拼接屏</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1. 拼接单元尺寸：≥46"；</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 拼缝≤3.5mm;</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3. 背光模块类型：直下式LED；</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4. 亮度：≥500cd/㎡；</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5. 分辨率：1920×1080；</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6. 响应时间：8ms；</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7. 50000小时以上的使用寿命；</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8. 可视角度：水平178°/垂直178°；</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9. 可视区域（mm）: ≥1018(H) x 572 (V)</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10.主要输入接口类型：VGA+DVI+HDMI*2；单屏具有DP接口；全部输入接口：Analong D-SUB,DVI-D,DP,CVBS,HDMI1,HDMI2;主要输出接口：DVI-D（环路输出，最大支持10X10）；控制接口：RS232C(输入/输出)，RJ45;</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11.单屏可显示1080P，16:9高清图像显示；支持DnleTM数码自然影像技术；</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12.色调方面：每个显示屏都具备使用OSD菜单的颜色可调试能力；</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13.自动亮度调整：内置光敏传感器，根据环境光线强弱，自动调整大屏亮度；</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14.液晶面板和整机为同一厂家生产；</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15.可以通过RS232和RJ45端口获取大屏状态参数。</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4</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安装支架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国标、定制拼接屏安装支架，长时间使用不生锈，平稳牢固美观.</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264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5</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图像拼接控制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1.信号输入：2路VGA/RGB全格式信号输入；9路视频输入，支持XGA， SXGA，SXGA+，UGA，WUGA等主流高清信号，单路可支持1920*1200/60HZ；</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2.输出信号：12路DVI-I输出，最大分辨率支持1920*1200；</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3.控制：标准RS232端口，网络控制；</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4.PCI插槽式全硬件构架，无CPU和操作系统；</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5启动迅速，硬件启动时间小于5秒钟；</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6.带与显示单元物理像数点对点的高清底图功能，预留USB接口可升级高清底图；</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7.支持红外，RS232串口控制；支持HDMI接口输出；具备HDSDI,HDMI,Ypbpr高清输入接口；视频信号切换无雪花现象。</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144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控制系统软件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1.采用232串口连接；</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2.具备屏幕墙功能：Video Wall（屏幕墙）是一组拼接起来的视频屏幕，每个屏幕显示一幅完整画面的一部分或所有屏幕都显示相同的画面，Video Wall (Screen divider)可用来分割屏幕；分割屏幕时可以选择不同布局的屏幕数；</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3.具备参数设置功能：通过软件可以非常方面的设置任意一个屏的性能参数（如亮度、对比度等等）。</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音频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1"/>
                <w:szCs w:val="21"/>
                <w:u w:val="none"/>
              </w:rPr>
              <w:t>音频分离器+音响，支持视频音频同传</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8</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线材</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国标</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批</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9</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装修装饰</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屏幕四周铝塑板包边</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432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10</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4*3拼接屏</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1. 拼接单元尺寸：≥46"；</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 拼缝≤3.5mm;</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3. 背光模块类型：直下式LED；</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4. 亮度：≥500cd/㎡；</w:t>
            </w:r>
          </w:p>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5. 分辨率：1920×1080；</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6. 响应时间：8ms；</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7. 50000小时以上的使用寿命；</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8. 可视角度：水平178°/垂直178°；</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9. 可视区域（mm）: ≥1018(H) x 572 (V)</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10.主要输入接口类型：VGA+DVI+HDMI*2；单屏具有DP接口；全部输入接口：Analong D-SUB,DVI-D,DP,CVBS,HDMI1,HDMI2;主要输出接口：DVI-D（环路输出，最大支持10X10）；控制接口：RS232C(输入/输出)，RJ45;</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11.单屏可显示1080P，16:9高清图像显示；支持DnleTM数码自然影像技术；</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12.色调方面：每个显示屏都具备使用OSD菜单的颜色可调试能力；</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13.自动亮度调整：内置光敏传感器，根据环境光线强弱，自动调整大屏亮度；</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14.液晶面板和整机为同一厂家生产；</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15.可以通过RS232和RJ45端口获取大屏状态参数。</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是</w:t>
            </w:r>
          </w:p>
        </w:tc>
      </w:tr>
      <w:tr>
        <w:tblPrEx>
          <w:tblLayout w:type="fixed"/>
          <w:tblCellMar>
            <w:top w:w="15" w:type="dxa"/>
            <w:left w:w="15" w:type="dxa"/>
            <w:bottom w:w="15" w:type="dxa"/>
            <w:right w:w="15" w:type="dxa"/>
          </w:tblCellMar>
        </w:tblPrEx>
        <w:trPr>
          <w:trHeight w:val="33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11</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安装支架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国标、定制拼接屏安装支架，长时间使用不生锈，平稳牢固美观.</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240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12</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图像拼接控制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1.信号输入：2路VGA/RGB全格式信号输入；9路视频输入，支持XGA， SXGA，SXGA+，UGA，WUGA等主流高清信号，单路可支持1920*1200/60HZ；</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2.输出信号：12路DVI-I输出，最大分辨率支持1920*1200；</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3.控制：标准RS232端口，网络控制；</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4.PCI插槽式全硬件构架，无CPU和操作系统；</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5启动迅速，硬件启动时间小于5秒钟；</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6.带与显示单元物理像数点对点的高清底图功能，预留USB接口可升级高清底图；</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7.支持红外，RS232串口控制；支持HDMI接口输出；具备HDSDI,HDMI,Ypbpr高清输入接口；视频信号切换无雪花现象。</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48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13</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控制系统软件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专业版控制软件，与大屏幕统一品牌。</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33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14</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音频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1"/>
                <w:szCs w:val="21"/>
                <w:u w:val="none"/>
              </w:rPr>
              <w:t>音频分离器+音响，支持视频音频同传</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15</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线材</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国标</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批</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16</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装修装饰</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屏幕四周铝塑板包边</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9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17</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施工费</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r>
        <w:tblPrEx>
          <w:tblLayout w:type="fixed"/>
          <w:tblCellMar>
            <w:top w:w="15" w:type="dxa"/>
            <w:left w:w="15" w:type="dxa"/>
            <w:bottom w:w="15" w:type="dxa"/>
            <w:right w:w="15" w:type="dxa"/>
          </w:tblCellMar>
        </w:tblPrEx>
        <w:trPr>
          <w:trHeight w:val="1440" w:hRule="atLeast"/>
        </w:trPr>
        <w:tc>
          <w:tcPr>
            <w:tcW w:w="33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18</w:t>
            </w:r>
          </w:p>
        </w:tc>
        <w:tc>
          <w:tcPr>
            <w:tcW w:w="76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查询机</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left"/>
              <w:rPr>
                <w:rFonts w:hint="default" w:ascii="宋体" w:hAnsi="宋体" w:eastAsia="宋体"/>
                <w:color w:val="auto"/>
                <w:position w:val="0"/>
                <w:sz w:val="20"/>
                <w:szCs w:val="20"/>
              </w:rPr>
            </w:pPr>
            <w:r>
              <w:rPr>
                <w:rFonts w:hint="default" w:ascii="宋体" w:hAnsi="宋体" w:eastAsia="宋体"/>
                <w:color w:val="auto"/>
                <w:position w:val="0"/>
                <w:sz w:val="20"/>
                <w:szCs w:val="20"/>
              </w:rPr>
              <w:t>1、尺寸：55寸；LED背光；2、显示面积：1209.6(H)X 680.4(V)；3、 整机厚度：≤110.6mm；显示比例： 16:9；4、液晶屏类型：节能屏 A规液晶屏；</w:t>
            </w:r>
            <w:r>
              <w:rPr>
                <w:rFonts w:hint="default" w:ascii="宋体" w:hAnsi="宋体" w:eastAsia="宋体"/>
                <w:color w:val="auto"/>
                <w:position w:val="0"/>
                <w:sz w:val="20"/>
                <w:szCs w:val="20"/>
              </w:rPr>
              <w:br w:type="textWrapping" w:clear="all"/>
            </w:r>
            <w:r>
              <w:rPr>
                <w:rFonts w:hint="default" w:ascii="宋体" w:hAnsi="宋体" w:eastAsia="宋体"/>
                <w:color w:val="auto"/>
                <w:position w:val="0"/>
                <w:sz w:val="20"/>
                <w:szCs w:val="20"/>
              </w:rPr>
              <w:t>2、物理分辨率：3840x2160 ；显示色彩：24bit真彩（16.7M）；显示对比度：5000:1；亮度： 350cd/㎡；最大可视角：≈176°。</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11</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wordWrap w:val="0"/>
              <w:spacing w:before="0" w:after="160" w:line="240" w:lineRule="auto"/>
              <w:ind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否</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both"/>
        <w:textAlignment w:val="auto"/>
        <w:outlineLvl w:val="9"/>
        <w:rPr>
          <w:rFonts w:hint="eastAsia" w:cs="宋体" w:asciiTheme="minorEastAsia" w:hAnsiTheme="minorEastAsia"/>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cs="宋体"/>
          <w:color w:val="auto"/>
          <w:sz w:val="24"/>
          <w:lang w:val="zh-CN"/>
        </w:rPr>
        <w:t>采购清单所列技术规格及主要参数为最低要求，投标产品不得低于最低要求。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en-US" w:eastAsia="zh-CN"/>
        </w:rPr>
      </w:pPr>
      <w:r>
        <w:rPr>
          <w:rFonts w:hint="eastAsia" w:ascii="宋体" w:cs="宋体"/>
          <w:color w:val="auto"/>
          <w:sz w:val="24"/>
          <w:lang w:val="en-US" w:eastAsia="zh-CN"/>
        </w:rPr>
        <w:t>2.</w:t>
      </w:r>
      <w:r>
        <w:rPr>
          <w:rFonts w:hint="eastAsia" w:ascii="宋体" w:cs="宋体"/>
          <w:color w:val="auto"/>
          <w:sz w:val="24"/>
          <w:lang w:val="zh-CN"/>
        </w:rPr>
        <w:t>投标人须明确设备类投标产品的品牌、型号、厂家、产地、详细参数。</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ascii="宋体" w:cs="宋体"/>
          <w:b w:val="0"/>
          <w:bCs/>
          <w:color w:val="auto"/>
          <w:sz w:val="24"/>
          <w:lang w:val="en-US" w:eastAsia="zh-CN"/>
        </w:rPr>
        <w:t>3.投标文件不得复制招标文件中的技术参数</w:t>
      </w:r>
      <w:r>
        <w:rPr>
          <w:rFonts w:hint="eastAsia" w:cs="宋体" w:asciiTheme="minorEastAsia" w:hAnsiTheme="minorEastAsia"/>
          <w:color w:val="auto"/>
          <w:kern w:val="0"/>
          <w:sz w:val="24"/>
          <w:szCs w:val="24"/>
          <w:lang w:val="en-US" w:eastAsia="zh-CN"/>
        </w:rPr>
        <w:t>。</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ascii="宋体" w:cs="宋体"/>
          <w:b w:val="0"/>
          <w:bCs/>
          <w:color w:val="auto"/>
          <w:sz w:val="24"/>
          <w:lang w:val="en-US" w:eastAsia="zh-CN"/>
        </w:rPr>
        <w:t>4.售后服务：要求提供所中标产品整机质保至少一年。投标人须在售后服务方案中明</w:t>
      </w:r>
      <w:r>
        <w:rPr>
          <w:rFonts w:hint="eastAsia" w:ascii="宋体" w:cs="宋体"/>
          <w:b w:val="0"/>
          <w:bCs/>
          <w:color w:val="auto"/>
          <w:sz w:val="24"/>
          <w:lang w:val="zh-CN" w:eastAsia="zh-CN"/>
        </w:rPr>
        <w:t>确质保时间、故障响应时间、解决问题时间、维修点地址、联系人和联系电话。</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五</w:t>
      </w:r>
      <w:r>
        <w:rPr>
          <w:rFonts w:hint="eastAsia" w:cs="宋体" w:asciiTheme="minorEastAsia" w:hAnsiTheme="minorEastAsia"/>
          <w:b/>
          <w:color w:val="auto"/>
          <w:kern w:val="0"/>
          <w:sz w:val="24"/>
          <w:szCs w:val="24"/>
          <w:lang w:val="zh-CN"/>
        </w:rPr>
        <w:t>、验收标准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w:t>
      </w:r>
      <w:r>
        <w:rPr>
          <w:rFonts w:hint="eastAsia" w:ascii="宋体" w:hAnsi="宋体" w:cs="宋体"/>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ascii="宋体" w:hAnsi="宋体" w:eastAsia="宋体" w:cs="仿宋_GB2312"/>
          <w:b/>
          <w:bCs/>
          <w:color w:val="auto"/>
          <w:shd w:val="clear" w:color="auto" w:fill="FFFFFF"/>
          <w:lang w:val="en-US" w:eastAsia="zh-CN"/>
        </w:rPr>
        <w:t>291.2</w:t>
      </w:r>
      <w:r>
        <w:rPr>
          <w:rFonts w:hint="eastAsia" w:ascii="宋体" w:hAnsi="宋体" w:cs="仿宋_GB2312"/>
          <w:b/>
          <w:bCs/>
          <w:color w:val="auto"/>
          <w:shd w:val="clear" w:color="auto" w:fill="FFFFFF"/>
          <w:lang w:val="en-US" w:eastAsia="zh-CN"/>
        </w:rPr>
        <w:t>万</w:t>
      </w:r>
      <w:r>
        <w:rPr>
          <w:rFonts w:hint="eastAsia" w:ascii="宋体" w:hAnsi="宋体" w:eastAsia="宋体" w:cs="仿宋_GB2312"/>
          <w:b/>
          <w:bCs/>
          <w:color w:val="auto"/>
          <w:shd w:val="clear" w:color="auto" w:fill="FFFFFF"/>
        </w:rPr>
        <w:t>元</w:t>
      </w:r>
      <w:r>
        <w:rPr>
          <w:rFonts w:hint="eastAsia" w:ascii="宋体" w:hAnsi="宋体" w:eastAsia="宋体" w:cs="黑体"/>
          <w:b/>
          <w:bCs/>
          <w:color w:val="auto"/>
          <w:shd w:val="clear" w:color="auto" w:fill="FFFFFF"/>
        </w:rPr>
        <w:t>。最高限价</w:t>
      </w:r>
      <w:r>
        <w:rPr>
          <w:rFonts w:hint="eastAsia" w:ascii="宋体" w:hAnsi="宋体" w:eastAsia="宋体" w:cs="仿宋_GB2312"/>
          <w:b/>
          <w:bCs/>
          <w:color w:val="auto"/>
          <w:shd w:val="clear" w:color="auto" w:fill="FFFFFF"/>
          <w:lang w:val="en-US" w:eastAsia="zh-CN"/>
        </w:rPr>
        <w:t>291.2</w:t>
      </w:r>
      <w:r>
        <w:rPr>
          <w:rFonts w:hint="eastAsia" w:ascii="宋体" w:hAnsi="宋体" w:cs="仿宋_GB2312"/>
          <w:b/>
          <w:bCs/>
          <w:color w:val="auto"/>
          <w:shd w:val="clear" w:color="auto" w:fill="FFFFFF"/>
          <w:lang w:val="en-US" w:eastAsia="zh-CN"/>
        </w:rPr>
        <w:t>万</w:t>
      </w:r>
      <w:r>
        <w:rPr>
          <w:rFonts w:hint="eastAsia" w:ascii="宋体" w:hAnsi="宋体" w:eastAsia="宋体" w:cs="仿宋_GB2312"/>
          <w:b/>
          <w:bCs/>
          <w:color w:val="auto"/>
          <w:shd w:val="clear" w:color="auto" w:fill="FFFFFF"/>
        </w:rPr>
        <w:t>元</w:t>
      </w:r>
      <w:r>
        <w:rPr>
          <w:rFonts w:hint="eastAsia" w:ascii="宋体" w:hAnsi="宋体" w:eastAsia="宋体" w:cs="宋体"/>
          <w:b/>
          <w:color w:val="auto"/>
          <w:kern w:val="0"/>
          <w:lang w:val="zh-CN"/>
        </w:rPr>
        <w:t>。</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eastAsia="zh-CN"/>
        </w:rPr>
        <w:t>七</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1、支付方式：转账支付。</w:t>
      </w:r>
    </w:p>
    <w:p>
      <w:pPr>
        <w:widowControl/>
        <w:shd w:val="clear" w:color="auto" w:fill="FFFFFF"/>
        <w:spacing w:line="360" w:lineRule="auto"/>
        <w:ind w:firstLine="480" w:firstLineChars="200"/>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w:t>
      </w:r>
      <w:r>
        <w:rPr>
          <w:rFonts w:hint="eastAsia" w:ascii="宋体" w:hAnsi="宋体" w:cs="宋体"/>
          <w:bCs/>
          <w:color w:val="auto"/>
          <w:sz w:val="24"/>
          <w:szCs w:val="24"/>
        </w:rPr>
        <w:t>经验收合格后付合同总价款的90%，剩余10%满一年无质量问题一次付清。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both"/>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hint="eastAsia" w:cs="微软雅黑"/>
          <w:b/>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1" w:rightChars="0" w:firstLine="482" w:firstLineChars="200"/>
        <w:jc w:val="left"/>
        <w:textAlignment w:val="auto"/>
        <w:outlineLvl w:val="9"/>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党建“</w:t>
            </w:r>
            <w:r>
              <w:rPr>
                <w:rFonts w:hint="eastAsia" w:ascii="宋体" w:hAnsi="宋体" w:cs="仿宋_GB2312"/>
                <w:color w:val="auto"/>
                <w:sz w:val="24"/>
                <w:szCs w:val="24"/>
                <w:lang w:val="en-US" w:eastAsia="zh-CN"/>
              </w:rPr>
              <w:t>1369</w:t>
            </w:r>
            <w:r>
              <w:rPr>
                <w:rFonts w:hint="eastAsia" w:ascii="宋体" w:hAnsi="宋体" w:cs="仿宋_GB2312"/>
                <w:color w:val="auto"/>
                <w:sz w:val="24"/>
                <w:szCs w:val="24"/>
                <w:lang w:eastAsia="zh-CN"/>
              </w:rPr>
              <w:t>”工程“一机一屏”采购</w:t>
            </w:r>
          </w:p>
          <w:p>
            <w:pPr>
              <w:pStyle w:val="51"/>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ascii="宋体" w:hAnsi="宋体" w:cs="仿宋_GB2312"/>
                <w:color w:val="auto"/>
                <w:sz w:val="24"/>
                <w:szCs w:val="24"/>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8001</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eastAsia="zh-CN"/>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魏都区政府采购办</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魏采公开-2017-</w:t>
            </w:r>
            <w:r>
              <w:rPr>
                <w:rFonts w:hint="eastAsia" w:ascii="宋体" w:hAnsi="宋体" w:cs="仿宋_GB2312"/>
                <w:color w:val="auto"/>
                <w:shd w:val="clear" w:color="auto" w:fill="FFFFFF"/>
                <w:lang w:val="en-US" w:eastAsia="zh-CN"/>
              </w:rPr>
              <w:t>19</w:t>
            </w:r>
            <w:r>
              <w:rPr>
                <w:rFonts w:hint="eastAsia" w:ascii="宋体" w:hAnsi="宋体" w:eastAsia="宋体" w:cs="仿宋_GB2312"/>
                <w:color w:val="auto"/>
                <w:shd w:val="clear" w:color="auto" w:fill="FFFFFF"/>
                <w:lang w:val="zh-CN" w:eastAsia="zh-CN"/>
              </w:rPr>
              <w:t>号</w:t>
            </w:r>
          </w:p>
          <w:p>
            <w:pPr>
              <w:pStyle w:val="51"/>
              <w:widowControl/>
              <w:shd w:val="clear" w:color="auto" w:fill="FFFFFF"/>
              <w:spacing w:line="360" w:lineRule="auto"/>
              <w:ind w:firstLine="420"/>
              <w:contextualSpacing/>
              <w:jc w:val="left"/>
              <w:rPr>
                <w:rFonts w:ascii="宋体" w:hAnsi="宋体" w:cs="仿宋_GB2312"/>
                <w:color w:val="auto"/>
                <w:sz w:val="24"/>
                <w:szCs w:val="24"/>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8018</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w:t>
            </w:r>
            <w:r>
              <w:rPr>
                <w:rFonts w:hint="eastAsia" w:ascii="宋体" w:hAnsi="宋体" w:cs="仿宋_GB2312"/>
                <w:color w:val="auto"/>
                <w:sz w:val="24"/>
                <w:szCs w:val="24"/>
                <w:lang w:val="en-US" w:eastAsia="zh-CN"/>
              </w:rPr>
              <w:t>4*3拼接屏6套、</w:t>
            </w:r>
            <w:r>
              <w:rPr>
                <w:rFonts w:hint="eastAsia" w:ascii="宋体" w:hAnsi="宋体" w:cs="仿宋_GB2312"/>
                <w:color w:val="auto"/>
                <w:sz w:val="24"/>
                <w:szCs w:val="24"/>
                <w:lang w:eastAsia="zh-CN"/>
              </w:rPr>
              <w:t>3*3拼接屏</w:t>
            </w:r>
            <w:r>
              <w:rPr>
                <w:rFonts w:hint="eastAsia" w:ascii="宋体" w:hAnsi="宋体" w:cs="仿宋_GB2312"/>
                <w:color w:val="auto"/>
                <w:sz w:val="24"/>
                <w:szCs w:val="24"/>
                <w:lang w:val="en-US" w:eastAsia="zh-CN"/>
              </w:rPr>
              <w:t>7套、台式电脑40台、笔记本电脑20台等</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项目地址：魏都区十三个社区便民服务站（含安装）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cs="仿宋_GB2312"/>
                <w:color w:val="auto"/>
                <w:lang w:eastAsia="zh-CN"/>
              </w:rPr>
              <w:t>名称</w:t>
            </w:r>
            <w:r>
              <w:rPr>
                <w:rFonts w:hint="eastAsia" w:ascii="宋体" w:hAnsi="宋体" w:eastAsia="宋体" w:cs="仿宋_GB2312"/>
                <w:color w:val="auto"/>
              </w:rPr>
              <w:t>：</w:t>
            </w:r>
            <w:r>
              <w:rPr>
                <w:rFonts w:hint="eastAsia" w:ascii="宋体" w:hAnsi="宋体" w:eastAsia="宋体" w:cs="仿宋_GB2312"/>
                <w:color w:val="auto"/>
                <w:lang w:eastAsia="zh-CN"/>
              </w:rPr>
              <w:t>中共许昌市魏都区委组织部</w:t>
            </w:r>
          </w:p>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地址：</w:t>
            </w:r>
            <w:r>
              <w:rPr>
                <w:rFonts w:hint="eastAsia" w:ascii="宋体" w:hAnsi="宋体" w:eastAsia="宋体" w:cs="仿宋_GB2312"/>
                <w:color w:val="auto"/>
                <w:lang w:val="zh-CN" w:eastAsia="zh-CN"/>
              </w:rPr>
              <w:t>许昌市天宝路魏都区政府办公楼</w:t>
            </w:r>
            <w:r>
              <w:rPr>
                <w:rFonts w:hint="eastAsia" w:ascii="宋体" w:hAnsi="宋体" w:cs="仿宋_GB2312"/>
                <w:color w:val="auto"/>
                <w:lang w:val="en-US" w:eastAsia="zh-CN"/>
              </w:rPr>
              <w:t>1141</w:t>
            </w:r>
            <w:r>
              <w:rPr>
                <w:rFonts w:hint="eastAsia" w:ascii="宋体" w:hAnsi="宋体" w:eastAsia="宋体" w:cs="仿宋_GB2312"/>
                <w:color w:val="auto"/>
                <w:lang w:val="zh-CN" w:eastAsia="zh-CN"/>
              </w:rPr>
              <w:t>室</w:t>
            </w:r>
          </w:p>
          <w:p>
            <w:pPr>
              <w:pStyle w:val="51"/>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rPr>
              <w:t>联系人：</w:t>
            </w:r>
            <w:r>
              <w:rPr>
                <w:rFonts w:hint="eastAsia" w:ascii="宋体" w:hAnsi="宋体" w:cs="仿宋_GB2312"/>
                <w:color w:val="auto"/>
                <w:lang w:eastAsia="zh-CN"/>
              </w:rPr>
              <w:t>刘庆军</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电话：</w:t>
            </w:r>
            <w:r>
              <w:rPr>
                <w:rFonts w:hint="eastAsia" w:ascii="宋体" w:hAnsi="宋体" w:cs="仿宋_GB2312"/>
                <w:color w:val="auto"/>
                <w:lang w:val="en-US" w:eastAsia="zh-CN"/>
              </w:rPr>
              <w:t>0374-2625883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名称：许昌市魏都区政府采购中心</w:t>
            </w:r>
          </w:p>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lang w:val="zh-CN" w:eastAsia="zh-CN"/>
              </w:rPr>
              <w:t xml:space="preserve">联系人：张良     </w:t>
            </w:r>
            <w:r>
              <w:rPr>
                <w:rFonts w:hint="eastAsia" w:ascii="宋体" w:hAnsi="宋体" w:eastAsia="宋体" w:cs="仿宋_GB2312"/>
                <w:color w:val="auto"/>
                <w:lang w:val="en-US" w:eastAsia="zh-CN"/>
              </w:rPr>
              <w:t xml:space="preserve">    </w:t>
            </w:r>
            <w:r>
              <w:rPr>
                <w:rFonts w:hint="eastAsia" w:ascii="宋体" w:hAnsi="宋体" w:eastAsia="宋体" w:cs="仿宋_GB2312"/>
                <w:color w:val="auto"/>
                <w:lang w:val="zh-CN" w:eastAsia="zh-CN"/>
              </w:rPr>
              <w:t xml:space="preserve">  </w:t>
            </w:r>
            <w:r>
              <w:rPr>
                <w:rFonts w:hint="eastAsia" w:ascii="宋体" w:hAnsi="宋体" w:eastAsia="宋体" w:cs="仿宋_GB2312"/>
                <w:color w:val="auto"/>
                <w:lang w:val="en-US" w:eastAsia="zh-CN"/>
              </w:rPr>
              <w:t xml:space="preserve">  </w:t>
            </w:r>
            <w:r>
              <w:rPr>
                <w:rFonts w:hint="eastAsia" w:ascii="宋体" w:hAnsi="宋体" w:eastAsia="宋体" w:cs="仿宋_GB2312"/>
                <w:color w:val="auto"/>
                <w:lang w:val="zh-CN" w:eastAsia="zh-CN"/>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ascii="宋体" w:hAnsi="宋体" w:cs="宋体"/>
                <w:bCs/>
                <w:color w:val="auto"/>
                <w:sz w:val="24"/>
                <w:szCs w:val="24"/>
                <w:lang w:val="zh-CN" w:eastAsia="zh-CN"/>
              </w:rPr>
              <w:t>291.2万</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5</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3</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许昌市公共资源交易中心三楼开标三室（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ascii="宋体" w:hAnsi="宋体" w:cs="仿宋_GB2312"/>
                <w:color w:val="auto"/>
                <w:sz w:val="24"/>
                <w:szCs w:val="24"/>
                <w:lang w:val="zh-CN"/>
              </w:rPr>
              <w:t>伍万捌仟元整（¥</w:t>
            </w:r>
            <w:r>
              <w:rPr>
                <w:rFonts w:hint="eastAsia" w:ascii="宋体" w:hAnsi="宋体" w:cs="仿宋_GB2312"/>
                <w:color w:val="auto"/>
                <w:sz w:val="24"/>
                <w:szCs w:val="24"/>
                <w:lang w:val="en-US" w:eastAsia="zh-CN"/>
              </w:rPr>
              <w:t>58000元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w:t>
            </w:r>
            <w:r>
              <w:rPr>
                <w:rFonts w:hint="eastAsia" w:cs="宋体" w:asciiTheme="minorEastAsia" w:hAnsiTheme="minorEastAsia"/>
                <w:color w:val="auto"/>
                <w:sz w:val="24"/>
                <w:szCs w:val="24"/>
                <w:lang w:eastAsia="zh-CN"/>
              </w:rPr>
              <w:t>《魏都区人民政府官方网站》、</w:t>
            </w:r>
            <w:r>
              <w:rPr>
                <w:rFonts w:hint="eastAsia" w:cs="宋体" w:asciiTheme="minorEastAsia" w:hAnsiTheme="minorEastAsia"/>
                <w:color w:val="auto"/>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电子投标文件：成功上传至《全国公共资源交易平台（河南省·许昌市）》公共资源交易系统加密电子投标文件1份</w:t>
            </w:r>
            <w:r>
              <w:rPr>
                <w:rFonts w:hint="eastAsia" w:cs="宋体" w:asciiTheme="minorEastAsia" w:hAnsiTheme="minorEastAsia"/>
                <w:color w:val="auto"/>
                <w:sz w:val="24"/>
                <w:szCs w:val="24"/>
                <w:lang w:val="zh-CN"/>
              </w:rPr>
              <w:t>（文件格式为： XXX公司XXX项目编号.file）。</w:t>
            </w:r>
            <w:r>
              <w:rPr>
                <w:rFonts w:hint="eastAsia" w:cs="宋体" w:asciiTheme="minorEastAsia" w:hAnsiTheme="minorEastAsia"/>
                <w:color w:val="auto"/>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纸质投标文件：正本一份，副本</w:t>
            </w:r>
            <w:r>
              <w:rPr>
                <w:rFonts w:hint="eastAsia" w:cs="宋体" w:asciiTheme="minorEastAsia" w:hAnsiTheme="minorEastAsia"/>
                <w:color w:val="auto"/>
                <w:sz w:val="24"/>
                <w:szCs w:val="24"/>
                <w:lang w:eastAsia="zh-CN"/>
              </w:rPr>
              <w:t>五</w:t>
            </w:r>
            <w:r>
              <w:rPr>
                <w:rFonts w:hint="eastAsia" w:cs="宋体" w:asciiTheme="minorEastAsia" w:hAnsiTheme="minorEastAsia"/>
                <w:color w:val="auto"/>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ascii="宋体" w:hAnsi="宋体" w:cs="宋体"/>
                <w:bCs/>
                <w:color w:val="auto"/>
                <w:sz w:val="24"/>
                <w:szCs w:val="24"/>
                <w:lang w:val="zh-CN" w:eastAsia="zh-CN"/>
              </w:rPr>
              <w:t>采购单位委派代表参加资格审查和评标委员会的，须向采购代理机构出具授权函（参加评标委员会的采购人代表不得参与资格审查）。除授权代表外，采购单位委派纪检监察人员对评标过程实施监督的须进入五楼电子监察室，并向采购代理机构出具授权函，且不得超过2人</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hint="eastAsia" w:cs="宋体" w:asciiTheme="minorEastAsia" w:hAnsiTheme="minorEastAsia"/>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《河南省政府采购网》、《许昌市政府采购网》</w:t>
      </w:r>
      <w:r>
        <w:rPr>
          <w:rFonts w:hint="eastAsia" w:cs="宋体" w:asciiTheme="minorEastAsia" w:hAnsiTheme="minorEastAsia"/>
          <w:color w:val="auto"/>
          <w:sz w:val="24"/>
          <w:szCs w:val="24"/>
          <w:lang w:eastAsia="zh-CN"/>
        </w:rPr>
        <w:t>、《魏都区人民政府官方网站》</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16.1.10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16.3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纸质投标文件正本和副本投标文件封面上应清楚标明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17.4 除投标人对错处做必要修改外，投标文件不得行间插字、涂改或增删。如有修改错漏处，</w:t>
      </w:r>
      <w:r>
        <w:rPr>
          <w:rFonts w:hint="eastAsia" w:cs="仿宋_GB2312" w:asciiTheme="minorEastAsia" w:hAnsiTheme="minorEastAsia"/>
          <w:color w:val="auto"/>
          <w:sz w:val="24"/>
          <w:szCs w:val="24"/>
          <w:lang w:val="zh-CN"/>
        </w:rPr>
        <w:t>必须由法定代表人或经其正式授权的代表</w:t>
      </w:r>
      <w:r>
        <w:rPr>
          <w:rFonts w:hint="eastAsia" w:asciiTheme="minorEastAsia" w:hAnsiTheme="minorEastAsia"/>
          <w:bCs/>
          <w:color w:val="auto"/>
          <w:sz w:val="24"/>
          <w:szCs w:val="24"/>
        </w:rPr>
        <w:t>签字并加盖投标人公章</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pct10" w:color="auto" w:fill="FFFFFF"/>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18</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rPr>
        <w:t>18</w:t>
      </w:r>
      <w:r>
        <w:rPr>
          <w:rFonts w:hint="eastAsia" w:cs="仿宋_GB2312" w:asciiTheme="minorEastAsia" w:hAnsiTheme="minorEastAsia"/>
          <w:color w:val="auto"/>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1</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21.2 投标人补充、修改的内容并作为投标文件的组成部分。补充或修改应当按招标文件要求签署、盖章、密封、递交，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3</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23.6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同时出现两种以上不一致的，按照前款规定的顺序修正。修正后的报价按照“投标人须知”2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30.</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31</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32</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3</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37.3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38.</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color w:val="auto"/>
          <w:szCs w:val="24"/>
        </w:rPr>
        <w:t>在页并加盖投标人公章的原件扫描件（或图片），</w:t>
      </w:r>
      <w:r>
        <w:rPr>
          <w:rFonts w:hint="eastAsia" w:cs="仿宋_GB2312" w:asciiTheme="minorEastAsia" w:hAnsiTheme="minorEastAsia" w:eastAsiaTheme="minorEastAsia"/>
          <w:color w:val="auto"/>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contextualSpacing/>
        <w:jc w:val="both"/>
        <w:rPr>
          <w:rFonts w:hint="eastAsia" w:cs="仿宋_GB2312" w:asciiTheme="minorEastAsia" w:hAnsiTheme="minorEastAsia" w:eastAsiaTheme="minorEastAsia"/>
          <w:b/>
          <w:color w:val="auto"/>
          <w:sz w:val="32"/>
          <w:szCs w:val="32"/>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5"/>
        </w:numPr>
        <w:spacing w:line="360" w:lineRule="auto"/>
        <w:ind w:firstLine="465"/>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color w:val="auto"/>
          <w:szCs w:val="24"/>
          <w:lang w:val="zh-CN"/>
        </w:rPr>
      </w:pPr>
      <w:r>
        <w:rPr>
          <w:rFonts w:hint="eastAsia" w:cs="仿宋_GB2312" w:asciiTheme="minorEastAsia" w:hAnsiTheme="minorEastAsia" w:eastAsiaTheme="minorEastAsia"/>
          <w:b/>
          <w:color w:val="auto"/>
          <w:szCs w:val="24"/>
          <w:lang w:val="en-US" w:eastAsia="zh-CN"/>
        </w:rPr>
        <w:t xml:space="preserve">   </w:t>
      </w: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color w:val="auto"/>
          <w:szCs w:val="24"/>
          <w:lang w:val="zh-CN"/>
        </w:rPr>
      </w:pP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1）投标人所投产品如被列入</w:t>
      </w:r>
      <w:r>
        <w:rPr>
          <w:rFonts w:cs="仿宋_GB2312" w:asciiTheme="minorEastAsia" w:hAnsiTheme="minorEastAsia" w:eastAsiaTheme="minorEastAsia"/>
          <w:color w:val="auto"/>
          <w:kern w:val="2"/>
          <w:sz w:val="24"/>
          <w:szCs w:val="24"/>
          <w:lang w:val="zh-CN" w:eastAsia="zh-CN" w:bidi="ar-SA"/>
        </w:rPr>
        <w:t>《中华人民共和国实施强制性产品认证的产品目录》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a.中国国家认证认可监督管理委员会官网（</w:t>
      </w:r>
      <w:r>
        <w:rPr>
          <w:rFonts w:cs="仿宋_GB2312" w:asciiTheme="minorEastAsia" w:hAnsiTheme="minorEastAsia" w:eastAsiaTheme="minorEastAsia"/>
          <w:color w:val="auto"/>
          <w:kern w:val="2"/>
          <w:sz w:val="24"/>
          <w:szCs w:val="24"/>
          <w:lang w:val="zh-CN" w:eastAsia="zh-CN" w:bidi="ar-SA"/>
        </w:rPr>
        <w:fldChar w:fldCharType="begin"/>
      </w:r>
      <w:r>
        <w:rPr>
          <w:rFonts w:cs="仿宋_GB2312" w:asciiTheme="minorEastAsia" w:hAnsiTheme="minorEastAsia" w:eastAsiaTheme="minorEastAsia"/>
          <w:color w:val="auto"/>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color w:val="auto"/>
          <w:kern w:val="2"/>
          <w:sz w:val="24"/>
          <w:szCs w:val="24"/>
          <w:lang w:val="zh-CN" w:eastAsia="zh-CN" w:bidi="ar-SA"/>
        </w:rPr>
        <w:fldChar w:fldCharType="separate"/>
      </w:r>
      <w:r>
        <w:rPr>
          <w:rFonts w:hint="eastAsia" w:cs="仿宋_GB2312" w:asciiTheme="minorEastAsia" w:hAnsiTheme="minorEastAsia" w:eastAsiaTheme="minorEastAsia"/>
          <w:color w:val="auto"/>
          <w:kern w:val="2"/>
          <w:sz w:val="24"/>
          <w:szCs w:val="24"/>
          <w:lang w:val="zh-CN" w:eastAsia="zh-CN" w:bidi="ar-SA"/>
        </w:rPr>
        <w:t>http://cx.cnca.cn/rjwcx/web/cert/index.do</w:t>
      </w:r>
      <w:r>
        <w:rPr>
          <w:rFonts w:hint="eastAsia" w:cs="仿宋_GB2312" w:asciiTheme="minorEastAsia" w:hAnsiTheme="minorEastAsia" w:eastAsiaTheme="minorEastAsia"/>
          <w:color w:val="auto"/>
          <w:kern w:val="2"/>
          <w:sz w:val="24"/>
          <w:szCs w:val="24"/>
          <w:lang w:val="zh-CN" w:eastAsia="zh-CN" w:bidi="ar-SA"/>
        </w:rPr>
        <w:fldChar w:fldCharType="end"/>
      </w:r>
      <w:r>
        <w:rPr>
          <w:rFonts w:hint="eastAsia" w:cs="仿宋_GB2312" w:asciiTheme="minorEastAsia" w:hAnsiTheme="minorEastAsia" w:eastAsiaTheme="minorEastAsia"/>
          <w:color w:val="auto"/>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2)投标人所投产品如被列入</w:t>
      </w:r>
      <w:r>
        <w:rPr>
          <w:rFonts w:cs="仿宋_GB2312" w:asciiTheme="minorEastAsia" w:hAnsiTheme="minorEastAsia" w:eastAsiaTheme="minorEastAsia"/>
          <w:color w:val="auto"/>
          <w:kern w:val="2"/>
          <w:sz w:val="24"/>
          <w:szCs w:val="24"/>
          <w:lang w:val="zh-CN" w:eastAsia="zh-CN" w:bidi="ar-SA"/>
        </w:rPr>
        <w:t>《信息安全产品强制性认证目录》，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 中国信息安全认证中心官网（</w:t>
      </w:r>
      <w:r>
        <w:rPr>
          <w:rFonts w:cs="仿宋_GB2312" w:asciiTheme="minorEastAsia" w:hAnsiTheme="minorEastAsia" w:eastAsiaTheme="minorEastAsia"/>
          <w:color w:val="auto"/>
          <w:kern w:val="2"/>
          <w:sz w:val="24"/>
          <w:szCs w:val="24"/>
          <w:lang w:val="zh-CN" w:eastAsia="zh-CN" w:bidi="ar-SA"/>
        </w:rPr>
        <w:t>http://www.isccc.gov.cn/index.shtml</w:t>
      </w:r>
      <w:r>
        <w:rPr>
          <w:rFonts w:hint="eastAsia" w:cs="仿宋_GB2312" w:asciiTheme="minorEastAsia" w:hAnsiTheme="minorEastAsia" w:eastAsiaTheme="minorEastAsia"/>
          <w:color w:val="auto"/>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b/>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分值构成</w:t>
            </w:r>
          </w:p>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(总分100分)</w:t>
            </w:r>
          </w:p>
        </w:tc>
        <w:tc>
          <w:tcPr>
            <w:tcW w:w="7768" w:type="dxa"/>
            <w:gridSpan w:val="2"/>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48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价格分值：40分</w:t>
            </w:r>
          </w:p>
          <w:p>
            <w:pPr>
              <w:numPr>
                <w:ilvl w:val="0"/>
                <w:numId w:val="0"/>
              </w:numPr>
              <w:shd w:val="solid" w:color="FFFFFF"/>
              <w:wordWrap w:val="0"/>
              <w:spacing w:before="0" w:after="160" w:line="360" w:lineRule="atLeast"/>
              <w:ind w:right="0" w:firstLine="48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商务部分：10分</w:t>
            </w:r>
          </w:p>
          <w:p>
            <w:pPr>
              <w:numPr>
                <w:ilvl w:val="0"/>
                <w:numId w:val="0"/>
              </w:numPr>
              <w:shd w:val="solid" w:color="FFFFFF"/>
              <w:wordWrap w:val="0"/>
              <w:spacing w:before="0" w:after="160" w:line="360" w:lineRule="atLeast"/>
              <w:ind w:right="0" w:firstLine="48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技术部分：50分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60" w:type="dxa"/>
            <w:gridSpan w:val="3"/>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一、价格部分（满分40分）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评分因素</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评分标准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投标报价</w:t>
            </w:r>
          </w:p>
          <w:p>
            <w:pPr>
              <w:numPr>
                <w:ilvl w:val="0"/>
                <w:numId w:val="0"/>
              </w:numPr>
              <w:shd w:val="solid" w:color="FFFFFF"/>
              <w:wordWrap w:val="0"/>
              <w:spacing w:before="0" w:after="160" w:line="36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rPr>
              <w:t>评分标准</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评标基准价：满足招标文件要求的有效投标报价中，最低的投标报价为评标基准价。</w:t>
            </w:r>
          </w:p>
          <w:p>
            <w:pPr>
              <w:numPr>
                <w:ilvl w:val="0"/>
                <w:numId w:val="0"/>
              </w:numPr>
              <w:shd w:val="solid" w:color="FFFFFF"/>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投标报价得分=（评标基准价/投标报价）×40</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60" w:type="dxa"/>
            <w:gridSpan w:val="3"/>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二、商务部分（满分10分）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评分因素</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评分标准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5"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信誉</w:t>
            </w:r>
          </w:p>
        </w:tc>
        <w:tc>
          <w:tcPr>
            <w:tcW w:w="6601" w:type="dxa"/>
            <w:shd w:val="solid" w:color="FFFFFF" w:fill="auto"/>
            <w:tcMar>
              <w:left w:w="108" w:type="dxa"/>
              <w:right w:w="108" w:type="dxa"/>
            </w:tcMar>
            <w:vAlign w:val="center"/>
          </w:tcPr>
          <w:p>
            <w:pPr>
              <w:pStyle w:val="36"/>
              <w:numPr>
                <w:ilvl w:val="0"/>
                <w:numId w:val="0"/>
              </w:numPr>
              <w:wordWrap w:val="0"/>
              <w:spacing w:before="0" w:after="160" w:line="240" w:lineRule="auto"/>
              <w:ind w:right="0" w:firstLine="0"/>
              <w:jc w:val="left"/>
              <w:rPr>
                <w:rFonts w:hint="default" w:ascii="宋体" w:hAnsi="宋体" w:eastAsia="宋体"/>
                <w:color w:val="auto"/>
                <w:w w:val="100"/>
                <w:position w:val="0"/>
                <w:sz w:val="24"/>
                <w:szCs w:val="24"/>
                <w:shd w:val="clear"/>
              </w:rPr>
            </w:pP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2、投标人提供企业所在地税务主管部门出具的纳税情况证明等信用情况（加盖企业所在地税务主管部门公章），无不良信息者每项1分，未提供或有不良信息者不得分，满分1分。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3、投标人具有信用AAA等级证书得2分（以原件为准、未提供原件的不得分）。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业绩</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rPr>
              <w:t>提供2016年以来完成同类项目业绩，单项合同金额在100万以上（含100万），每提供1份得2分，最多得6分（中标通知书、合同及验收报告原件开标时备查，缺项不得分）。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9060" w:type="dxa"/>
            <w:gridSpan w:val="3"/>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三、技术部分（满分50分）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评分标准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对招标文件响应程度</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不满足招标文件技术指标要求和商务条款规定的为无效投标，满足招标文件技术要求的基本分23分；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1、若投标人提供采购清单中序号10“4*3拼接屏”生产厂商的ISO9001质量体系认证得1分（提供加盖生产厂商公章证书复印件，否则不得分）。</w:t>
            </w:r>
          </w:p>
          <w:p>
            <w:pPr>
              <w:numPr>
                <w:ilvl w:val="0"/>
                <w:numId w:val="0"/>
              </w:numPr>
              <w:wordWrap w:val="0"/>
              <w:spacing w:before="0" w:after="160" w:line="240" w:lineRule="auto"/>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2、若所投采购清单中序号1“台式电脑”、序号2“笔记本电脑”生产厂商通过中国合格评定国家认可委员会（CNAS）可靠性实验室认证的每一项得2分，满分4分（提供加盖生产厂商公章证书复印件，否则不得分）。</w:t>
            </w:r>
          </w:p>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若投标人所投采购清单中序号1“台式电脑”、序号2“笔记本电脑”、序号3“3*3拼接屏”、序号10“4*3拼接屏”产品的技术参数高于招标文件要求的每一项产品得2分，满分8分（以加盖生产厂商公章的技术参数证明材料为准，否则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36分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售后服务承诺</w:t>
            </w:r>
          </w:p>
        </w:tc>
        <w:tc>
          <w:tcPr>
            <w:tcW w:w="6601" w:type="dxa"/>
            <w:shd w:val="solid" w:color="FFFFFF" w:fill="auto"/>
            <w:tcMar>
              <w:left w:w="108" w:type="dxa"/>
              <w:right w:w="108" w:type="dxa"/>
            </w:tcMar>
            <w:vAlign w:val="center"/>
          </w:tcPr>
          <w:p>
            <w:pPr>
              <w:numPr>
                <w:ilvl w:val="0"/>
                <w:numId w:val="0"/>
              </w:numPr>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1、核心产品免费质保1年得1分，每增加一年加1分，满分3分。</w:t>
            </w:r>
          </w:p>
          <w:p>
            <w:pPr>
              <w:numPr>
                <w:ilvl w:val="0"/>
                <w:numId w:val="0"/>
              </w:numPr>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2、解决问题时间：以小时为单位（四舍五入法，30分钟及以上按1小时计算），以4小时为起点，基本分1分，每减少1小时，加1分，满分4分。</w:t>
            </w:r>
          </w:p>
          <w:p>
            <w:pPr>
              <w:numPr>
                <w:ilvl w:val="0"/>
                <w:numId w:val="0"/>
              </w:numPr>
              <w:wordWrap w:val="0"/>
              <w:spacing w:before="0" w:after="160" w:line="33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3、为保障用户购买货物、服务的质量，投标人若能提供所投采购清单中序号1“台式电脑”、序号2“笔记本电脑”、序号3“3*3拼接屏”、序号6“控制系统软件”、序号10“4*3拼接屏”产品生产厂家针对该项目的授权书及售后服务承诺函原件的各得1分，满分5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92"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b/>
                <w:color w:val="auto"/>
                <w:position w:val="0"/>
                <w:sz w:val="24"/>
                <w:szCs w:val="24"/>
              </w:rPr>
              <w:t>投标文件规范程度</w:t>
            </w:r>
          </w:p>
        </w:tc>
        <w:tc>
          <w:tcPr>
            <w:tcW w:w="6601" w:type="dxa"/>
            <w:shd w:val="solid" w:color="FFFFFF" w:fill="auto"/>
            <w:tcMar>
              <w:left w:w="108" w:type="dxa"/>
              <w:right w:w="108" w:type="dxa"/>
            </w:tcMar>
            <w:vAlign w:val="center"/>
          </w:tcPr>
          <w:p>
            <w:pPr>
              <w:numPr>
                <w:ilvl w:val="0"/>
                <w:numId w:val="0"/>
              </w:numPr>
              <w:shd w:val="solid" w:color="FFFFFF"/>
              <w:wordWrap w:val="0"/>
              <w:spacing w:before="0" w:after="160" w:line="360" w:lineRule="atLeast"/>
              <w:ind w:right="0" w:firstLine="0"/>
              <w:jc w:val="left"/>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rPr>
              <w:t>投标文件的编制符合招标文件规定、装订整齐、印刷精美得2分；否则不得分。</w:t>
            </w:r>
          </w:p>
        </w:tc>
        <w:tc>
          <w:tcPr>
            <w:tcW w:w="1167" w:type="dxa"/>
            <w:shd w:val="solid" w:color="FFFFFF" w:fill="auto"/>
            <w:tcMar>
              <w:left w:w="108" w:type="dxa"/>
              <w:right w:w="108" w:type="dxa"/>
            </w:tcMar>
            <w:vAlign w:val="center"/>
          </w:tcPr>
          <w:p>
            <w:pPr>
              <w:numPr>
                <w:ilvl w:val="0"/>
                <w:numId w:val="0"/>
              </w:numPr>
              <w:shd w:val="solid" w:color="FFFFFF"/>
              <w:wordWrap w:val="0"/>
              <w:spacing w:before="0" w:after="160" w:line="330" w:lineRule="atLeast"/>
              <w:ind w:right="0" w:firstLine="0"/>
              <w:jc w:val="center"/>
              <w:rPr>
                <w:rFonts w:hint="default" w:ascii="宋体" w:hAnsi="宋体" w:eastAsia="宋体"/>
                <w:color w:val="auto"/>
                <w:position w:val="0"/>
                <w:sz w:val="24"/>
                <w:szCs w:val="24"/>
                <w:shd w:val="clear" w:color="000000" w:fill="FFFFFF"/>
              </w:rPr>
            </w:pPr>
            <w:r>
              <w:rPr>
                <w:rFonts w:hint="default" w:ascii="宋体" w:hAnsi="宋体" w:eastAsia="宋体"/>
                <w:color w:val="auto"/>
                <w:position w:val="0"/>
                <w:sz w:val="24"/>
                <w:szCs w:val="24"/>
                <w:shd w:val="clear" w:color="000000" w:fill="FFFFFF"/>
              </w:rPr>
              <w:t>2</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hint="eastAsia"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jc w:val="both"/>
        <w:rPr>
          <w:rFonts w:cs="黑体" w:asciiTheme="minorEastAsia" w:hAnsiTheme="minorEastAsia"/>
          <w:b/>
          <w:bCs/>
          <w:color w:val="auto"/>
          <w:sz w:val="44"/>
          <w:szCs w:val="44"/>
          <w:lang w:val="zh-CN"/>
        </w:rPr>
      </w:pPr>
    </w:p>
    <w:p>
      <w:pPr>
        <w:pStyle w:val="13"/>
        <w:spacing w:line="360" w:lineRule="auto"/>
        <w:jc w:val="center"/>
        <w:rPr>
          <w:rFonts w:hint="eastAsia" w:asciiTheme="majorEastAsia" w:hAnsiTheme="majorEastAsia" w:eastAsiaTheme="majorEastAsia"/>
          <w:b/>
          <w:snapToGrid w:val="0"/>
          <w:color w:val="auto"/>
          <w:kern w:val="0"/>
          <w:sz w:val="36"/>
          <w:szCs w:val="36"/>
          <w:lang w:val="zh-CN"/>
        </w:rPr>
      </w:pPr>
      <w:bookmarkStart w:id="1" w:name="_Toc174185203"/>
      <w:bookmarkStart w:id="2" w:name="_Toc184023138"/>
      <w:bookmarkStart w:id="3" w:name="_Toc186274126"/>
      <w:r>
        <w:rPr>
          <w:rFonts w:hint="eastAsia" w:asciiTheme="majorEastAsia" w:hAnsiTheme="majorEastAsia" w:eastAsiaTheme="majorEastAsia"/>
          <w:b/>
          <w:snapToGrid w:val="0"/>
          <w:color w:val="auto"/>
          <w:kern w:val="0"/>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cs="宋体" w:asciiTheme="minorEastAsia" w:hAnsiTheme="minorEastAsia"/>
                <w:color w:val="auto"/>
                <w:kern w:val="0"/>
                <w:szCs w:val="24"/>
              </w:rPr>
              <w:t>中国国家认证认可监督管理委员会官网产品认证证书打印</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99"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both"/>
        <w:rPr>
          <w:rFonts w:hint="eastAsia"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abstractNum w:abstractNumId="5">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3EB046C"/>
    <w:rsid w:val="04A24552"/>
    <w:rsid w:val="062062C8"/>
    <w:rsid w:val="08055F14"/>
    <w:rsid w:val="08BF3D2D"/>
    <w:rsid w:val="0B7C7CF7"/>
    <w:rsid w:val="0BAC6C87"/>
    <w:rsid w:val="0BF5105E"/>
    <w:rsid w:val="0DF64AB6"/>
    <w:rsid w:val="1372184A"/>
    <w:rsid w:val="14011BAC"/>
    <w:rsid w:val="150E2ADE"/>
    <w:rsid w:val="1B6102E9"/>
    <w:rsid w:val="1B7917E9"/>
    <w:rsid w:val="1C5813BA"/>
    <w:rsid w:val="22A37804"/>
    <w:rsid w:val="23454469"/>
    <w:rsid w:val="257B4DEE"/>
    <w:rsid w:val="25BB58BB"/>
    <w:rsid w:val="26043D30"/>
    <w:rsid w:val="26261232"/>
    <w:rsid w:val="266F043A"/>
    <w:rsid w:val="27883E5C"/>
    <w:rsid w:val="28D06FE3"/>
    <w:rsid w:val="321171F9"/>
    <w:rsid w:val="32171103"/>
    <w:rsid w:val="335D147F"/>
    <w:rsid w:val="349E3DBD"/>
    <w:rsid w:val="3BEA5F4D"/>
    <w:rsid w:val="3C0939CC"/>
    <w:rsid w:val="3D594D89"/>
    <w:rsid w:val="40BA6DB1"/>
    <w:rsid w:val="413F1E16"/>
    <w:rsid w:val="4292131B"/>
    <w:rsid w:val="42D53314"/>
    <w:rsid w:val="435A0BEC"/>
    <w:rsid w:val="4392038F"/>
    <w:rsid w:val="49637553"/>
    <w:rsid w:val="4C9A5A81"/>
    <w:rsid w:val="4CBE2DCE"/>
    <w:rsid w:val="4D9A296B"/>
    <w:rsid w:val="4DE44DC4"/>
    <w:rsid w:val="4DF7471B"/>
    <w:rsid w:val="5125750D"/>
    <w:rsid w:val="536E4644"/>
    <w:rsid w:val="5964454D"/>
    <w:rsid w:val="5D5C73A5"/>
    <w:rsid w:val="5D69733E"/>
    <w:rsid w:val="5ED606D1"/>
    <w:rsid w:val="657D653F"/>
    <w:rsid w:val="65CB3135"/>
    <w:rsid w:val="66A3561D"/>
    <w:rsid w:val="688D482B"/>
    <w:rsid w:val="69687641"/>
    <w:rsid w:val="69B77295"/>
    <w:rsid w:val="6D180B3A"/>
    <w:rsid w:val="6F583D94"/>
    <w:rsid w:val="6F587916"/>
    <w:rsid w:val="6F5E17FF"/>
    <w:rsid w:val="720B7D3B"/>
    <w:rsid w:val="721A7B6D"/>
    <w:rsid w:val="74A0687E"/>
    <w:rsid w:val="7586176C"/>
    <w:rsid w:val="781349E0"/>
    <w:rsid w:val="7BA432AD"/>
    <w:rsid w:val="7F45248A"/>
    <w:rsid w:val="7FC26F1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rPr>
      <w:rFonts w:ascii="Calibri" w:hAnsi="Calibri" w:eastAsia="宋体" w:cs="Times New Roman"/>
      <w:sz w:val="24"/>
      <w:szCs w:val="24"/>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aaa</cp:lastModifiedBy>
  <cp:lastPrinted>2018-04-02T08:24:00Z</cp:lastPrinted>
  <dcterms:modified xsi:type="dcterms:W3CDTF">2018-04-08T02:08:13Z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