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许昌经济技术开发区公安消防大队“举高喷射消防车”项目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隶书" w:eastAsia="隶书" w:hAnsiTheme="majorEastAsia" w:cstheme="majorEastAsia"/>
          <w:bCs/>
          <w:color w:val="000000"/>
          <w:w w:val="90"/>
          <w:sz w:val="120"/>
          <w:szCs w:val="120"/>
        </w:rPr>
      </w:pPr>
      <w:r>
        <w:rPr>
          <w:rFonts w:hint="eastAsia" w:ascii="隶书" w:eastAsia="隶书" w:hAnsi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项目编号：JZFCG-G2018005-2号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采购单位：许昌经济技术开发区公安消防大队</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340"/>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440" w:lineRule="exact"/>
        <w:ind w:firstLine="424"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ascii="宋体" w:hAnsi="宋体" w:cs="宋体"/>
          <w:shd w:val="clear" w:color="auto" w:fill="FFFFFF"/>
        </w:rPr>
        <w:t>举高喷射消防车</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（二）项目编号：JZFCG-G2018005-2号    </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ascii="宋体" w:hAnsi="宋体" w:cs="宋体"/>
          <w:color w:val="000000"/>
          <w:kern w:val="0"/>
        </w:rPr>
        <w:t>公开招标</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ascii="宋体" w:hAnsi="宋体" w:cs="宋体"/>
          <w:shd w:val="clear" w:color="auto" w:fill="FFFFFF"/>
        </w:rPr>
        <w:t>举高喷射消防车</w:t>
      </w:r>
      <w:r>
        <w:rPr>
          <w:rFonts w:hint="eastAsia" w:cs="仿宋_GB2312" w:asciiTheme="minorEastAsia" w:hAnsiTheme="minorEastAsia" w:eastAsiaTheme="minorEastAsia"/>
          <w:color w:val="000000"/>
          <w:shd w:val="clear" w:color="auto" w:fill="FFFFFF"/>
        </w:rPr>
        <w:t>一台，</w:t>
      </w:r>
      <w:r>
        <w:rPr>
          <w:rFonts w:hint="eastAsia" w:cs="仿宋_GB2312" w:asciiTheme="minorEastAsia" w:hAnsiTheme="minorEastAsia"/>
        </w:rPr>
        <w:t>随车器具一批</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（五）预算金额：150万元。最高限价：150万元。</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w:t>
      </w:r>
      <w:r>
        <w:rPr>
          <w:rFonts w:hint="eastAsia" w:ascii="宋体" w:hAnsi="宋体" w:cs="宋体"/>
          <w:shd w:val="clear" w:color="auto" w:fill="FFFFFF"/>
        </w:rPr>
        <w:t>合同签订后90天内交货。</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ascii="宋体" w:hAnsi="宋体" w:cs="宋体"/>
          <w:color w:val="000000"/>
          <w:kern w:val="0"/>
        </w:rPr>
        <w:t>许昌经济技术开发区公安消防大队</w:t>
      </w:r>
      <w:r>
        <w:rPr>
          <w:rFonts w:hint="eastAsia" w:ascii="宋体" w:hAnsi="宋体" w:cs="宋体"/>
          <w:shd w:val="clear" w:color="auto" w:fill="FFFFFF"/>
        </w:rPr>
        <w:t>。</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（三）不接受联合体投标。</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（一）投标截止及开标时间：2018年4月</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日9时30分（北京时间），逾期提交或不符合规定的投标文件不予接受。</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（二）开标地点：许昌市公共资源交易中心（龙兴路与竹林路交汇处公共资源大厦）三楼开标3室。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ascii="宋体" w:hAnsi="宋体" w:cs="宋体"/>
          <w:kern w:val="0"/>
        </w:rPr>
        <w:t>许昌经济技术开发区公安消防大队</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ascii="宋体" w:hAnsi="宋体" w:cs="宋体"/>
          <w:kern w:val="0"/>
        </w:rPr>
        <w:t>许昌市工农路与瑞昌路交叉口</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ascii="宋体" w:hAnsi="宋体" w:cs="宋体"/>
          <w:kern w:val="0"/>
        </w:rPr>
        <w:t>王景陶</w:t>
      </w:r>
      <w:r>
        <w:rPr>
          <w:rFonts w:hint="eastAsia" w:cs="仿宋_GB2312" w:asciiTheme="minorEastAsia" w:hAnsiTheme="minorEastAsia" w:eastAsiaTheme="minorEastAsia"/>
          <w:color w:val="000000"/>
        </w:rPr>
        <w:t xml:space="preserve">          联系电话：</w:t>
      </w:r>
      <w:r>
        <w:rPr>
          <w:rFonts w:hint="eastAsia" w:ascii="宋体" w:hAnsi="宋体" w:cs="宋体"/>
          <w:kern w:val="0"/>
        </w:rPr>
        <w:t>15038913726</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ascii="宋体" w:hAnsi="宋体" w:cs="宋体"/>
          <w:kern w:val="0"/>
        </w:rPr>
        <w:t>许昌光大电子商务技术服务有限公司</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fldChar w:fldCharType="begin"/>
      </w:r>
      <w:r>
        <w:instrText xml:space="preserve"> HYPERLINK "mailto:xcgdzfcg@126.com；地址：许昌市莲城大道亨源通世广场1号楼401" </w:instrText>
      </w:r>
      <w:r>
        <w:fldChar w:fldCharType="separate"/>
      </w:r>
      <w:r>
        <w:rPr>
          <w:rFonts w:hint="eastAsia" w:ascii="宋体" w:hAnsi="宋体" w:cs="宋体"/>
          <w:kern w:val="0"/>
        </w:rPr>
        <w:t>许昌市莲城大道亨源通世纪广场1号楼401</w:t>
      </w:r>
      <w:r>
        <w:rPr>
          <w:rFonts w:hint="eastAsia" w:ascii="宋体" w:hAnsi="宋体" w:cs="宋体"/>
          <w:kern w:val="0"/>
        </w:rPr>
        <w:fldChar w:fldCharType="end"/>
      </w:r>
      <w:r>
        <w:rPr>
          <w:rFonts w:hint="eastAsia" w:ascii="宋体" w:hAnsi="宋体" w:cs="宋体"/>
          <w:kern w:val="0"/>
        </w:rPr>
        <w:t>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联系人：刘艳艳           联系电话：</w:t>
      </w:r>
      <w:r>
        <w:rPr>
          <w:rFonts w:hint="eastAsia" w:ascii="宋体" w:hAnsi="宋体" w:cs="宋体"/>
          <w:kern w:val="0"/>
        </w:rPr>
        <w:t>13323993003</w:t>
      </w:r>
    </w:p>
    <w:p>
      <w:pPr>
        <w:spacing w:line="440" w:lineRule="exact"/>
        <w:rPr>
          <w:rFonts w:asciiTheme="minorEastAsia" w:hAnsiTheme="minorEastAsia"/>
          <w:sz w:val="24"/>
          <w:szCs w:val="24"/>
        </w:rPr>
      </w:pPr>
    </w:p>
    <w:p>
      <w:pPr>
        <w:spacing w:line="440" w:lineRule="exact"/>
        <w:rPr>
          <w:rFonts w:cs="仿宋_GB2312" w:asciiTheme="minorEastAsia" w:hAnsiTheme="minorEastAsia"/>
          <w:color w:val="000000"/>
          <w:sz w:val="24"/>
          <w:szCs w:val="24"/>
          <w:shd w:val="clear" w:color="auto" w:fill="FFFFFF"/>
        </w:rPr>
      </w:pPr>
    </w:p>
    <w:p>
      <w:pPr>
        <w:autoSpaceDE w:val="0"/>
        <w:autoSpaceDN w:val="0"/>
        <w:adjustRightInd w:val="0"/>
        <w:spacing w:line="440" w:lineRule="exact"/>
        <w:ind w:firstLine="4395"/>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许昌经济技术开发区公安消防大队</w:t>
      </w:r>
    </w:p>
    <w:p>
      <w:pPr>
        <w:autoSpaceDE w:val="0"/>
        <w:autoSpaceDN w:val="0"/>
        <w:adjustRightInd w:val="0"/>
        <w:spacing w:line="440" w:lineRule="exact"/>
        <w:ind w:firstLine="4992" w:firstLineChars="208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二〇一八年</w:t>
      </w:r>
      <w:r>
        <w:rPr>
          <w:rFonts w:hint="eastAsia" w:cs="仿宋_GB2312" w:asciiTheme="minorEastAsia" w:hAnsiTheme="minorEastAsia"/>
          <w:color w:val="000000"/>
          <w:sz w:val="24"/>
          <w:szCs w:val="24"/>
          <w:lang w:eastAsia="zh-CN"/>
        </w:rPr>
        <w:t>四</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三</w:t>
      </w:r>
      <w:r>
        <w:rPr>
          <w:rFonts w:hint="eastAsia" w:cs="仿宋_GB2312" w:asciiTheme="minorEastAsia" w:hAnsiTheme="minorEastAsia"/>
          <w:color w:val="000000"/>
          <w:sz w:val="24"/>
          <w:szCs w:val="24"/>
        </w:rPr>
        <w:t>日</w:t>
      </w:r>
    </w:p>
    <w:p>
      <w:pPr>
        <w:spacing w:line="360" w:lineRule="auto"/>
        <w:rPr>
          <w:rFonts w:hint="eastAsia" w:ascii="宋体" w:hAnsi="宋体" w:eastAsia="宋体" w:cs="宋体"/>
          <w:b/>
          <w:sz w:val="28"/>
          <w:szCs w:val="28"/>
        </w:rPr>
      </w:pPr>
      <w:r>
        <w:rPr>
          <w:rFonts w:hint="eastAsia" w:ascii="宋体" w:hAnsi="宋体" w:eastAsia="宋体" w:cs="宋体"/>
          <w:b/>
          <w:sz w:val="32"/>
          <w:szCs w:val="32"/>
        </w:rPr>
        <w:t>温馨提示</w:t>
      </w:r>
      <w:r>
        <w:rPr>
          <w:rFonts w:hint="eastAsia" w:ascii="宋体" w:hAnsi="宋体" w:eastAsia="宋体" w:cs="宋体"/>
          <w:b/>
          <w:sz w:val="28"/>
          <w:szCs w:val="28"/>
        </w:rPr>
        <w:t>：</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2.电子文件下载、制作、提交期间和开标（</w:t>
      </w:r>
      <w:r>
        <w:rPr>
          <w:rFonts w:hint="eastAsia" w:ascii="宋体" w:hAnsi="宋体" w:eastAsia="宋体" w:cs="宋体"/>
          <w:sz w:val="24"/>
          <w:szCs w:val="24"/>
        </w:rPr>
        <w:t>电子投标文件的解密</w:t>
      </w:r>
      <w:r>
        <w:rPr>
          <w:rFonts w:hint="eastAsia" w:ascii="宋体" w:hAnsi="宋体" w:eastAsia="宋体" w:cs="宋体"/>
          <w:b/>
          <w:color w:val="000000"/>
          <w:sz w:val="24"/>
          <w:szCs w:val="24"/>
        </w:rPr>
        <w:t>）环节，投标人须使用CA数字证书（证书须在有效期内）。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3.电子投标文件的制作</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3.1 投标人登录《全国公共资源交易平台(河南省▪许昌市)》公共资源交易系统（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rPr>
        <w:t>http://221.14.6.70:8088/ggzy/</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4.加密电子投标文件的提交</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4.1加密电子投标文件应在招标文件规定的投标截止时间（开标时间）之前成功提交至《全国公共资源交易平台(河南省▪许昌市)》公共资源交易系统（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rPr>
        <w:t>http://221.14.6.70:8088/ggzy/</w:t>
      </w:r>
      <w:r>
        <w:rPr>
          <w:rStyle w:val="23"/>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5.评标依据</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5.2全流程电子化交易如因系统异常情况无法完成，将以人工方式进行。评标委员会以纸质投标文件为依据评标。</w:t>
      </w:r>
    </w:p>
    <w:p>
      <w:pPr>
        <w:widowControl/>
        <w:jc w:val="left"/>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ind w:firstLine="3253" w:firstLineChars="9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w:t>
      </w:r>
      <w:r>
        <w:rPr>
          <w:rFonts w:hint="eastAsia" w:cs="微软雅黑" w:asciiTheme="minorEastAsia" w:hAnsiTheme="minorEastAsia"/>
          <w:b/>
          <w:sz w:val="24"/>
          <w:szCs w:val="24"/>
        </w:rPr>
        <w:t>货物需求</w:t>
      </w:r>
    </w:p>
    <w:tbl>
      <w:tblPr>
        <w:tblStyle w:val="24"/>
        <w:tblW w:w="1015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20"/>
        <w:gridCol w:w="6360"/>
        <w:gridCol w:w="510"/>
        <w:gridCol w:w="5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序号</w:t>
            </w:r>
          </w:p>
        </w:tc>
        <w:tc>
          <w:tcPr>
            <w:tcW w:w="102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货物名称</w:t>
            </w:r>
          </w:p>
        </w:tc>
        <w:tc>
          <w:tcPr>
            <w:tcW w:w="6360" w:type="dxa"/>
            <w:vAlign w:val="center"/>
          </w:tcPr>
          <w:p>
            <w:pPr>
              <w:pStyle w:val="2"/>
              <w:spacing w:after="0"/>
              <w:ind w:firstLine="0" w:firstLineChars="0"/>
              <w:jc w:val="center"/>
              <w:rPr>
                <w:rFonts w:hAnsi="宋体" w:cs="宋体"/>
                <w:b/>
                <w:sz w:val="21"/>
                <w:szCs w:val="21"/>
              </w:rPr>
            </w:pPr>
            <w:r>
              <w:rPr>
                <w:rFonts w:hint="eastAsia" w:hAnsi="宋体" w:cs="宋体"/>
                <w:b/>
                <w:sz w:val="21"/>
                <w:szCs w:val="21"/>
              </w:rPr>
              <w:t>技术参数及功能要求</w:t>
            </w:r>
          </w:p>
        </w:tc>
        <w:tc>
          <w:tcPr>
            <w:tcW w:w="510" w:type="dxa"/>
            <w:vAlign w:val="center"/>
          </w:tcPr>
          <w:p>
            <w:pPr>
              <w:pStyle w:val="2"/>
              <w:spacing w:after="0"/>
              <w:ind w:firstLine="0" w:firstLineChars="0"/>
              <w:jc w:val="center"/>
              <w:rPr>
                <w:rFonts w:hAnsi="宋体" w:cs="宋体"/>
                <w:b/>
                <w:color w:val="auto"/>
                <w:sz w:val="21"/>
                <w:szCs w:val="21"/>
              </w:rPr>
            </w:pPr>
            <w:r>
              <w:rPr>
                <w:rFonts w:hint="eastAsia" w:hAnsi="宋体" w:cs="宋体"/>
                <w:b/>
                <w:color w:val="auto"/>
                <w:sz w:val="21"/>
                <w:szCs w:val="21"/>
              </w:rPr>
              <w:t>单位</w:t>
            </w:r>
          </w:p>
        </w:tc>
        <w:tc>
          <w:tcPr>
            <w:tcW w:w="510" w:type="dxa"/>
            <w:vAlign w:val="center"/>
          </w:tcPr>
          <w:p>
            <w:pPr>
              <w:pStyle w:val="2"/>
              <w:spacing w:after="0"/>
              <w:ind w:firstLine="0" w:firstLineChars="0"/>
              <w:jc w:val="center"/>
              <w:rPr>
                <w:rFonts w:hAnsi="宋体" w:cs="宋体"/>
                <w:b/>
                <w:color w:val="auto"/>
                <w:sz w:val="21"/>
                <w:szCs w:val="21"/>
              </w:rPr>
            </w:pPr>
            <w:r>
              <w:rPr>
                <w:rFonts w:hint="eastAsia" w:hAnsi="宋体" w:cs="宋体"/>
                <w:b/>
                <w:color w:val="auto"/>
                <w:sz w:val="21"/>
                <w:szCs w:val="21"/>
              </w:rPr>
              <w:t>数量</w:t>
            </w:r>
          </w:p>
        </w:tc>
        <w:tc>
          <w:tcPr>
            <w:tcW w:w="1095" w:type="dxa"/>
            <w:vAlign w:val="center"/>
          </w:tcPr>
          <w:p>
            <w:pPr>
              <w:widowControl/>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是否为</w:t>
            </w:r>
          </w:p>
          <w:p>
            <w:pPr>
              <w:widowControl/>
              <w:contextualSpacing/>
              <w:jc w:val="center"/>
              <w:rPr>
                <w:rFonts w:ascii="宋体" w:hAnsi="宋体" w:eastAsia="宋体" w:cs="宋体"/>
                <w:b/>
                <w:color w:val="auto"/>
                <w:szCs w:val="21"/>
              </w:rPr>
            </w:pPr>
            <w:r>
              <w:rPr>
                <w:rFonts w:hint="eastAsia" w:ascii="宋体" w:hAnsi="宋体" w:eastAsia="宋体" w:cs="宋体"/>
                <w:b/>
                <w:color w:val="auto"/>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pStyle w:val="2"/>
              <w:spacing w:after="0"/>
              <w:ind w:firstLine="0" w:firstLineChars="0"/>
              <w:jc w:val="center"/>
              <w:rPr>
                <w:rFonts w:hAnsi="宋体" w:cs="宋体"/>
                <w:bCs/>
                <w:sz w:val="21"/>
                <w:szCs w:val="21"/>
              </w:rPr>
            </w:pPr>
            <w:r>
              <w:rPr>
                <w:rFonts w:hint="eastAsia" w:hAnsi="宋体" w:cs="宋体"/>
                <w:bCs/>
                <w:sz w:val="21"/>
                <w:szCs w:val="21"/>
              </w:rPr>
              <w:t>1</w:t>
            </w:r>
          </w:p>
        </w:tc>
        <w:tc>
          <w:tcPr>
            <w:tcW w:w="1020" w:type="dxa"/>
            <w:vAlign w:val="center"/>
          </w:tcPr>
          <w:p>
            <w:pPr>
              <w:pStyle w:val="2"/>
              <w:spacing w:after="0"/>
              <w:ind w:firstLine="0" w:firstLineChars="0"/>
              <w:jc w:val="center"/>
              <w:rPr>
                <w:rFonts w:hAnsi="宋体" w:cs="宋体"/>
                <w:bCs/>
                <w:sz w:val="21"/>
                <w:szCs w:val="21"/>
              </w:rPr>
            </w:pPr>
            <w:r>
              <w:rPr>
                <w:rFonts w:hint="eastAsia" w:hAnsi="宋体" w:cs="宋体"/>
                <w:bCs/>
                <w:sz w:val="21"/>
                <w:szCs w:val="21"/>
              </w:rPr>
              <w:t>举高喷射消防车</w:t>
            </w:r>
          </w:p>
        </w:tc>
        <w:tc>
          <w:tcPr>
            <w:tcW w:w="6360" w:type="dxa"/>
          </w:tcPr>
          <w:p>
            <w:pPr>
              <w:pStyle w:val="2"/>
              <w:spacing w:after="0" w:line="240" w:lineRule="atLeast"/>
              <w:ind w:left="158" w:leftChars="75" w:firstLine="0" w:firstLineChars="0"/>
              <w:rPr>
                <w:rFonts w:hAnsi="宋体" w:cs="宋体"/>
                <w:sz w:val="21"/>
                <w:szCs w:val="21"/>
              </w:rPr>
            </w:pPr>
            <w:r>
              <w:rPr>
                <w:rFonts w:hint="eastAsia" w:hAnsi="宋体" w:cs="宋体"/>
                <w:sz w:val="21"/>
                <w:szCs w:val="21"/>
              </w:rPr>
              <w:t>一、发动机：</w:t>
            </w:r>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☆驱动型式：6×4；轴距：4600+1350 mm；轮胎数：10个，钢丝胎；☆燃料种类：柴油；功率：327 kW（1900r/min）；☆排量：10518ml；排放标准：GB17691-2005国Ⅴ GB3847-2005。</w:t>
            </w:r>
          </w:p>
          <w:p>
            <w:pPr>
              <w:pStyle w:val="2"/>
              <w:spacing w:after="0" w:line="240" w:lineRule="atLeast"/>
              <w:ind w:left="158" w:leftChars="75" w:firstLine="0" w:firstLineChars="0"/>
              <w:rPr>
                <w:rFonts w:hAnsi="宋体" w:cs="宋体"/>
                <w:sz w:val="21"/>
                <w:szCs w:val="21"/>
              </w:rPr>
            </w:pPr>
            <w:bookmarkStart w:id="0" w:name="_Toc482883707"/>
            <w:r>
              <w:rPr>
                <w:rFonts w:hint="eastAsia" w:hAnsi="宋体" w:cs="宋体"/>
                <w:sz w:val="21"/>
                <w:szCs w:val="21"/>
              </w:rPr>
              <w:t>二、驾驶室</w:t>
            </w:r>
            <w:bookmarkEnd w:id="0"/>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驾驶室：单排驾驶室，平头、标准顶、双开门；驾驶室内设备：除原车设备外，加装附加电源总开关、取力器控制开关、及指示灯；警报器、2个圆形回转警灯开关、标志灯、指示灯、示廓灯控制开关；座位设置：1+1，合计2人；</w:t>
            </w:r>
            <w:bookmarkStart w:id="1" w:name="_Toc318622260"/>
            <w:bookmarkStart w:id="2" w:name="_Toc318440019"/>
            <w:bookmarkStart w:id="3" w:name="_Toc318812718"/>
            <w:r>
              <w:rPr>
                <w:rFonts w:hint="eastAsia" w:hAnsi="宋体" w:cs="宋体"/>
                <w:sz w:val="21"/>
                <w:szCs w:val="21"/>
              </w:rPr>
              <w:t>倒车监视器:驾驶室安装一液晶显示屏,车尾部安装一倒车摄像头,倒车时,可监视车尾画面。</w:t>
            </w:r>
          </w:p>
          <w:bookmarkEnd w:id="1"/>
          <w:bookmarkEnd w:id="2"/>
          <w:bookmarkEnd w:id="3"/>
          <w:p>
            <w:pPr>
              <w:pStyle w:val="2"/>
              <w:spacing w:after="0" w:line="240" w:lineRule="atLeast"/>
              <w:ind w:left="17" w:leftChars="8" w:firstLine="201" w:firstLineChars="96"/>
              <w:rPr>
                <w:rFonts w:hAnsi="宋体" w:cs="宋体"/>
                <w:sz w:val="21"/>
                <w:szCs w:val="21"/>
              </w:rPr>
            </w:pPr>
            <w:bookmarkStart w:id="4" w:name="_Toc318812716"/>
            <w:bookmarkStart w:id="5" w:name="_Toc482883711"/>
            <w:bookmarkStart w:id="6" w:name="_Toc318440016"/>
            <w:bookmarkStart w:id="7" w:name="_Toc318622258"/>
            <w:r>
              <w:rPr>
                <w:rFonts w:hint="eastAsia" w:hAnsi="宋体" w:cs="宋体"/>
                <w:sz w:val="21"/>
                <w:szCs w:val="21"/>
              </w:rPr>
              <w:t>三、载液罐</w:t>
            </w:r>
            <w:bookmarkEnd w:id="4"/>
            <w:bookmarkEnd w:id="5"/>
            <w:bookmarkEnd w:id="6"/>
            <w:bookmarkEnd w:id="7"/>
            <w:bookmarkStart w:id="8" w:name="_Toc482883712"/>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1、水罐与车体连接方式为弹性连接，能承受底盘的扭曲。</w:t>
            </w:r>
            <w:bookmarkEnd w:id="8"/>
          </w:p>
          <w:p>
            <w:pPr>
              <w:pStyle w:val="2"/>
              <w:spacing w:after="0" w:line="240" w:lineRule="atLeast"/>
              <w:ind w:left="17" w:leftChars="8" w:firstLine="201" w:firstLineChars="96"/>
              <w:rPr>
                <w:rFonts w:hAnsi="宋体" w:cs="宋体"/>
                <w:sz w:val="21"/>
                <w:szCs w:val="21"/>
              </w:rPr>
            </w:pPr>
            <w:r>
              <w:rPr>
                <w:rFonts w:hint="eastAsia" w:hAnsi="宋体" w:cs="宋体"/>
                <w:sz w:val="21"/>
                <w:szCs w:val="21"/>
              </w:rPr>
              <w:t>☆容量: 5000Kg。材质:水罐采用优质碳钢板制成，设计厚度保证强度和刚度。结构：水罐内部有控制横向和纵向力的防荡板。人孔：设不小于DN450人孔1个，带有快速锁定/开启、自动泄压装置。溢流口:水罐顶部还设有合适直径的溢流管，能够起到在加注液体时预防冲压的作用。液位指示器:罐顶设有不锈钢液位指示装置,用于指示罐内液体位置;排水口：设1 个水罐排水口，并配球阀。补水口：分别设在车身左右两侧，可连接消防栓向水罐添加水。接DN 65内扣式接口,每边2只, 单侧汇管≥DN80。后进水口：水罐到水泵的进水管,配置阀门。</w:t>
            </w:r>
          </w:p>
          <w:p>
            <w:pPr>
              <w:pStyle w:val="2"/>
              <w:spacing w:after="0" w:line="240" w:lineRule="atLeast"/>
              <w:ind w:left="158" w:leftChars="75" w:firstLine="0" w:firstLineChars="0"/>
              <w:rPr>
                <w:rFonts w:hAnsi="宋体" w:cs="宋体"/>
                <w:sz w:val="21"/>
                <w:szCs w:val="21"/>
              </w:rPr>
            </w:pPr>
            <w:bookmarkStart w:id="9" w:name="_Toc482883714"/>
            <w:r>
              <w:rPr>
                <w:rFonts w:hint="eastAsia" w:hAnsi="宋体" w:cs="宋体"/>
                <w:sz w:val="21"/>
                <w:szCs w:val="21"/>
              </w:rPr>
              <w:t>2、泡沫罐</w:t>
            </w:r>
            <w:bookmarkEnd w:id="9"/>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容量: 3000Kg。材质: 优质不锈钢焊接而成，设计厚度保证强度和刚度。人孔：设不小于DN450人孔1个,带有快速锁定/开启、自动泄压装置。呼吸器:罐顶部设有呼吸阀，能够起到在加注液体时预防冲压的作用，同时可以消除在排放罐中液体时可能产生的真空。液位指示器:罐顶设有不锈钢液位指示装置,用于指示罐内液体位置;排液口：设1个泡沫罐排液口。泡沫补液管：设一根吸液管至泡沫比例混合系统，用于外吸泡沫用。</w:t>
            </w:r>
          </w:p>
          <w:p>
            <w:pPr>
              <w:pStyle w:val="2"/>
              <w:spacing w:after="0" w:line="240" w:lineRule="atLeast"/>
              <w:ind w:left="158" w:leftChars="75" w:firstLine="0" w:firstLineChars="0"/>
              <w:rPr>
                <w:rFonts w:hAnsi="宋体" w:cs="宋体"/>
                <w:sz w:val="21"/>
                <w:szCs w:val="21"/>
              </w:rPr>
            </w:pPr>
            <w:bookmarkStart w:id="10" w:name="_Toc482883715"/>
            <w:r>
              <w:rPr>
                <w:rFonts w:hint="eastAsia" w:hAnsi="宋体" w:cs="宋体"/>
                <w:sz w:val="21"/>
                <w:szCs w:val="21"/>
              </w:rPr>
              <w:t>四、消防泵</w:t>
            </w:r>
            <w:bookmarkEnd w:id="10"/>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☆最大流量：100L/s；额定压力：1.0Mpa；☆最大吸深 (m):7；安装形式：中置式</w:t>
            </w:r>
            <w:bookmarkStart w:id="11" w:name="_Toc482883716"/>
            <w:r>
              <w:rPr>
                <w:rFonts w:hint="eastAsia" w:hAnsi="宋体" w:cs="宋体"/>
                <w:sz w:val="21"/>
                <w:szCs w:val="21"/>
              </w:rPr>
              <w:t>。</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五、消防炮</w:t>
            </w:r>
            <w:bookmarkEnd w:id="11"/>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电动遥控消防炮；安装位置：折叠臂架头部；控制方式：电控+无线遥控；类别：水-泡沫联用电控消防炮；喷射压力：≤1.0Mpa；☆流量：≥64L/S；☆射程：水≥75米 泡沫：≥65米；☆水平旋转及俯仰角度分别为： 0～270°，-30°- +70°。</w:t>
            </w:r>
          </w:p>
          <w:p>
            <w:pPr>
              <w:pStyle w:val="2"/>
              <w:spacing w:after="0" w:line="240" w:lineRule="atLeast"/>
              <w:ind w:left="17" w:leftChars="8" w:firstLine="199" w:firstLineChars="95"/>
              <w:rPr>
                <w:rFonts w:hAnsi="宋体" w:cs="宋体"/>
                <w:sz w:val="21"/>
                <w:szCs w:val="21"/>
              </w:rPr>
            </w:pPr>
            <w:bookmarkStart w:id="12" w:name="_Toc318622267"/>
            <w:bookmarkStart w:id="13" w:name="_Toc482883718"/>
            <w:bookmarkStart w:id="14" w:name="_Toc318812725"/>
            <w:bookmarkStart w:id="15" w:name="_Toc318440026"/>
            <w:r>
              <w:rPr>
                <w:rFonts w:hint="eastAsia" w:hAnsi="宋体" w:cs="宋体"/>
                <w:sz w:val="21"/>
                <w:szCs w:val="21"/>
              </w:rPr>
              <w:t>六、泡沫比例混合器</w:t>
            </w:r>
            <w:bookmarkEnd w:id="12"/>
            <w:bookmarkEnd w:id="13"/>
            <w:bookmarkEnd w:id="14"/>
            <w:bookmarkEnd w:id="15"/>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与泵流量匹配的泡沫比例混合系统。</w:t>
            </w:r>
          </w:p>
          <w:p>
            <w:pPr>
              <w:pStyle w:val="2"/>
              <w:spacing w:after="0" w:line="240" w:lineRule="atLeast"/>
              <w:ind w:left="17" w:leftChars="8" w:firstLine="199" w:firstLineChars="95"/>
              <w:rPr>
                <w:rFonts w:hAnsi="宋体" w:cs="宋体"/>
                <w:sz w:val="21"/>
                <w:szCs w:val="21"/>
              </w:rPr>
            </w:pPr>
            <w:r>
              <w:rPr>
                <w:rFonts w:hint="eastAsia" w:hAnsi="宋体" w:cs="宋体"/>
                <w:sz w:val="21"/>
                <w:szCs w:val="21"/>
              </w:rPr>
              <w:t xml:space="preserve">适用：蛋白泡沫液、水成膜泡沫液、抗溶泡沫液。 材质: 阀芯由不锈钢材料制成。 </w:t>
            </w:r>
          </w:p>
          <w:p>
            <w:pPr>
              <w:pStyle w:val="2"/>
              <w:spacing w:after="0" w:line="240" w:lineRule="atLeast"/>
              <w:ind w:left="158" w:leftChars="75" w:firstLine="0" w:firstLineChars="0"/>
              <w:rPr>
                <w:rFonts w:hAnsi="宋体" w:cs="宋体"/>
                <w:sz w:val="21"/>
                <w:szCs w:val="21"/>
              </w:rPr>
            </w:pPr>
            <w:bookmarkStart w:id="16" w:name="_Toc482883719"/>
            <w:r>
              <w:rPr>
                <w:rFonts w:hint="eastAsia" w:hAnsi="宋体" w:cs="宋体"/>
                <w:sz w:val="21"/>
                <w:szCs w:val="21"/>
              </w:rPr>
              <w:t>七、 副车架及支腿</w:t>
            </w:r>
            <w:bookmarkEnd w:id="16"/>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材质：高强度合金结构钢；结构：副车架是由钢板经冷弯后焊接而成的大箱式结构，支腿采用H型结构四边形截面，外套筒由冷拉无缝型材制作，以保证支撑机构的安全、可靠性。</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支腿跨距（纵×横）：5460 mm×5060 mm</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调平方式：自动调平+手动应急调平</w:t>
            </w:r>
            <w:bookmarkStart w:id="17" w:name="_Toc482883720"/>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八、转台</w:t>
            </w:r>
            <w:bookmarkEnd w:id="17"/>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转台材质：</w:t>
            </w:r>
            <w:r>
              <w:rPr>
                <w:rFonts w:hint="eastAsia" w:hAnsi="宋体" w:cs="宋体"/>
                <w:sz w:val="21"/>
                <w:szCs w:val="21"/>
              </w:rPr>
              <w:tab/>
            </w:r>
            <w:r>
              <w:rPr>
                <w:rFonts w:hint="eastAsia" w:hAnsi="宋体" w:cs="宋体"/>
                <w:sz w:val="21"/>
                <w:szCs w:val="21"/>
              </w:rPr>
              <w:t>高强度合金结构钢</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中心回转接头：水、电、液一体式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传动型式：</w:t>
            </w:r>
            <w:r>
              <w:rPr>
                <w:rFonts w:hint="eastAsia" w:hAnsi="宋体" w:cs="宋体"/>
                <w:sz w:val="21"/>
                <w:szCs w:val="21"/>
              </w:rPr>
              <w:tab/>
            </w:r>
            <w:r>
              <w:rPr>
                <w:rFonts w:hint="eastAsia" w:hAnsi="宋体" w:cs="宋体"/>
                <w:sz w:val="21"/>
                <w:szCs w:val="21"/>
              </w:rPr>
              <w:t>液压马达--回转减速机—回转支撑</w:t>
            </w:r>
          </w:p>
          <w:p>
            <w:pPr>
              <w:pStyle w:val="2"/>
              <w:spacing w:after="0" w:line="240" w:lineRule="atLeast"/>
              <w:ind w:left="158" w:leftChars="75" w:firstLine="0" w:firstLineChars="0"/>
              <w:rPr>
                <w:rFonts w:hAnsi="宋体" w:cs="宋体"/>
                <w:sz w:val="21"/>
                <w:szCs w:val="21"/>
              </w:rPr>
            </w:pPr>
            <w:bookmarkStart w:id="18" w:name="_Toc482883721"/>
            <w:r>
              <w:rPr>
                <w:rFonts w:hint="eastAsia" w:hAnsi="宋体" w:cs="宋体"/>
                <w:sz w:val="21"/>
                <w:szCs w:val="21"/>
              </w:rPr>
              <w:t>臂架结构</w:t>
            </w:r>
            <w:bookmarkEnd w:id="18"/>
          </w:p>
          <w:p>
            <w:pPr>
              <w:pStyle w:val="2"/>
              <w:spacing w:after="0" w:line="240" w:lineRule="atLeast"/>
              <w:ind w:left="158" w:leftChars="75" w:firstLine="0" w:firstLineChars="0"/>
              <w:rPr>
                <w:rFonts w:hAnsi="宋体" w:cs="宋体"/>
                <w:sz w:val="21"/>
                <w:szCs w:val="21"/>
              </w:rPr>
            </w:pPr>
            <w:r>
              <w:rPr>
                <w:rFonts w:hint="eastAsia" w:hAnsi="宋体" w:cs="宋体"/>
                <w:sz w:val="21"/>
                <w:szCs w:val="21"/>
              </w:rPr>
              <w:t>☆1、额定工作高度（m）：≥25</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额定工作幅度（m）：≥16.5</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臂架材质：高强度合金结构钢</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2、臂架结构：四边形截面，钢板冷弯槽型对接，焊接机器人自动焊接而成，臂架内外防腐和应力消除。</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3、臂架型式：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由主臂变幅机构、两节同步伸缩机构，和一节折叠臂构成。</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☆4、变幅角度：下臂0-82°，折臂臂0-180°</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5、臂架布置形式：上下布置</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6、配备臂架有线遥控（带自动伸缩线盘），遥控距离15米。</w:t>
            </w:r>
          </w:p>
          <w:p>
            <w:pPr>
              <w:pStyle w:val="2"/>
              <w:spacing w:after="0" w:line="240" w:lineRule="atLeast"/>
              <w:ind w:left="158" w:leftChars="75" w:firstLine="0" w:firstLineChars="0"/>
              <w:rPr>
                <w:rFonts w:hAnsi="宋体" w:cs="宋体"/>
                <w:sz w:val="21"/>
                <w:szCs w:val="21"/>
              </w:rPr>
            </w:pPr>
            <w:bookmarkStart w:id="19" w:name="_Toc482883722"/>
            <w:r>
              <w:rPr>
                <w:rFonts w:hint="eastAsia" w:hAnsi="宋体" w:cs="宋体"/>
                <w:sz w:val="21"/>
                <w:szCs w:val="21"/>
              </w:rPr>
              <w:t>十、液压系统</w:t>
            </w:r>
            <w:bookmarkEnd w:id="19"/>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液压系统型式：开式系统。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系统压力：20Mpa。</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上车控制阀：配件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下车控制阀：配件。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平衡阀：配件。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油缸数量：支腿水平油缸4根、支腿油缸4根、下臂变幅油缸1根、伸缩油缸1根、小臂变幅油缸1根。</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液压油箱：液压油箱上装有吸油滤油器、回油滤油器和空气滤清器，保证液压系统的清洁度。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液压油规格：10#航空液压油。</w:t>
            </w:r>
          </w:p>
          <w:p>
            <w:pPr>
              <w:pStyle w:val="2"/>
              <w:spacing w:after="0" w:line="240" w:lineRule="atLeast"/>
              <w:ind w:left="158" w:leftChars="75" w:firstLine="0" w:firstLineChars="0"/>
              <w:rPr>
                <w:rFonts w:hAnsi="宋体" w:cs="宋体"/>
                <w:sz w:val="21"/>
                <w:szCs w:val="21"/>
              </w:rPr>
            </w:pPr>
            <w:bookmarkStart w:id="20" w:name="_Toc482883723"/>
            <w:r>
              <w:rPr>
                <w:rFonts w:hint="eastAsia" w:hAnsi="宋体" w:cs="宋体"/>
                <w:sz w:val="21"/>
                <w:szCs w:val="21"/>
              </w:rPr>
              <w:t>电器系统</w:t>
            </w:r>
            <w:bookmarkEnd w:id="20"/>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控制系统：车载专用PLC控制系统，CAN总线通讯系统。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主要功能：整车具备一键展收腿、一键展收车、自动调平、自动对中功能。</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主要硬件配置：</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2个PLC控制器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1个液晶显示屏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1个有线遥控器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1个有线遥控器伸缩电缆线盘</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2个电控手柄（控制臂架）</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ab/>
            </w:r>
            <w:r>
              <w:rPr>
                <w:rFonts w:hint="eastAsia" w:hAnsi="宋体" w:cs="宋体"/>
                <w:sz w:val="21"/>
                <w:szCs w:val="21"/>
              </w:rPr>
              <w:t>1个脚踏板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十一、照明及警示灯具：</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为夜间灭火所用,在炮口装有照明射灯,可有效地观察火场情况。有前、后示廓灯，两侧各一只转向灯，乘员室、器材箱、泵房内均装有照明灯，并符合GB4785规定。驾驶室顶部安装2只圆形警灯。车辆两侧上方各配有两盏爆闪灯，下方安装安全标志灯，警报器、警灯、爆闪灯电路为独立式附加电路，控制器件安装在驾驶室内。</w:t>
            </w:r>
          </w:p>
          <w:p>
            <w:pPr>
              <w:pStyle w:val="2"/>
              <w:spacing w:after="0" w:line="240" w:lineRule="atLeast"/>
              <w:ind w:left="158" w:leftChars="75" w:firstLine="0" w:firstLineChars="0"/>
              <w:rPr>
                <w:rFonts w:hAnsi="宋体" w:cs="宋体"/>
                <w:sz w:val="21"/>
                <w:szCs w:val="21"/>
              </w:rPr>
            </w:pPr>
            <w:bookmarkStart w:id="21" w:name="_Toc482883724"/>
            <w:r>
              <w:rPr>
                <w:rFonts w:hint="eastAsia" w:hAnsi="宋体" w:cs="宋体"/>
                <w:sz w:val="21"/>
                <w:szCs w:val="21"/>
              </w:rPr>
              <w:t>十二、安全保护装置</w:t>
            </w:r>
            <w:bookmarkEnd w:id="21"/>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臂架控制：消防车臂架启动时，安全系统应自动工作，消防车臂架在安全工作范围内动作，当接近安全工作范围的边缘或臂架运动的极限位置时，臂架的动作应减速，当达到安全工作范围极限时，臂架（梯架）应自动停止向危险方向动作并有声光报警，臂架停止运动后不能再向危险方向动作，不通过操作任何附加开关臂架可向安全方向动作。</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单边操作控制：消防车支腿可单侧外伸作业时，臂架只能在支腿外伸一侧运动，而向另一侧的动作应自动禁止。安全系统应自动将臂架的动作限制在安全范围内。</w:t>
            </w:r>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上、下车互锁:当支腿展开调平并支撑可靠之前，臂架不能运动，臂架（梯架）未收回到支撑托架之前，下车支腿不能收回。上、下车互锁功能应自动实现。</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臂架的缓冲保护：臂架伸出或收回至极限点位置时，自动减速；</w:t>
            </w:r>
          </w:p>
          <w:p>
            <w:pPr>
              <w:pStyle w:val="2"/>
              <w:spacing w:after="0" w:line="240" w:lineRule="atLeast"/>
              <w:ind w:left="-183" w:leftChars="-87" w:firstLine="336" w:firstLineChars="160"/>
              <w:rPr>
                <w:rFonts w:hAnsi="宋体" w:cs="宋体"/>
                <w:sz w:val="21"/>
                <w:szCs w:val="21"/>
              </w:rPr>
            </w:pPr>
            <w:r>
              <w:rPr>
                <w:rFonts w:hint="eastAsia" w:hAnsi="宋体" w:cs="宋体"/>
                <w:sz w:val="21"/>
                <w:szCs w:val="21"/>
              </w:rPr>
              <w:t>回转对中：一键收车时，转台会进行自动对中动作；</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水罐涨罐保护：水罐上设置溢水管，防止涨坏；</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水泵超压保护：当水泵工作压力超过额定工作压力的1.1倍时，自动泄压。</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软腿保护: 臂架在运动过程中，当任一支腿出现不受力情况，有声光报警信号,并且臂架不能继续向危险方向运动，但可以向安全方向运动。</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发动机限速:支腿和臂架动作时，发动机自动响应至额定转速；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臂架限幅保护：臂架超过工作幅度时，自动保护并报警；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回转缓冲保护：臂架对中时，有缓冲保护；</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车身防碰撞：自动收车时，电控自动将臂架回收至合适的位置，避免臂架与车身碰撞；</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应急功能：配备液压应急动力单元；</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支腿动作报警：支腿调平后，如出现软腿会自动报警；</w:t>
            </w:r>
          </w:p>
          <w:p>
            <w:pPr>
              <w:pStyle w:val="2"/>
              <w:spacing w:after="0" w:line="240" w:lineRule="atLeast"/>
              <w:ind w:left="158" w:leftChars="75" w:firstLine="0" w:firstLineChars="0"/>
              <w:rPr>
                <w:rFonts w:hAnsi="宋体" w:cs="宋体"/>
                <w:sz w:val="21"/>
                <w:szCs w:val="21"/>
              </w:rPr>
            </w:pPr>
            <w:bookmarkStart w:id="22" w:name="_Toc482883725"/>
            <w:r>
              <w:rPr>
                <w:rFonts w:hint="eastAsia" w:hAnsi="宋体" w:cs="宋体"/>
                <w:sz w:val="21"/>
                <w:szCs w:val="21"/>
              </w:rPr>
              <w:t>十三、车身及泵房</w:t>
            </w:r>
            <w:bookmarkEnd w:id="22"/>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材质：骨架、外蒙皮为优质碳素结构钢，内部蒙皮为花纹铝板。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结构：全钢框架保护焊焊接结构，内部增设铝合金器材框架，采用德国搭接和粘帖技术；左右两侧有铝合金卷帘门，下设防滑翻踏板。</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整车安装自保系统</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驾驶室顶部，前、左、右各设两个水幕型喷头，每个喷头流量：30L/min。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底盘前桥每个轮胎各一个水幕型喷头，每个喷头流量：30L/min。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底盘后两桥每个轮胎各一个水幕型喷头，每个喷头流量：30L/min。</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优质不锈钢，内置式“散花”结构，能进行扇面喷射。</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在驾驶室内设有控制开关。</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车身、器材箱、泵房、翻板等上装部分喷涂消防红，驾驶室为光亮烤漆。轮毂外圈、前保险杠为白色；为保证夜间工作安全，车身设有符合相关标准要求的荧光反光带。</w:t>
            </w:r>
          </w:p>
          <w:p>
            <w:pPr>
              <w:pStyle w:val="2"/>
              <w:spacing w:after="0" w:line="240" w:lineRule="atLeast"/>
              <w:ind w:left="158" w:leftChars="75" w:firstLine="0" w:firstLineChars="0"/>
              <w:rPr>
                <w:rFonts w:hAnsi="宋体" w:cs="宋体"/>
                <w:sz w:val="21"/>
                <w:szCs w:val="21"/>
              </w:rPr>
            </w:pPr>
            <w:r>
              <w:rPr>
                <w:rFonts w:hint="eastAsia" w:hAnsi="宋体" w:cs="宋体"/>
                <w:sz w:val="21"/>
                <w:szCs w:val="21"/>
              </w:rPr>
              <w:t>整车标识：按业主要求喷涂。</w:t>
            </w:r>
          </w:p>
          <w:p>
            <w:pPr>
              <w:pStyle w:val="2"/>
              <w:spacing w:after="0" w:line="240" w:lineRule="atLeast"/>
              <w:ind w:left="158" w:leftChars="75" w:firstLine="0" w:firstLineChars="0"/>
              <w:rPr>
                <w:rFonts w:hAnsi="宋体" w:cs="宋体"/>
                <w:sz w:val="21"/>
                <w:szCs w:val="21"/>
              </w:rPr>
            </w:pPr>
            <w:bookmarkStart w:id="23" w:name="_Toc482883726"/>
            <w:r>
              <w:rPr>
                <w:rFonts w:hint="eastAsia" w:hAnsi="宋体" w:cs="宋体"/>
                <w:sz w:val="21"/>
                <w:szCs w:val="21"/>
              </w:rPr>
              <w:t>十四、随车文件</w:t>
            </w:r>
            <w:bookmarkEnd w:id="23"/>
          </w:p>
          <w:p>
            <w:pPr>
              <w:pStyle w:val="2"/>
              <w:spacing w:after="0" w:line="240" w:lineRule="atLeast"/>
              <w:ind w:left="17" w:leftChars="8" w:firstLine="138" w:firstLineChars="66"/>
              <w:rPr>
                <w:rFonts w:hAnsi="宋体" w:cs="宋体"/>
                <w:sz w:val="21"/>
                <w:szCs w:val="21"/>
              </w:rPr>
            </w:pPr>
            <w:r>
              <w:rPr>
                <w:rFonts w:hint="eastAsia" w:hAnsi="宋体" w:cs="宋体"/>
                <w:sz w:val="21"/>
                <w:szCs w:val="21"/>
              </w:rPr>
              <w:t>整车操作使用书；底盘使用说明书；整车操作维修手册；底盘操作维修手册；底盘质量保修卡；底盘合格证；发动机号码拓印件；底盘号码拓印件；随车装备清单；车辆合格证；车辆跟踪服务卡；车辆交接清单。</w:t>
            </w:r>
          </w:p>
        </w:tc>
        <w:tc>
          <w:tcPr>
            <w:tcW w:w="510" w:type="dxa"/>
            <w:vAlign w:val="center"/>
          </w:tcPr>
          <w:p>
            <w:pPr>
              <w:pStyle w:val="2"/>
              <w:spacing w:after="0"/>
              <w:ind w:firstLine="0" w:firstLineChars="0"/>
              <w:jc w:val="center"/>
              <w:rPr>
                <w:rFonts w:hAnsi="宋体" w:cs="宋体"/>
                <w:bCs/>
                <w:color w:val="auto"/>
                <w:sz w:val="21"/>
                <w:szCs w:val="21"/>
              </w:rPr>
            </w:pPr>
            <w:r>
              <w:rPr>
                <w:rFonts w:hint="eastAsia" w:hAnsi="宋体" w:cs="宋体"/>
                <w:bCs/>
                <w:color w:val="auto"/>
                <w:sz w:val="21"/>
                <w:szCs w:val="21"/>
              </w:rPr>
              <w:t>台</w:t>
            </w:r>
          </w:p>
        </w:tc>
        <w:tc>
          <w:tcPr>
            <w:tcW w:w="510" w:type="dxa"/>
            <w:vAlign w:val="center"/>
          </w:tcPr>
          <w:p>
            <w:pPr>
              <w:pStyle w:val="2"/>
              <w:spacing w:after="0"/>
              <w:ind w:firstLine="0" w:firstLineChars="0"/>
              <w:jc w:val="center"/>
              <w:rPr>
                <w:rFonts w:hAnsi="宋体" w:cs="宋体"/>
                <w:bCs/>
                <w:color w:val="auto"/>
                <w:sz w:val="21"/>
                <w:szCs w:val="21"/>
              </w:rPr>
            </w:pPr>
            <w:r>
              <w:rPr>
                <w:rFonts w:hint="eastAsia" w:hAnsi="宋体" w:cs="宋体"/>
                <w:bCs/>
                <w:color w:val="auto"/>
                <w:sz w:val="21"/>
                <w:szCs w:val="21"/>
              </w:rPr>
              <w:t>1</w:t>
            </w:r>
          </w:p>
        </w:tc>
        <w:tc>
          <w:tcPr>
            <w:tcW w:w="1095" w:type="dxa"/>
            <w:vAlign w:val="center"/>
          </w:tcPr>
          <w:p>
            <w:pPr>
              <w:widowControl/>
              <w:contextualSpacing/>
              <w:jc w:val="center"/>
              <w:rPr>
                <w:rFonts w:ascii="宋体" w:hAnsi="宋体" w:eastAsia="宋体" w:cs="宋体"/>
                <w:bCs/>
                <w:color w:val="auto"/>
                <w:szCs w:val="21"/>
              </w:rPr>
            </w:pPr>
            <w:r>
              <w:rPr>
                <w:rFonts w:hint="eastAsia" w:ascii="宋体" w:hAnsi="宋体" w:eastAsia="宋体" w:cs="宋体"/>
                <w:color w:val="auto"/>
                <w:kern w:val="0"/>
                <w:szCs w:val="21"/>
              </w:rPr>
              <w:t>是</w:t>
            </w:r>
          </w:p>
        </w:tc>
      </w:tr>
    </w:tbl>
    <w:p>
      <w:pPr>
        <w:numPr>
          <w:ilvl w:val="0"/>
          <w:numId w:val="4"/>
        </w:numPr>
        <w:adjustRightInd w:val="0"/>
        <w:snapToGrid w:val="0"/>
        <w:spacing w:line="440" w:lineRule="exact"/>
        <w:ind w:firstLine="420" w:firstLineChars="175"/>
        <w:rPr>
          <w:rFonts w:ascii="宋体" w:hAnsi="宋体"/>
          <w:sz w:val="24"/>
          <w:szCs w:val="24"/>
        </w:rPr>
      </w:pPr>
      <w:r>
        <w:rPr>
          <w:rFonts w:hint="eastAsia" w:ascii="宋体" w:hAnsi="宋体"/>
          <w:sz w:val="24"/>
          <w:szCs w:val="24"/>
        </w:rPr>
        <w:t>高喷车随车配置消防器材明细表：本明细为随车标配附件，价格包括在整车报价内。</w:t>
      </w:r>
    </w:p>
    <w:tbl>
      <w:tblPr>
        <w:tblStyle w:val="24"/>
        <w:tblpPr w:leftFromText="180" w:rightFromText="180" w:vertAnchor="text" w:horzAnchor="margin" w:tblpXSpec="center" w:tblpY="1"/>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53"/>
        <w:gridCol w:w="2460"/>
        <w:gridCol w:w="832"/>
        <w:gridCol w:w="78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959" w:type="dxa"/>
            <w:vAlign w:val="center"/>
          </w:tcPr>
          <w:p>
            <w:pPr>
              <w:jc w:val="center"/>
              <w:rPr>
                <w:rFonts w:ascii="宋体" w:hAnsi="宋体"/>
                <w:szCs w:val="21"/>
              </w:rPr>
            </w:pPr>
            <w:r>
              <w:rPr>
                <w:rFonts w:hint="eastAsia" w:ascii="宋体" w:hAnsi="宋体"/>
                <w:szCs w:val="21"/>
              </w:rPr>
              <w:t>序号</w:t>
            </w:r>
          </w:p>
        </w:tc>
        <w:tc>
          <w:tcPr>
            <w:tcW w:w="2653" w:type="dxa"/>
            <w:vAlign w:val="center"/>
          </w:tcPr>
          <w:p>
            <w:pPr>
              <w:jc w:val="center"/>
              <w:rPr>
                <w:rFonts w:ascii="宋体" w:hAnsi="宋体"/>
                <w:szCs w:val="21"/>
              </w:rPr>
            </w:pPr>
            <w:r>
              <w:rPr>
                <w:rFonts w:ascii="宋体" w:hAnsi="宋体"/>
                <w:szCs w:val="21"/>
              </w:rPr>
              <w:t>名称</w:t>
            </w:r>
          </w:p>
        </w:tc>
        <w:tc>
          <w:tcPr>
            <w:tcW w:w="2460" w:type="dxa"/>
            <w:vAlign w:val="center"/>
          </w:tcPr>
          <w:p>
            <w:pPr>
              <w:jc w:val="center"/>
              <w:rPr>
                <w:rFonts w:ascii="宋体" w:hAnsi="宋体"/>
                <w:szCs w:val="21"/>
              </w:rPr>
            </w:pPr>
            <w:r>
              <w:rPr>
                <w:rFonts w:ascii="宋体" w:hAnsi="宋体"/>
                <w:szCs w:val="21"/>
              </w:rPr>
              <w:t>规格</w:t>
            </w:r>
          </w:p>
        </w:tc>
        <w:tc>
          <w:tcPr>
            <w:tcW w:w="832" w:type="dxa"/>
            <w:vAlign w:val="center"/>
          </w:tcPr>
          <w:p>
            <w:pPr>
              <w:jc w:val="center"/>
              <w:rPr>
                <w:rFonts w:ascii="宋体" w:hAnsi="宋体"/>
                <w:szCs w:val="21"/>
              </w:rPr>
            </w:pPr>
            <w:r>
              <w:rPr>
                <w:rFonts w:ascii="宋体" w:hAnsi="宋体"/>
                <w:szCs w:val="21"/>
              </w:rPr>
              <w:t>单位</w:t>
            </w:r>
          </w:p>
        </w:tc>
        <w:tc>
          <w:tcPr>
            <w:tcW w:w="780" w:type="dxa"/>
            <w:vAlign w:val="center"/>
          </w:tcPr>
          <w:p>
            <w:pPr>
              <w:jc w:val="center"/>
              <w:rPr>
                <w:rFonts w:ascii="宋体" w:hAnsi="宋体"/>
                <w:szCs w:val="21"/>
              </w:rPr>
            </w:pPr>
            <w:r>
              <w:rPr>
                <w:rFonts w:ascii="宋体" w:hAnsi="宋体"/>
                <w:szCs w:val="21"/>
              </w:rPr>
              <w:t>数量</w:t>
            </w:r>
          </w:p>
        </w:tc>
        <w:tc>
          <w:tcPr>
            <w:tcW w:w="1765" w:type="dxa"/>
            <w:vAlign w:val="center"/>
          </w:tcPr>
          <w:p>
            <w:pPr>
              <w:widowControl/>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959" w:type="dxa"/>
            <w:vAlign w:val="center"/>
          </w:tcPr>
          <w:p>
            <w:pPr>
              <w:rPr>
                <w:rFonts w:ascii="宋体" w:hAnsi="宋体"/>
                <w:szCs w:val="21"/>
              </w:rPr>
            </w:pPr>
            <w:r>
              <w:rPr>
                <w:rFonts w:hint="eastAsia" w:ascii="宋体" w:hAnsi="宋体"/>
                <w:szCs w:val="21"/>
              </w:rPr>
              <w:t>1</w:t>
            </w:r>
          </w:p>
        </w:tc>
        <w:tc>
          <w:tcPr>
            <w:tcW w:w="2653" w:type="dxa"/>
            <w:vAlign w:val="center"/>
          </w:tcPr>
          <w:p>
            <w:pPr>
              <w:rPr>
                <w:rFonts w:ascii="宋体" w:hAnsi="宋体"/>
                <w:szCs w:val="21"/>
              </w:rPr>
            </w:pPr>
            <w:r>
              <w:rPr>
                <w:rFonts w:ascii="宋体" w:hAnsi="宋体"/>
                <w:szCs w:val="21"/>
              </w:rPr>
              <w:t>吸水管</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w:t>
            </w:r>
            <w:r>
              <w:rPr>
                <w:rFonts w:ascii="宋体" w:hAnsi="宋体"/>
                <w:szCs w:val="21"/>
              </w:rPr>
              <w:t>×</w:t>
            </w:r>
            <w:r>
              <w:rPr>
                <w:rFonts w:hint="eastAsia" w:ascii="宋体" w:hAnsi="宋体"/>
                <w:szCs w:val="21"/>
              </w:rPr>
              <w:t>2</w:t>
            </w:r>
            <w:r>
              <w:rPr>
                <w:rFonts w:ascii="宋体" w:hAnsi="宋体"/>
                <w:szCs w:val="21"/>
              </w:rPr>
              <w:t>m</w:t>
            </w:r>
          </w:p>
        </w:tc>
        <w:tc>
          <w:tcPr>
            <w:tcW w:w="832" w:type="dxa"/>
            <w:vAlign w:val="center"/>
          </w:tcPr>
          <w:p>
            <w:pPr>
              <w:rPr>
                <w:rFonts w:ascii="宋体" w:hAnsi="宋体"/>
                <w:szCs w:val="21"/>
              </w:rPr>
            </w:pPr>
            <w:r>
              <w:rPr>
                <w:rFonts w:ascii="宋体" w:hAnsi="宋体"/>
                <w:szCs w:val="21"/>
              </w:rPr>
              <w:t>根</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959" w:type="dxa"/>
            <w:vAlign w:val="center"/>
          </w:tcPr>
          <w:p>
            <w:pPr>
              <w:rPr>
                <w:rFonts w:ascii="宋体" w:hAnsi="宋体"/>
                <w:szCs w:val="21"/>
              </w:rPr>
            </w:pPr>
            <w:r>
              <w:rPr>
                <w:rFonts w:hint="eastAsia" w:ascii="宋体" w:hAnsi="宋体"/>
                <w:szCs w:val="21"/>
              </w:rPr>
              <w:t>2</w:t>
            </w:r>
          </w:p>
        </w:tc>
        <w:tc>
          <w:tcPr>
            <w:tcW w:w="2653" w:type="dxa"/>
            <w:vAlign w:val="center"/>
          </w:tcPr>
          <w:p>
            <w:pPr>
              <w:rPr>
                <w:rFonts w:ascii="宋体" w:hAnsi="宋体"/>
                <w:szCs w:val="21"/>
              </w:rPr>
            </w:pPr>
            <w:r>
              <w:rPr>
                <w:rFonts w:ascii="宋体" w:hAnsi="宋体"/>
                <w:szCs w:val="21"/>
              </w:rPr>
              <w:t>滤水器</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50mm</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59" w:type="dxa"/>
            <w:vAlign w:val="center"/>
          </w:tcPr>
          <w:p>
            <w:pPr>
              <w:rPr>
                <w:rFonts w:ascii="宋体" w:hAnsi="宋体"/>
                <w:szCs w:val="21"/>
              </w:rPr>
            </w:pPr>
            <w:r>
              <w:rPr>
                <w:rFonts w:hint="eastAsia" w:ascii="宋体" w:hAnsi="宋体"/>
                <w:szCs w:val="21"/>
              </w:rPr>
              <w:t>3</w:t>
            </w:r>
          </w:p>
        </w:tc>
        <w:tc>
          <w:tcPr>
            <w:tcW w:w="2653" w:type="dxa"/>
            <w:vAlign w:val="center"/>
          </w:tcPr>
          <w:p>
            <w:pPr>
              <w:rPr>
                <w:rFonts w:ascii="宋体" w:hAnsi="宋体"/>
                <w:szCs w:val="21"/>
              </w:rPr>
            </w:pPr>
            <w:r>
              <w:rPr>
                <w:rFonts w:ascii="宋体" w:hAnsi="宋体"/>
                <w:szCs w:val="21"/>
              </w:rPr>
              <w:t>吸水管扳手</w:t>
            </w:r>
          </w:p>
        </w:tc>
        <w:tc>
          <w:tcPr>
            <w:tcW w:w="2460" w:type="dxa"/>
            <w:vAlign w:val="center"/>
          </w:tcPr>
          <w:p>
            <w:pPr>
              <w:rPr>
                <w:rFonts w:ascii="宋体" w:hAnsi="宋体"/>
                <w:szCs w:val="21"/>
              </w:rPr>
            </w:pPr>
            <w:r>
              <w:rPr>
                <w:rFonts w:ascii="宋体" w:hAnsi="宋体"/>
                <w:szCs w:val="21"/>
              </w:rPr>
              <w:t>φ1</w:t>
            </w:r>
            <w:r>
              <w:rPr>
                <w:rFonts w:hint="eastAsia" w:ascii="宋体" w:hAnsi="宋体"/>
                <w:szCs w:val="21"/>
              </w:rPr>
              <w:t>50</w:t>
            </w:r>
            <w:r>
              <w:rPr>
                <w:rFonts w:ascii="宋体" w:hAnsi="宋体"/>
                <w:szCs w:val="21"/>
              </w:rPr>
              <w:t>mm</w:t>
            </w:r>
          </w:p>
        </w:tc>
        <w:tc>
          <w:tcPr>
            <w:tcW w:w="832" w:type="dxa"/>
            <w:vAlign w:val="center"/>
          </w:tcPr>
          <w:p>
            <w:pPr>
              <w:rPr>
                <w:rFonts w:ascii="宋体" w:hAnsi="宋体"/>
                <w:szCs w:val="21"/>
              </w:rPr>
            </w:pPr>
            <w:r>
              <w:rPr>
                <w:rFonts w:ascii="宋体" w:hAnsi="宋体"/>
                <w:szCs w:val="21"/>
              </w:rPr>
              <w:t>把</w:t>
            </w:r>
          </w:p>
        </w:tc>
        <w:tc>
          <w:tcPr>
            <w:tcW w:w="780" w:type="dxa"/>
            <w:vAlign w:val="center"/>
          </w:tcPr>
          <w:p>
            <w:pPr>
              <w:rPr>
                <w:rFonts w:ascii="宋体" w:hAnsi="宋体"/>
                <w:szCs w:val="21"/>
              </w:rPr>
            </w:pPr>
            <w:r>
              <w:rPr>
                <w:rFonts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4</w:t>
            </w:r>
          </w:p>
        </w:tc>
        <w:tc>
          <w:tcPr>
            <w:tcW w:w="2653" w:type="dxa"/>
            <w:vAlign w:val="center"/>
          </w:tcPr>
          <w:p>
            <w:pPr>
              <w:rPr>
                <w:rFonts w:ascii="宋体" w:hAnsi="宋体"/>
                <w:szCs w:val="21"/>
              </w:rPr>
            </w:pPr>
            <w:r>
              <w:rPr>
                <w:rFonts w:hint="eastAsia" w:ascii="宋体" w:hAnsi="宋体"/>
                <w:szCs w:val="21"/>
              </w:rPr>
              <w:t>地上消防栓扳手</w:t>
            </w:r>
          </w:p>
        </w:tc>
        <w:tc>
          <w:tcPr>
            <w:tcW w:w="2460" w:type="dxa"/>
            <w:vAlign w:val="center"/>
          </w:tcPr>
          <w:p>
            <w:pPr>
              <w:rPr>
                <w:rFonts w:ascii="宋体" w:hAnsi="宋体"/>
                <w:szCs w:val="21"/>
              </w:rPr>
            </w:pPr>
            <w:r>
              <w:rPr>
                <w:rFonts w:hint="eastAsia" w:ascii="宋体" w:hAnsi="宋体"/>
                <w:szCs w:val="21"/>
              </w:rPr>
              <w:t>FB450</w:t>
            </w:r>
          </w:p>
        </w:tc>
        <w:tc>
          <w:tcPr>
            <w:tcW w:w="832" w:type="dxa"/>
            <w:vAlign w:val="center"/>
          </w:tcPr>
          <w:p>
            <w:pPr>
              <w:rPr>
                <w:rFonts w:ascii="宋体" w:hAnsi="宋体"/>
                <w:szCs w:val="21"/>
              </w:rPr>
            </w:pPr>
            <w:r>
              <w:rPr>
                <w:rFonts w:ascii="宋体" w:hAnsi="宋体"/>
                <w:szCs w:val="21"/>
              </w:rPr>
              <w:t>把</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5</w:t>
            </w:r>
          </w:p>
        </w:tc>
        <w:tc>
          <w:tcPr>
            <w:tcW w:w="2653" w:type="dxa"/>
            <w:vAlign w:val="center"/>
          </w:tcPr>
          <w:p>
            <w:pPr>
              <w:rPr>
                <w:rFonts w:ascii="宋体" w:hAnsi="宋体"/>
                <w:szCs w:val="21"/>
              </w:rPr>
            </w:pPr>
            <w:r>
              <w:rPr>
                <w:rFonts w:hint="eastAsia" w:ascii="宋体" w:hAnsi="宋体"/>
                <w:szCs w:val="21"/>
              </w:rPr>
              <w:t>地下消防栓扳手</w:t>
            </w:r>
          </w:p>
        </w:tc>
        <w:tc>
          <w:tcPr>
            <w:tcW w:w="2460" w:type="dxa"/>
            <w:vAlign w:val="center"/>
          </w:tcPr>
          <w:p>
            <w:pPr>
              <w:rPr>
                <w:rFonts w:ascii="宋体" w:hAnsi="宋体"/>
                <w:szCs w:val="21"/>
              </w:rPr>
            </w:pPr>
            <w:r>
              <w:rPr>
                <w:rFonts w:hint="eastAsia" w:ascii="宋体" w:hAnsi="宋体"/>
                <w:szCs w:val="21"/>
              </w:rPr>
              <w:t>FB800</w:t>
            </w:r>
          </w:p>
        </w:tc>
        <w:tc>
          <w:tcPr>
            <w:tcW w:w="832" w:type="dxa"/>
            <w:vAlign w:val="center"/>
          </w:tcPr>
          <w:p>
            <w:pPr>
              <w:rPr>
                <w:rFonts w:ascii="宋体" w:hAnsi="宋体"/>
                <w:szCs w:val="21"/>
              </w:rPr>
            </w:pPr>
            <w:r>
              <w:rPr>
                <w:rFonts w:hint="eastAsia" w:ascii="宋体" w:hAnsi="宋体"/>
                <w:szCs w:val="21"/>
              </w:rPr>
              <w:t>把</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trPr>
        <w:tc>
          <w:tcPr>
            <w:tcW w:w="959" w:type="dxa"/>
            <w:vAlign w:val="center"/>
          </w:tcPr>
          <w:p>
            <w:pPr>
              <w:rPr>
                <w:rFonts w:ascii="宋体" w:hAnsi="宋体"/>
                <w:szCs w:val="21"/>
              </w:rPr>
            </w:pPr>
            <w:r>
              <w:rPr>
                <w:rFonts w:hint="eastAsia" w:ascii="宋体" w:hAnsi="宋体"/>
                <w:szCs w:val="21"/>
              </w:rPr>
              <w:t>6</w:t>
            </w:r>
          </w:p>
        </w:tc>
        <w:tc>
          <w:tcPr>
            <w:tcW w:w="2653" w:type="dxa"/>
            <w:vAlign w:val="center"/>
          </w:tcPr>
          <w:p>
            <w:pPr>
              <w:rPr>
                <w:rFonts w:ascii="宋体" w:hAnsi="宋体"/>
                <w:szCs w:val="21"/>
              </w:rPr>
            </w:pPr>
            <w:r>
              <w:rPr>
                <w:rFonts w:ascii="宋体" w:hAnsi="宋体"/>
                <w:szCs w:val="21"/>
              </w:rPr>
              <w:t>消防水带</w:t>
            </w:r>
          </w:p>
        </w:tc>
        <w:tc>
          <w:tcPr>
            <w:tcW w:w="2460" w:type="dxa"/>
            <w:vAlign w:val="center"/>
          </w:tcPr>
          <w:p>
            <w:pPr>
              <w:rPr>
                <w:rFonts w:ascii="宋体" w:hAnsi="宋体"/>
                <w:szCs w:val="21"/>
              </w:rPr>
            </w:pPr>
            <w:r>
              <w:rPr>
                <w:rFonts w:hint="eastAsia" w:ascii="宋体" w:hAnsi="宋体"/>
                <w:szCs w:val="21"/>
              </w:rPr>
              <w:t>16</w:t>
            </w:r>
            <w:r>
              <w:rPr>
                <w:rFonts w:ascii="宋体" w:hAnsi="宋体"/>
                <w:szCs w:val="21"/>
              </w:rPr>
              <w:t>型φ80×20m</w:t>
            </w:r>
          </w:p>
        </w:tc>
        <w:tc>
          <w:tcPr>
            <w:tcW w:w="832" w:type="dxa"/>
            <w:vAlign w:val="center"/>
          </w:tcPr>
          <w:p>
            <w:pPr>
              <w:rPr>
                <w:rFonts w:ascii="宋体" w:hAnsi="宋体"/>
                <w:szCs w:val="21"/>
              </w:rPr>
            </w:pPr>
            <w:r>
              <w:rPr>
                <w:rFonts w:ascii="宋体" w:hAnsi="宋体"/>
                <w:szCs w:val="21"/>
              </w:rPr>
              <w:t>盘</w:t>
            </w:r>
          </w:p>
        </w:tc>
        <w:tc>
          <w:tcPr>
            <w:tcW w:w="780" w:type="dxa"/>
            <w:vAlign w:val="center"/>
          </w:tcPr>
          <w:p>
            <w:pPr>
              <w:rPr>
                <w:rFonts w:ascii="宋体" w:hAnsi="宋体"/>
                <w:szCs w:val="21"/>
              </w:rPr>
            </w:pPr>
            <w:r>
              <w:rPr>
                <w:rFonts w:hint="eastAsia" w:ascii="宋体" w:hAnsi="宋体"/>
                <w:szCs w:val="21"/>
              </w:rPr>
              <w:t>10</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959" w:type="dxa"/>
            <w:vAlign w:val="center"/>
          </w:tcPr>
          <w:p>
            <w:pPr>
              <w:rPr>
                <w:rFonts w:ascii="宋体" w:hAnsi="宋体"/>
                <w:szCs w:val="21"/>
              </w:rPr>
            </w:pPr>
            <w:r>
              <w:rPr>
                <w:rFonts w:hint="eastAsia" w:ascii="宋体" w:hAnsi="宋体"/>
                <w:szCs w:val="21"/>
              </w:rPr>
              <w:t>7</w:t>
            </w:r>
          </w:p>
        </w:tc>
        <w:tc>
          <w:tcPr>
            <w:tcW w:w="2653" w:type="dxa"/>
            <w:vAlign w:val="center"/>
          </w:tcPr>
          <w:p>
            <w:pPr>
              <w:rPr>
                <w:rFonts w:ascii="宋体" w:hAnsi="宋体"/>
                <w:szCs w:val="21"/>
              </w:rPr>
            </w:pPr>
            <w:r>
              <w:rPr>
                <w:rFonts w:ascii="宋体" w:hAnsi="宋体"/>
                <w:szCs w:val="21"/>
              </w:rPr>
              <w:t>消防水带</w:t>
            </w:r>
          </w:p>
        </w:tc>
        <w:tc>
          <w:tcPr>
            <w:tcW w:w="2460" w:type="dxa"/>
            <w:vAlign w:val="center"/>
          </w:tcPr>
          <w:p>
            <w:pPr>
              <w:rPr>
                <w:rFonts w:ascii="宋体" w:hAnsi="宋体"/>
                <w:szCs w:val="21"/>
              </w:rPr>
            </w:pPr>
            <w:r>
              <w:rPr>
                <w:rFonts w:hint="eastAsia" w:ascii="宋体" w:hAnsi="宋体"/>
                <w:szCs w:val="21"/>
              </w:rPr>
              <w:t>16</w:t>
            </w:r>
            <w:r>
              <w:rPr>
                <w:rFonts w:ascii="宋体" w:hAnsi="宋体"/>
                <w:szCs w:val="21"/>
              </w:rPr>
              <w:t>型φ</w:t>
            </w:r>
            <w:r>
              <w:rPr>
                <w:rFonts w:hint="eastAsia" w:ascii="宋体" w:hAnsi="宋体"/>
                <w:szCs w:val="21"/>
              </w:rPr>
              <w:t>65</w:t>
            </w:r>
            <w:r>
              <w:rPr>
                <w:rFonts w:ascii="宋体" w:hAnsi="宋体"/>
                <w:szCs w:val="21"/>
              </w:rPr>
              <w:t>×20m</w:t>
            </w:r>
          </w:p>
        </w:tc>
        <w:tc>
          <w:tcPr>
            <w:tcW w:w="832" w:type="dxa"/>
            <w:vAlign w:val="center"/>
          </w:tcPr>
          <w:p>
            <w:pPr>
              <w:rPr>
                <w:rFonts w:ascii="宋体" w:hAnsi="宋体"/>
                <w:szCs w:val="21"/>
              </w:rPr>
            </w:pPr>
            <w:r>
              <w:rPr>
                <w:rFonts w:ascii="宋体" w:hAnsi="宋体"/>
                <w:szCs w:val="21"/>
              </w:rPr>
              <w:t>盘</w:t>
            </w:r>
          </w:p>
        </w:tc>
        <w:tc>
          <w:tcPr>
            <w:tcW w:w="780" w:type="dxa"/>
            <w:vAlign w:val="center"/>
          </w:tcPr>
          <w:p>
            <w:pPr>
              <w:rPr>
                <w:rFonts w:ascii="宋体" w:hAnsi="宋体"/>
                <w:szCs w:val="21"/>
              </w:rPr>
            </w:pPr>
            <w:r>
              <w:rPr>
                <w:rFonts w:hint="eastAsia" w:ascii="宋体" w:hAnsi="宋体"/>
                <w:szCs w:val="21"/>
              </w:rPr>
              <w:t>6</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 w:hRule="atLeast"/>
        </w:trPr>
        <w:tc>
          <w:tcPr>
            <w:tcW w:w="959" w:type="dxa"/>
            <w:vAlign w:val="center"/>
          </w:tcPr>
          <w:p>
            <w:pPr>
              <w:rPr>
                <w:rFonts w:ascii="宋体" w:hAnsi="宋体"/>
                <w:szCs w:val="21"/>
              </w:rPr>
            </w:pPr>
            <w:r>
              <w:rPr>
                <w:rFonts w:hint="eastAsia" w:ascii="宋体" w:hAnsi="宋体"/>
                <w:szCs w:val="21"/>
              </w:rPr>
              <w:t>8</w:t>
            </w:r>
          </w:p>
        </w:tc>
        <w:tc>
          <w:tcPr>
            <w:tcW w:w="2653" w:type="dxa"/>
            <w:vAlign w:val="center"/>
          </w:tcPr>
          <w:p>
            <w:pPr>
              <w:rPr>
                <w:rFonts w:ascii="宋体" w:hAnsi="宋体"/>
                <w:szCs w:val="21"/>
              </w:rPr>
            </w:pPr>
            <w:r>
              <w:rPr>
                <w:rFonts w:hint="eastAsia" w:ascii="宋体" w:hAnsi="宋体"/>
                <w:szCs w:val="21"/>
              </w:rPr>
              <w:t>异径接扣</w:t>
            </w:r>
          </w:p>
        </w:tc>
        <w:tc>
          <w:tcPr>
            <w:tcW w:w="2460" w:type="dxa"/>
            <w:vAlign w:val="center"/>
          </w:tcPr>
          <w:p>
            <w:pPr>
              <w:ind w:left="28" w:right="28"/>
              <w:rPr>
                <w:rFonts w:ascii="宋体" w:hAnsi="宋体"/>
                <w:szCs w:val="21"/>
              </w:rPr>
            </w:pPr>
            <w:r>
              <w:rPr>
                <w:rFonts w:hint="eastAsia" w:ascii="宋体" w:hAnsi="宋体"/>
                <w:szCs w:val="21"/>
              </w:rPr>
              <w:t>65/80</w:t>
            </w:r>
          </w:p>
        </w:tc>
        <w:tc>
          <w:tcPr>
            <w:tcW w:w="832" w:type="dxa"/>
            <w:vAlign w:val="center"/>
          </w:tcPr>
          <w:p>
            <w:pPr>
              <w:rPr>
                <w:rFonts w:ascii="宋体" w:hAnsi="宋体"/>
                <w:szCs w:val="21"/>
              </w:rPr>
            </w:pPr>
            <w:r>
              <w:rPr>
                <w:rFonts w:hint="eastAsia" w:ascii="宋体" w:hAnsi="宋体"/>
                <w:szCs w:val="21"/>
              </w:rPr>
              <w:t>只</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959" w:type="dxa"/>
            <w:vAlign w:val="center"/>
          </w:tcPr>
          <w:p>
            <w:pPr>
              <w:rPr>
                <w:rFonts w:ascii="宋体" w:hAnsi="宋体"/>
                <w:szCs w:val="21"/>
              </w:rPr>
            </w:pPr>
            <w:r>
              <w:rPr>
                <w:rFonts w:hint="eastAsia" w:ascii="宋体" w:hAnsi="宋体"/>
                <w:szCs w:val="21"/>
              </w:rPr>
              <w:t>9</w:t>
            </w:r>
          </w:p>
        </w:tc>
        <w:tc>
          <w:tcPr>
            <w:tcW w:w="2653" w:type="dxa"/>
            <w:vAlign w:val="center"/>
          </w:tcPr>
          <w:p>
            <w:pPr>
              <w:rPr>
                <w:rFonts w:ascii="宋体" w:hAnsi="宋体"/>
                <w:szCs w:val="21"/>
              </w:rPr>
            </w:pPr>
            <w:r>
              <w:rPr>
                <w:rFonts w:ascii="宋体" w:hAnsi="宋体"/>
                <w:szCs w:val="21"/>
              </w:rPr>
              <w:t>集水器</w:t>
            </w:r>
          </w:p>
        </w:tc>
        <w:tc>
          <w:tcPr>
            <w:tcW w:w="2460" w:type="dxa"/>
            <w:vAlign w:val="center"/>
          </w:tcPr>
          <w:p>
            <w:pPr>
              <w:rPr>
                <w:rFonts w:ascii="宋体" w:hAnsi="宋体"/>
                <w:szCs w:val="21"/>
              </w:rPr>
            </w:pPr>
            <w:r>
              <w:rPr>
                <w:rFonts w:hint="eastAsia" w:ascii="宋体" w:hAnsi="宋体"/>
                <w:szCs w:val="21"/>
              </w:rPr>
              <w:t>FSJ150</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959" w:type="dxa"/>
            <w:vAlign w:val="center"/>
          </w:tcPr>
          <w:p>
            <w:pPr>
              <w:rPr>
                <w:rFonts w:ascii="宋体" w:hAnsi="宋体"/>
                <w:szCs w:val="21"/>
              </w:rPr>
            </w:pPr>
            <w:r>
              <w:rPr>
                <w:rFonts w:hint="eastAsia" w:ascii="宋体" w:hAnsi="宋体"/>
                <w:szCs w:val="21"/>
              </w:rPr>
              <w:t>10</w:t>
            </w:r>
          </w:p>
        </w:tc>
        <w:tc>
          <w:tcPr>
            <w:tcW w:w="2653" w:type="dxa"/>
          </w:tcPr>
          <w:p>
            <w:pPr>
              <w:rPr>
                <w:rFonts w:ascii="宋体" w:hAnsi="宋体"/>
                <w:szCs w:val="21"/>
              </w:rPr>
            </w:pPr>
            <w:r>
              <w:rPr>
                <w:rFonts w:hint="eastAsia" w:ascii="宋体" w:hAnsi="宋体"/>
                <w:szCs w:val="21"/>
              </w:rPr>
              <w:t>异型异径接口</w:t>
            </w:r>
          </w:p>
        </w:tc>
        <w:tc>
          <w:tcPr>
            <w:tcW w:w="2460" w:type="dxa"/>
          </w:tcPr>
          <w:p>
            <w:pPr>
              <w:rPr>
                <w:rFonts w:ascii="宋体" w:hAnsi="宋体"/>
                <w:szCs w:val="21"/>
              </w:rPr>
            </w:pPr>
            <w:r>
              <w:rPr>
                <w:rFonts w:hint="eastAsia" w:ascii="宋体" w:hAnsi="宋体"/>
                <w:szCs w:val="21"/>
              </w:rPr>
              <w:t>KY150/KT100</w:t>
            </w:r>
          </w:p>
        </w:tc>
        <w:tc>
          <w:tcPr>
            <w:tcW w:w="832" w:type="dxa"/>
          </w:tcPr>
          <w:p>
            <w:pPr>
              <w:rPr>
                <w:rFonts w:ascii="宋体" w:hAnsi="宋体"/>
                <w:szCs w:val="21"/>
              </w:rPr>
            </w:pPr>
            <w:r>
              <w:rPr>
                <w:rFonts w:hint="eastAsia" w:ascii="宋体" w:hAnsi="宋体"/>
                <w:szCs w:val="21"/>
              </w:rPr>
              <w:t>只</w:t>
            </w:r>
          </w:p>
        </w:tc>
        <w:tc>
          <w:tcPr>
            <w:tcW w:w="780" w:type="dxa"/>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959" w:type="dxa"/>
            <w:vAlign w:val="center"/>
          </w:tcPr>
          <w:p>
            <w:pPr>
              <w:rPr>
                <w:rFonts w:ascii="宋体" w:hAnsi="宋体"/>
                <w:szCs w:val="21"/>
              </w:rPr>
            </w:pPr>
            <w:r>
              <w:rPr>
                <w:rFonts w:hint="eastAsia" w:ascii="宋体" w:hAnsi="宋体"/>
                <w:szCs w:val="21"/>
              </w:rPr>
              <w:t>11</w:t>
            </w:r>
          </w:p>
        </w:tc>
        <w:tc>
          <w:tcPr>
            <w:tcW w:w="2653" w:type="dxa"/>
            <w:vAlign w:val="center"/>
          </w:tcPr>
          <w:p>
            <w:pPr>
              <w:rPr>
                <w:rFonts w:ascii="宋体" w:hAnsi="宋体"/>
                <w:szCs w:val="21"/>
              </w:rPr>
            </w:pPr>
            <w:r>
              <w:rPr>
                <w:rFonts w:hint="eastAsia" w:ascii="宋体" w:hAnsi="宋体"/>
                <w:szCs w:val="21"/>
              </w:rPr>
              <w:t>护带桥</w:t>
            </w:r>
          </w:p>
        </w:tc>
        <w:tc>
          <w:tcPr>
            <w:tcW w:w="2460" w:type="dxa"/>
            <w:vAlign w:val="center"/>
          </w:tcPr>
          <w:p>
            <w:pPr>
              <w:rPr>
                <w:rFonts w:ascii="宋体" w:hAnsi="宋体"/>
                <w:szCs w:val="21"/>
              </w:rPr>
            </w:pPr>
            <w:r>
              <w:rPr>
                <w:rFonts w:hint="eastAsia" w:ascii="宋体" w:hAnsi="宋体"/>
                <w:szCs w:val="21"/>
              </w:rPr>
              <w:t>FH80</w:t>
            </w:r>
          </w:p>
        </w:tc>
        <w:tc>
          <w:tcPr>
            <w:tcW w:w="832" w:type="dxa"/>
            <w:vAlign w:val="center"/>
          </w:tcPr>
          <w:p>
            <w:pPr>
              <w:rPr>
                <w:rFonts w:ascii="宋体" w:hAnsi="宋体"/>
                <w:szCs w:val="21"/>
              </w:rPr>
            </w:pPr>
            <w:r>
              <w:rPr>
                <w:rFonts w:ascii="宋体" w:hAnsi="宋体"/>
                <w:szCs w:val="21"/>
              </w:rPr>
              <w:t>副</w:t>
            </w:r>
          </w:p>
        </w:tc>
        <w:tc>
          <w:tcPr>
            <w:tcW w:w="780" w:type="dxa"/>
            <w:vAlign w:val="center"/>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 w:hRule="atLeast"/>
        </w:trPr>
        <w:tc>
          <w:tcPr>
            <w:tcW w:w="959" w:type="dxa"/>
            <w:vAlign w:val="center"/>
          </w:tcPr>
          <w:p>
            <w:pPr>
              <w:rPr>
                <w:rFonts w:ascii="宋体" w:hAnsi="宋体"/>
                <w:szCs w:val="21"/>
              </w:rPr>
            </w:pPr>
            <w:r>
              <w:rPr>
                <w:rFonts w:hint="eastAsia" w:ascii="宋体" w:hAnsi="宋体"/>
                <w:szCs w:val="21"/>
              </w:rPr>
              <w:t>12</w:t>
            </w:r>
          </w:p>
        </w:tc>
        <w:tc>
          <w:tcPr>
            <w:tcW w:w="2653" w:type="dxa"/>
            <w:vAlign w:val="center"/>
          </w:tcPr>
          <w:p>
            <w:pPr>
              <w:rPr>
                <w:rFonts w:ascii="宋体" w:hAnsi="宋体"/>
                <w:szCs w:val="21"/>
              </w:rPr>
            </w:pPr>
            <w:r>
              <w:rPr>
                <w:rFonts w:ascii="宋体" w:hAnsi="宋体"/>
                <w:szCs w:val="21"/>
              </w:rPr>
              <w:t>水带包布</w:t>
            </w:r>
          </w:p>
        </w:tc>
        <w:tc>
          <w:tcPr>
            <w:tcW w:w="2460" w:type="dxa"/>
            <w:vAlign w:val="center"/>
          </w:tcPr>
          <w:p>
            <w:pPr>
              <w:rPr>
                <w:rFonts w:ascii="宋体" w:hAnsi="宋体"/>
                <w:szCs w:val="21"/>
              </w:rPr>
            </w:pPr>
            <w:r>
              <w:rPr>
                <w:rFonts w:hint="eastAsia" w:ascii="宋体" w:hAnsi="宋体"/>
                <w:szCs w:val="21"/>
              </w:rPr>
              <w:t>FP470</w:t>
            </w:r>
          </w:p>
        </w:tc>
        <w:tc>
          <w:tcPr>
            <w:tcW w:w="832" w:type="dxa"/>
            <w:vAlign w:val="center"/>
          </w:tcPr>
          <w:p>
            <w:pPr>
              <w:rPr>
                <w:rFonts w:ascii="宋体" w:hAnsi="宋体"/>
                <w:szCs w:val="21"/>
              </w:rPr>
            </w:pPr>
            <w:r>
              <w:rPr>
                <w:rFonts w:ascii="宋体" w:hAnsi="宋体"/>
                <w:szCs w:val="21"/>
              </w:rPr>
              <w:t>只</w:t>
            </w:r>
          </w:p>
        </w:tc>
        <w:tc>
          <w:tcPr>
            <w:tcW w:w="780" w:type="dxa"/>
            <w:vAlign w:val="center"/>
          </w:tcPr>
          <w:p>
            <w:pPr>
              <w:rPr>
                <w:rFonts w:ascii="宋体" w:hAnsi="宋体"/>
                <w:szCs w:val="21"/>
              </w:rPr>
            </w:pPr>
            <w:r>
              <w:rPr>
                <w:rFonts w:hint="eastAsia" w:ascii="宋体" w:hAnsi="宋体"/>
                <w:szCs w:val="21"/>
              </w:rPr>
              <w:t>8</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13</w:t>
            </w:r>
          </w:p>
        </w:tc>
        <w:tc>
          <w:tcPr>
            <w:tcW w:w="2653" w:type="dxa"/>
          </w:tcPr>
          <w:p>
            <w:pPr>
              <w:rPr>
                <w:rFonts w:ascii="宋体" w:hAnsi="宋体"/>
                <w:szCs w:val="21"/>
              </w:rPr>
            </w:pPr>
            <w:r>
              <w:rPr>
                <w:rFonts w:hint="eastAsia" w:ascii="宋体" w:hAnsi="宋体"/>
                <w:szCs w:val="21"/>
              </w:rPr>
              <w:t>直流水枪</w:t>
            </w:r>
          </w:p>
        </w:tc>
        <w:tc>
          <w:tcPr>
            <w:tcW w:w="2460" w:type="dxa"/>
          </w:tcPr>
          <w:p>
            <w:pPr>
              <w:rPr>
                <w:rFonts w:ascii="宋体" w:hAnsi="宋体"/>
                <w:szCs w:val="21"/>
              </w:rPr>
            </w:pPr>
            <w:r>
              <w:rPr>
                <w:rFonts w:hint="eastAsia" w:ascii="宋体" w:hAnsi="宋体"/>
                <w:szCs w:val="21"/>
              </w:rPr>
              <w:t>QZG3.5/7.5</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959" w:type="dxa"/>
            <w:vAlign w:val="center"/>
          </w:tcPr>
          <w:p>
            <w:pPr>
              <w:rPr>
                <w:rFonts w:ascii="宋体" w:hAnsi="宋体"/>
                <w:szCs w:val="21"/>
              </w:rPr>
            </w:pPr>
            <w:r>
              <w:rPr>
                <w:rFonts w:hint="eastAsia" w:ascii="宋体" w:hAnsi="宋体"/>
                <w:szCs w:val="21"/>
              </w:rPr>
              <w:t>14</w:t>
            </w:r>
          </w:p>
        </w:tc>
        <w:tc>
          <w:tcPr>
            <w:tcW w:w="2653" w:type="dxa"/>
          </w:tcPr>
          <w:p>
            <w:pPr>
              <w:rPr>
                <w:rFonts w:ascii="宋体" w:hAnsi="宋体"/>
                <w:szCs w:val="21"/>
              </w:rPr>
            </w:pPr>
            <w:r>
              <w:rPr>
                <w:rFonts w:hint="eastAsia" w:ascii="宋体" w:hAnsi="宋体"/>
                <w:szCs w:val="21"/>
              </w:rPr>
              <w:t>导流式直流喷雾水枪</w:t>
            </w:r>
          </w:p>
        </w:tc>
        <w:tc>
          <w:tcPr>
            <w:tcW w:w="2460" w:type="dxa"/>
          </w:tcPr>
          <w:p>
            <w:pPr>
              <w:rPr>
                <w:rFonts w:ascii="宋体" w:hAnsi="宋体"/>
                <w:szCs w:val="21"/>
              </w:rPr>
            </w:pPr>
            <w:r>
              <w:rPr>
                <w:rFonts w:hint="eastAsia" w:ascii="宋体" w:hAnsi="宋体"/>
                <w:szCs w:val="21"/>
              </w:rPr>
              <w:t>QZK3.5/7.5A</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 w:hRule="atLeast"/>
        </w:trPr>
        <w:tc>
          <w:tcPr>
            <w:tcW w:w="959" w:type="dxa"/>
            <w:vAlign w:val="center"/>
          </w:tcPr>
          <w:p>
            <w:pPr>
              <w:rPr>
                <w:rFonts w:ascii="宋体" w:hAnsi="宋体"/>
                <w:szCs w:val="21"/>
              </w:rPr>
            </w:pPr>
            <w:r>
              <w:rPr>
                <w:rFonts w:hint="eastAsia" w:ascii="宋体" w:hAnsi="宋体"/>
                <w:szCs w:val="21"/>
              </w:rPr>
              <w:t>15</w:t>
            </w:r>
          </w:p>
        </w:tc>
        <w:tc>
          <w:tcPr>
            <w:tcW w:w="2653" w:type="dxa"/>
          </w:tcPr>
          <w:p>
            <w:pPr>
              <w:rPr>
                <w:rFonts w:ascii="宋体" w:hAnsi="宋体"/>
                <w:szCs w:val="21"/>
              </w:rPr>
            </w:pPr>
            <w:r>
              <w:rPr>
                <w:rFonts w:hint="eastAsia" w:ascii="宋体" w:hAnsi="宋体"/>
                <w:szCs w:val="21"/>
              </w:rPr>
              <w:t>泡沫枪</w:t>
            </w:r>
          </w:p>
        </w:tc>
        <w:tc>
          <w:tcPr>
            <w:tcW w:w="2460" w:type="dxa"/>
          </w:tcPr>
          <w:p>
            <w:pPr>
              <w:rPr>
                <w:rFonts w:ascii="宋体" w:hAnsi="宋体"/>
                <w:szCs w:val="21"/>
              </w:rPr>
            </w:pPr>
            <w:r>
              <w:rPr>
                <w:rFonts w:hint="eastAsia" w:ascii="宋体" w:hAnsi="宋体"/>
                <w:szCs w:val="21"/>
              </w:rPr>
              <w:t>PQ4/ PQ8</w:t>
            </w:r>
          </w:p>
        </w:tc>
        <w:tc>
          <w:tcPr>
            <w:tcW w:w="832" w:type="dxa"/>
          </w:tcPr>
          <w:p>
            <w:pPr>
              <w:rPr>
                <w:rFonts w:ascii="宋体" w:hAnsi="宋体"/>
                <w:szCs w:val="21"/>
              </w:rPr>
            </w:pPr>
            <w:r>
              <w:rPr>
                <w:rFonts w:hint="eastAsia" w:ascii="宋体" w:hAnsi="宋体"/>
                <w:szCs w:val="21"/>
              </w:rPr>
              <w:t>支</w:t>
            </w:r>
          </w:p>
        </w:tc>
        <w:tc>
          <w:tcPr>
            <w:tcW w:w="780" w:type="dxa"/>
          </w:tcPr>
          <w:p>
            <w:pPr>
              <w:rPr>
                <w:rFonts w:ascii="宋体" w:hAnsi="宋体"/>
                <w:szCs w:val="21"/>
              </w:rPr>
            </w:pPr>
            <w:r>
              <w:rPr>
                <w:rFonts w:hint="eastAsia" w:ascii="宋体" w:hAnsi="宋体"/>
                <w:szCs w:val="21"/>
              </w:rPr>
              <w:t>2</w:t>
            </w:r>
          </w:p>
        </w:tc>
        <w:tc>
          <w:tcPr>
            <w:tcW w:w="1765" w:type="dxa"/>
            <w:vAlign w:val="center"/>
          </w:tcPr>
          <w:p>
            <w:pPr>
              <w:rPr>
                <w:rFonts w:ascii="宋体" w:hAnsi="宋体"/>
                <w:szCs w:val="21"/>
              </w:rPr>
            </w:pPr>
            <w:r>
              <w:rPr>
                <w:rFonts w:hint="eastAsia" w:ascii="宋体" w:hAnsi="宋体"/>
                <w:szCs w:val="21"/>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trPr>
        <w:tc>
          <w:tcPr>
            <w:tcW w:w="959" w:type="dxa"/>
            <w:vAlign w:val="center"/>
          </w:tcPr>
          <w:p>
            <w:pPr>
              <w:rPr>
                <w:rFonts w:ascii="宋体" w:hAnsi="宋体"/>
                <w:szCs w:val="21"/>
              </w:rPr>
            </w:pPr>
            <w:r>
              <w:rPr>
                <w:rFonts w:hint="eastAsia" w:ascii="宋体" w:hAnsi="宋体"/>
                <w:szCs w:val="21"/>
              </w:rPr>
              <w:t>16</w:t>
            </w:r>
          </w:p>
        </w:tc>
        <w:tc>
          <w:tcPr>
            <w:tcW w:w="2653" w:type="dxa"/>
            <w:vAlign w:val="center"/>
          </w:tcPr>
          <w:p>
            <w:pPr>
              <w:rPr>
                <w:rFonts w:ascii="宋体" w:hAnsi="宋体"/>
                <w:szCs w:val="21"/>
              </w:rPr>
            </w:pPr>
            <w:r>
              <w:rPr>
                <w:rFonts w:hint="eastAsia" w:ascii="宋体" w:hAnsi="宋体"/>
                <w:szCs w:val="21"/>
              </w:rPr>
              <w:t>泡沫吸液管</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根</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959" w:type="dxa"/>
            <w:vAlign w:val="center"/>
          </w:tcPr>
          <w:p>
            <w:pPr>
              <w:rPr>
                <w:rFonts w:ascii="宋体" w:hAnsi="宋体"/>
                <w:szCs w:val="21"/>
              </w:rPr>
            </w:pPr>
            <w:r>
              <w:rPr>
                <w:rFonts w:hint="eastAsia" w:ascii="宋体" w:hAnsi="宋体"/>
                <w:szCs w:val="21"/>
              </w:rPr>
              <w:t>17</w:t>
            </w:r>
          </w:p>
        </w:tc>
        <w:tc>
          <w:tcPr>
            <w:tcW w:w="2653" w:type="dxa"/>
            <w:vAlign w:val="center"/>
          </w:tcPr>
          <w:p>
            <w:pPr>
              <w:rPr>
                <w:rFonts w:ascii="宋体" w:hAnsi="宋体"/>
                <w:szCs w:val="21"/>
              </w:rPr>
            </w:pPr>
            <w:r>
              <w:rPr>
                <w:rFonts w:hint="eastAsia" w:ascii="宋体" w:hAnsi="宋体"/>
                <w:szCs w:val="21"/>
              </w:rPr>
              <w:t>吸液管扳手</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959" w:type="dxa"/>
            <w:vAlign w:val="center"/>
          </w:tcPr>
          <w:p>
            <w:pPr>
              <w:rPr>
                <w:rFonts w:ascii="宋体" w:hAnsi="宋体"/>
                <w:szCs w:val="21"/>
              </w:rPr>
            </w:pPr>
            <w:r>
              <w:rPr>
                <w:rFonts w:hint="eastAsia" w:ascii="宋体" w:hAnsi="宋体"/>
                <w:szCs w:val="21"/>
              </w:rPr>
              <w:t>18</w:t>
            </w:r>
          </w:p>
        </w:tc>
        <w:tc>
          <w:tcPr>
            <w:tcW w:w="2653" w:type="dxa"/>
            <w:vAlign w:val="center"/>
          </w:tcPr>
          <w:p>
            <w:pPr>
              <w:rPr>
                <w:rFonts w:ascii="宋体" w:hAnsi="宋体"/>
                <w:szCs w:val="21"/>
              </w:rPr>
            </w:pPr>
            <w:r>
              <w:rPr>
                <w:rFonts w:hint="eastAsia" w:ascii="宋体" w:hAnsi="宋体"/>
                <w:szCs w:val="21"/>
              </w:rPr>
              <w:t>橡皮锤</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959" w:type="dxa"/>
            <w:vAlign w:val="center"/>
          </w:tcPr>
          <w:p>
            <w:pPr>
              <w:rPr>
                <w:rFonts w:ascii="宋体" w:hAnsi="宋体"/>
                <w:szCs w:val="21"/>
              </w:rPr>
            </w:pPr>
            <w:r>
              <w:rPr>
                <w:rFonts w:hint="eastAsia" w:ascii="宋体" w:hAnsi="宋体"/>
                <w:szCs w:val="21"/>
              </w:rPr>
              <w:t>19</w:t>
            </w:r>
          </w:p>
        </w:tc>
        <w:tc>
          <w:tcPr>
            <w:tcW w:w="2653" w:type="dxa"/>
            <w:vAlign w:val="center"/>
          </w:tcPr>
          <w:p>
            <w:pPr>
              <w:rPr>
                <w:rFonts w:ascii="宋体" w:hAnsi="宋体"/>
                <w:szCs w:val="21"/>
              </w:rPr>
            </w:pPr>
            <w:r>
              <w:rPr>
                <w:rFonts w:hint="eastAsia" w:ascii="宋体" w:hAnsi="宋体"/>
                <w:szCs w:val="21"/>
              </w:rPr>
              <w:t>手提式灭火器</w:t>
            </w:r>
          </w:p>
        </w:tc>
        <w:tc>
          <w:tcPr>
            <w:tcW w:w="2460" w:type="dxa"/>
            <w:vAlign w:val="center"/>
          </w:tcPr>
          <w:p>
            <w:pPr>
              <w:rPr>
                <w:rFonts w:ascii="宋体" w:hAnsi="宋体"/>
                <w:szCs w:val="21"/>
              </w:rPr>
            </w:pPr>
            <w:r>
              <w:rPr>
                <w:rFonts w:hint="eastAsia" w:ascii="宋体" w:hAnsi="宋体"/>
                <w:szCs w:val="21"/>
              </w:rPr>
              <w:t>8kg</w:t>
            </w:r>
          </w:p>
        </w:tc>
        <w:tc>
          <w:tcPr>
            <w:tcW w:w="832" w:type="dxa"/>
            <w:vAlign w:val="center"/>
          </w:tcPr>
          <w:p>
            <w:pPr>
              <w:rPr>
                <w:rFonts w:ascii="宋体" w:hAnsi="宋体"/>
                <w:szCs w:val="21"/>
              </w:rPr>
            </w:pPr>
            <w:r>
              <w:rPr>
                <w:rFonts w:hint="eastAsia" w:ascii="宋体" w:hAnsi="宋体"/>
                <w:szCs w:val="21"/>
              </w:rPr>
              <w:t>具</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959" w:type="dxa"/>
            <w:vAlign w:val="center"/>
          </w:tcPr>
          <w:p>
            <w:pPr>
              <w:rPr>
                <w:rFonts w:ascii="宋体" w:hAnsi="宋体"/>
                <w:szCs w:val="21"/>
              </w:rPr>
            </w:pPr>
            <w:r>
              <w:rPr>
                <w:rFonts w:hint="eastAsia" w:ascii="宋体" w:hAnsi="宋体"/>
                <w:szCs w:val="21"/>
              </w:rPr>
              <w:t>20</w:t>
            </w:r>
          </w:p>
        </w:tc>
        <w:tc>
          <w:tcPr>
            <w:tcW w:w="2653" w:type="dxa"/>
            <w:vAlign w:val="center"/>
          </w:tcPr>
          <w:p>
            <w:pPr>
              <w:rPr>
                <w:rFonts w:ascii="宋体" w:hAnsi="宋体"/>
                <w:szCs w:val="21"/>
              </w:rPr>
            </w:pPr>
            <w:r>
              <w:rPr>
                <w:rFonts w:hint="eastAsia" w:ascii="宋体" w:hAnsi="宋体"/>
                <w:szCs w:val="21"/>
              </w:rPr>
              <w:t>转台显示器防雨罩</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trPr>
        <w:tc>
          <w:tcPr>
            <w:tcW w:w="959" w:type="dxa"/>
            <w:vAlign w:val="center"/>
          </w:tcPr>
          <w:p>
            <w:pPr>
              <w:rPr>
                <w:rFonts w:ascii="宋体" w:hAnsi="宋体"/>
                <w:szCs w:val="21"/>
              </w:rPr>
            </w:pPr>
            <w:r>
              <w:rPr>
                <w:rFonts w:hint="eastAsia" w:ascii="宋体" w:hAnsi="宋体"/>
                <w:szCs w:val="21"/>
              </w:rPr>
              <w:t>21</w:t>
            </w:r>
          </w:p>
        </w:tc>
        <w:tc>
          <w:tcPr>
            <w:tcW w:w="2653" w:type="dxa"/>
            <w:vAlign w:val="center"/>
          </w:tcPr>
          <w:p>
            <w:pPr>
              <w:rPr>
                <w:rFonts w:ascii="宋体" w:hAnsi="宋体"/>
                <w:szCs w:val="21"/>
              </w:rPr>
            </w:pPr>
            <w:r>
              <w:rPr>
                <w:rFonts w:hint="eastAsia" w:ascii="宋体" w:hAnsi="宋体"/>
                <w:szCs w:val="21"/>
              </w:rPr>
              <w:t>转台座椅防雨罩</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59" w:type="dxa"/>
            <w:vAlign w:val="center"/>
          </w:tcPr>
          <w:p>
            <w:pPr>
              <w:rPr>
                <w:rFonts w:ascii="宋体" w:hAnsi="宋体"/>
                <w:szCs w:val="21"/>
              </w:rPr>
            </w:pPr>
            <w:r>
              <w:rPr>
                <w:rFonts w:hint="eastAsia" w:ascii="宋体" w:hAnsi="宋体"/>
                <w:szCs w:val="21"/>
              </w:rPr>
              <w:t>22</w:t>
            </w:r>
          </w:p>
        </w:tc>
        <w:tc>
          <w:tcPr>
            <w:tcW w:w="2653" w:type="dxa"/>
            <w:vAlign w:val="center"/>
          </w:tcPr>
          <w:p>
            <w:pPr>
              <w:rPr>
                <w:rFonts w:ascii="宋体" w:hAnsi="宋体"/>
                <w:szCs w:val="21"/>
              </w:rPr>
            </w:pPr>
            <w:r>
              <w:rPr>
                <w:rFonts w:hint="eastAsia" w:ascii="宋体" w:hAnsi="宋体"/>
                <w:szCs w:val="21"/>
              </w:rPr>
              <w:t>垫板</w:t>
            </w:r>
          </w:p>
        </w:tc>
        <w:tc>
          <w:tcPr>
            <w:tcW w:w="2460" w:type="dxa"/>
            <w:vAlign w:val="center"/>
          </w:tcPr>
          <w:p>
            <w:pPr>
              <w:rPr>
                <w:rFonts w:ascii="宋体" w:hAnsi="宋体"/>
                <w:szCs w:val="21"/>
              </w:rPr>
            </w:pPr>
            <w:r>
              <w:rPr>
                <w:rFonts w:hint="eastAsia" w:ascii="宋体" w:hAnsi="宋体"/>
                <w:szCs w:val="21"/>
              </w:rPr>
              <w:t>5</w:t>
            </w:r>
            <w:r>
              <w:rPr>
                <w:rFonts w:ascii="宋体" w:hAnsi="宋体"/>
                <w:szCs w:val="21"/>
              </w:rPr>
              <w:t>00×</w:t>
            </w:r>
            <w:r>
              <w:rPr>
                <w:rFonts w:hint="eastAsia" w:ascii="宋体" w:hAnsi="宋体"/>
                <w:szCs w:val="21"/>
              </w:rPr>
              <w:t>5</w:t>
            </w:r>
            <w:r>
              <w:rPr>
                <w:rFonts w:ascii="宋体" w:hAnsi="宋体"/>
                <w:szCs w:val="21"/>
              </w:rPr>
              <w:t>00×δ50</w:t>
            </w:r>
          </w:p>
        </w:tc>
        <w:tc>
          <w:tcPr>
            <w:tcW w:w="832" w:type="dxa"/>
            <w:vAlign w:val="center"/>
          </w:tcPr>
          <w:p>
            <w:pPr>
              <w:rPr>
                <w:rFonts w:ascii="宋体" w:hAnsi="宋体"/>
                <w:szCs w:val="21"/>
              </w:rPr>
            </w:pPr>
            <w:r>
              <w:rPr>
                <w:rFonts w:hint="eastAsia" w:ascii="宋体" w:hAnsi="宋体"/>
                <w:szCs w:val="21"/>
              </w:rPr>
              <w:t>块</w:t>
            </w:r>
          </w:p>
        </w:tc>
        <w:tc>
          <w:tcPr>
            <w:tcW w:w="780" w:type="dxa"/>
            <w:vAlign w:val="center"/>
          </w:tcPr>
          <w:p>
            <w:pPr>
              <w:rPr>
                <w:rFonts w:ascii="宋体" w:hAnsi="宋体"/>
                <w:szCs w:val="21"/>
              </w:rPr>
            </w:pPr>
            <w:r>
              <w:rPr>
                <w:rFonts w:hint="eastAsia" w:ascii="宋体" w:hAnsi="宋体"/>
                <w:szCs w:val="21"/>
              </w:rPr>
              <w:t>4</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59" w:type="dxa"/>
            <w:vAlign w:val="center"/>
          </w:tcPr>
          <w:p>
            <w:pPr>
              <w:rPr>
                <w:rFonts w:ascii="宋体" w:hAnsi="宋体"/>
                <w:szCs w:val="21"/>
              </w:rPr>
            </w:pPr>
            <w:r>
              <w:rPr>
                <w:rFonts w:hint="eastAsia" w:ascii="宋体" w:hAnsi="宋体"/>
                <w:szCs w:val="21"/>
              </w:rPr>
              <w:t>23</w:t>
            </w:r>
          </w:p>
        </w:tc>
        <w:tc>
          <w:tcPr>
            <w:tcW w:w="2653" w:type="dxa"/>
            <w:vAlign w:val="center"/>
          </w:tcPr>
          <w:p>
            <w:pPr>
              <w:rPr>
                <w:rFonts w:ascii="宋体" w:hAnsi="宋体"/>
                <w:szCs w:val="21"/>
              </w:rPr>
            </w:pPr>
            <w:r>
              <w:rPr>
                <w:rFonts w:hint="eastAsia" w:ascii="宋体" w:hAnsi="宋体"/>
                <w:szCs w:val="21"/>
              </w:rPr>
              <w:t>备胎</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个</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959" w:type="dxa"/>
            <w:vAlign w:val="center"/>
          </w:tcPr>
          <w:p>
            <w:pPr>
              <w:rPr>
                <w:rFonts w:ascii="宋体" w:hAnsi="宋体"/>
                <w:szCs w:val="21"/>
              </w:rPr>
            </w:pPr>
            <w:r>
              <w:rPr>
                <w:rFonts w:hint="eastAsia" w:ascii="宋体" w:hAnsi="宋体"/>
                <w:szCs w:val="21"/>
              </w:rPr>
              <w:t>24</w:t>
            </w:r>
          </w:p>
        </w:tc>
        <w:tc>
          <w:tcPr>
            <w:tcW w:w="2653" w:type="dxa"/>
            <w:vAlign w:val="center"/>
          </w:tcPr>
          <w:p>
            <w:pPr>
              <w:rPr>
                <w:rFonts w:ascii="宋体" w:hAnsi="宋体"/>
                <w:szCs w:val="21"/>
              </w:rPr>
            </w:pPr>
            <w:r>
              <w:rPr>
                <w:rFonts w:hint="eastAsia" w:ascii="宋体" w:hAnsi="宋体"/>
                <w:szCs w:val="21"/>
              </w:rPr>
              <w:t>随车工具</w:t>
            </w:r>
          </w:p>
        </w:tc>
        <w:tc>
          <w:tcPr>
            <w:tcW w:w="2460" w:type="dxa"/>
            <w:vAlign w:val="center"/>
          </w:tcPr>
          <w:p>
            <w:pPr>
              <w:rPr>
                <w:rFonts w:ascii="宋体" w:hAnsi="宋体"/>
                <w:szCs w:val="21"/>
              </w:rPr>
            </w:pPr>
          </w:p>
        </w:tc>
        <w:tc>
          <w:tcPr>
            <w:tcW w:w="832" w:type="dxa"/>
            <w:vAlign w:val="center"/>
          </w:tcPr>
          <w:p>
            <w:pPr>
              <w:rPr>
                <w:rFonts w:ascii="宋体" w:hAnsi="宋体"/>
                <w:szCs w:val="21"/>
              </w:rPr>
            </w:pPr>
            <w:r>
              <w:rPr>
                <w:rFonts w:hint="eastAsia" w:ascii="宋体" w:hAnsi="宋体"/>
                <w:szCs w:val="21"/>
              </w:rPr>
              <w:t>套</w:t>
            </w:r>
          </w:p>
        </w:tc>
        <w:tc>
          <w:tcPr>
            <w:tcW w:w="780" w:type="dxa"/>
            <w:vAlign w:val="center"/>
          </w:tcPr>
          <w:p>
            <w:pPr>
              <w:rPr>
                <w:rFonts w:ascii="宋体" w:hAnsi="宋体"/>
                <w:szCs w:val="21"/>
              </w:rPr>
            </w:pPr>
            <w:r>
              <w:rPr>
                <w:rFonts w:hint="eastAsia" w:ascii="宋体" w:hAnsi="宋体"/>
                <w:szCs w:val="21"/>
              </w:rPr>
              <w:t>1</w:t>
            </w:r>
          </w:p>
        </w:tc>
        <w:tc>
          <w:tcPr>
            <w:tcW w:w="1765" w:type="dxa"/>
            <w:vAlign w:val="center"/>
          </w:tcPr>
          <w:p>
            <w:pPr>
              <w:rPr>
                <w:rFonts w:ascii="宋体" w:hAnsi="宋体"/>
                <w:szCs w:val="21"/>
              </w:rPr>
            </w:pPr>
            <w:r>
              <w:rPr>
                <w:rFonts w:hint="eastAsia" w:ascii="宋体" w:hAnsi="宋体"/>
                <w:szCs w:val="21"/>
              </w:rPr>
              <w:t>底盘厂随车附件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959" w:type="dxa"/>
            <w:vAlign w:val="center"/>
          </w:tcPr>
          <w:p>
            <w:pPr>
              <w:rPr>
                <w:rFonts w:ascii="宋体" w:hAnsi="宋体"/>
                <w:szCs w:val="21"/>
              </w:rPr>
            </w:pPr>
            <w:r>
              <w:rPr>
                <w:rFonts w:hint="eastAsia" w:ascii="宋体" w:hAnsi="宋体"/>
                <w:szCs w:val="21"/>
              </w:rPr>
              <w:t>25</w:t>
            </w:r>
          </w:p>
        </w:tc>
        <w:tc>
          <w:tcPr>
            <w:tcW w:w="2653" w:type="dxa"/>
            <w:vAlign w:val="center"/>
          </w:tcPr>
          <w:p>
            <w:pPr>
              <w:rPr>
                <w:rFonts w:ascii="宋体" w:hAnsi="宋体"/>
                <w:szCs w:val="21"/>
              </w:rPr>
            </w:pPr>
            <w:r>
              <w:rPr>
                <w:rFonts w:hint="eastAsia" w:ascii="宋体" w:hAnsi="宋体"/>
                <w:szCs w:val="21"/>
              </w:rPr>
              <w:t>25-80-20水带</w:t>
            </w:r>
          </w:p>
        </w:tc>
        <w:tc>
          <w:tcPr>
            <w:tcW w:w="2460" w:type="dxa"/>
            <w:vAlign w:val="center"/>
          </w:tcPr>
          <w:p>
            <w:pPr>
              <w:rPr>
                <w:rFonts w:ascii="宋体" w:hAnsi="宋体"/>
                <w:szCs w:val="21"/>
              </w:rPr>
            </w:pPr>
            <w:r>
              <w:rPr>
                <w:rFonts w:hint="eastAsia" w:ascii="宋体" w:hAnsi="宋体"/>
                <w:szCs w:val="21"/>
              </w:rPr>
              <w:t>含快速接口</w:t>
            </w:r>
          </w:p>
        </w:tc>
        <w:tc>
          <w:tcPr>
            <w:tcW w:w="832" w:type="dxa"/>
            <w:vAlign w:val="center"/>
          </w:tcPr>
          <w:p>
            <w:pPr>
              <w:rPr>
                <w:rFonts w:ascii="宋体" w:hAnsi="宋体"/>
                <w:szCs w:val="21"/>
              </w:rPr>
            </w:pPr>
            <w:r>
              <w:rPr>
                <w:rFonts w:hint="eastAsia" w:ascii="宋体" w:hAnsi="宋体"/>
                <w:szCs w:val="21"/>
              </w:rPr>
              <w:t>盘</w:t>
            </w:r>
          </w:p>
        </w:tc>
        <w:tc>
          <w:tcPr>
            <w:tcW w:w="780" w:type="dxa"/>
            <w:vAlign w:val="center"/>
          </w:tcPr>
          <w:p>
            <w:pPr>
              <w:rPr>
                <w:rFonts w:ascii="宋体" w:hAnsi="宋体"/>
                <w:szCs w:val="21"/>
              </w:rPr>
            </w:pPr>
            <w:r>
              <w:rPr>
                <w:rFonts w:hint="eastAsia" w:ascii="宋体" w:hAnsi="宋体"/>
                <w:szCs w:val="21"/>
              </w:rPr>
              <w:t>50</w:t>
            </w:r>
          </w:p>
        </w:tc>
        <w:tc>
          <w:tcPr>
            <w:tcW w:w="1765" w:type="dxa"/>
            <w:vAlign w:val="center"/>
          </w:tcPr>
          <w:p>
            <w:pPr>
              <w:rPr>
                <w:rFonts w:ascii="宋体" w:hAnsi="宋体"/>
                <w:szCs w:val="21"/>
              </w:rPr>
            </w:pPr>
          </w:p>
        </w:tc>
      </w:tr>
    </w:tbl>
    <w:p>
      <w:pPr>
        <w:adjustRightInd w:val="0"/>
        <w:spacing w:line="440" w:lineRule="exact"/>
        <w:ind w:firstLine="482" w:firstLineChars="200"/>
        <w:jc w:val="left"/>
        <w:textAlignment w:val="baseline"/>
        <w:rPr>
          <w:rFonts w:ascii="宋体" w:hAnsi="宋体" w:cs="宋体"/>
          <w:b/>
          <w:color w:val="000000"/>
          <w:sz w:val="24"/>
          <w:szCs w:val="24"/>
        </w:rPr>
      </w:pPr>
      <w:r>
        <w:rPr>
          <w:rFonts w:hint="eastAsia" w:ascii="宋体" w:hAnsi="宋体" w:cs="宋体"/>
          <w:b/>
          <w:color w:val="000000"/>
          <w:sz w:val="24"/>
          <w:szCs w:val="24"/>
        </w:rPr>
        <w:t>二、其它要求</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cs="宋体"/>
          <w:sz w:val="24"/>
        </w:rPr>
        <w:t>投</w:t>
      </w:r>
      <w:r>
        <w:rPr>
          <w:rFonts w:hint="eastAsia" w:ascii="宋体" w:hAnsi="宋体"/>
          <w:sz w:val="24"/>
        </w:rPr>
        <w:t>标人须明确所投产品的厂家、品牌、型号、详细参数及功能，否则为无效投标。</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强制性产品认证</w:t>
      </w:r>
    </w:p>
    <w:p>
      <w:pPr>
        <w:adjustRightInd w:val="0"/>
        <w:snapToGrid w:val="0"/>
        <w:spacing w:line="440" w:lineRule="exact"/>
        <w:ind w:firstLine="480" w:firstLineChars="200"/>
        <w:rPr>
          <w:rFonts w:ascii="宋体" w:hAnsi="宋体"/>
          <w:b/>
          <w:sz w:val="24"/>
        </w:rPr>
      </w:pPr>
      <w:r>
        <w:rPr>
          <w:rFonts w:hint="eastAsia" w:ascii="宋体" w:hAnsi="宋体"/>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r>
        <w:rPr>
          <w:rFonts w:hint="eastAsia" w:ascii="宋体" w:hAnsi="宋体"/>
          <w:b/>
          <w:sz w:val="24"/>
        </w:rPr>
        <w:t>本项目产品未被列入则不需提供。</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设备必须符合国家质量检测标准和本招</w:t>
      </w:r>
      <w:r>
        <w:rPr>
          <w:rFonts w:ascii="宋体" w:hAnsi="宋体"/>
          <w:sz w:val="24"/>
        </w:rPr>
        <w:t>标</w:t>
      </w:r>
      <w:r>
        <w:rPr>
          <w:rFonts w:hint="eastAsia" w:ascii="宋体" w:hAnsi="宋体"/>
          <w:sz w:val="24"/>
        </w:rPr>
        <w:t>文件规定标准的全新正品现货，供货时随货物提供《产品合格证》及其它相关质量证明文件。</w:t>
      </w:r>
    </w:p>
    <w:p>
      <w:pPr>
        <w:numPr>
          <w:ilvl w:val="0"/>
          <w:numId w:val="5"/>
        </w:numPr>
        <w:adjustRightInd w:val="0"/>
        <w:snapToGrid w:val="0"/>
        <w:spacing w:line="440" w:lineRule="exact"/>
        <w:ind w:firstLine="480" w:firstLineChars="200"/>
        <w:rPr>
          <w:rFonts w:ascii="宋体" w:hAnsi="宋体"/>
          <w:sz w:val="24"/>
        </w:rPr>
      </w:pPr>
      <w:r>
        <w:rPr>
          <w:rFonts w:hint="eastAsia" w:ascii="宋体" w:hAnsi="宋体"/>
          <w:sz w:val="24"/>
        </w:rPr>
        <w:t>专利权：供应商应保证用户在使用该货物或其任何一部分时不受第三方提出侵犯其专利权、商标权和工业设计权等起诉。</w:t>
      </w:r>
    </w:p>
    <w:p>
      <w:pPr>
        <w:numPr>
          <w:ilvl w:val="0"/>
          <w:numId w:val="5"/>
        </w:numPr>
        <w:adjustRightInd w:val="0"/>
        <w:snapToGrid w:val="0"/>
        <w:spacing w:line="400" w:lineRule="exact"/>
        <w:ind w:firstLine="480" w:firstLineChars="200"/>
        <w:rPr>
          <w:rFonts w:ascii="宋体" w:hAnsi="宋体"/>
          <w:sz w:val="24"/>
        </w:rPr>
      </w:pPr>
      <w:r>
        <w:rPr>
          <w:rFonts w:hint="eastAsia" w:ascii="宋体" w:hAnsi="宋体"/>
          <w:sz w:val="24"/>
        </w:rPr>
        <w:t>验收</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1开箱验收。中标供应商在指定地点交货时须由采供双方共同开箱验收，填写交货验收单。验收的主要内容包括：产品外观、数量、产品标示、产品合格证、产品检测报告（如需要）、产品参数、品牌型号、厂家及产地。本验收如发现与中标产品不符时，应中止交货。</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.2项目验收。产品安装调试完成，试运行和测试合格，符合验收条件，由供应商提出验收审请，并向验收小组提供测试运行报告。</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.3由采购人组成验收小组，成员包括邀请专家、第三方机构或其他供应商组成。验收小组根据招标文件、投标文件、采购合同、国家相关标准进行验收，出具验收意见，签署验收报告书。</w:t>
      </w:r>
    </w:p>
    <w:p>
      <w:pPr>
        <w:adjustRightInd w:val="0"/>
        <w:snapToGrid w:val="0"/>
        <w:spacing w:line="40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 售后服务及培训</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.1本项目所有产品必须提供2年质保售后服务。投标产品厂家需提供400等7*24小时电话服务；厂家须提供售中、售后全方位的技术支持。</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2供应商须明确免费保修期，同时应提出故障响应时间，须明确维修点地址、负责人、联系人和联系电话，维修点具备什么样的维修能力等详细资料。在免费保维期内，同一质量问题连续两次维修仍无法正常使用，供应商必须予以更换同品牌、同型号的全新产品，超过保修期发生故障，用户可自由选择维修单位，如委托给谈判供应商，供应商不得借故推诿，并且维修费不能超过市场平均价格。</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.3供应商须对所供产品的使用、操作、维护保养等方面的技术进行现场或异地培训。具体培训计划、内容及目标应在合同中约定，其费用包含在总报价内。</w:t>
      </w:r>
    </w:p>
    <w:p>
      <w:pPr>
        <w:adjustRightInd w:val="0"/>
        <w:snapToGrid w:val="0"/>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.本项目为交钥匙工程，投标报价为总包价,包括设备、材料、元件等购置、安装调试、验收、培训、售后服务、施工所产生的费用等，招标采购人不另行支付任何其他费用。</w:t>
      </w:r>
    </w:p>
    <w:p>
      <w:pPr>
        <w:adjustRightInd w:val="0"/>
        <w:snapToGrid w:val="0"/>
        <w:spacing w:line="440" w:lineRule="exact"/>
        <w:ind w:firstLine="482" w:firstLineChars="200"/>
        <w:rPr>
          <w:rFonts w:ascii="宋体" w:hAnsi="宋体"/>
          <w:kern w:val="0"/>
          <w:sz w:val="24"/>
        </w:rPr>
      </w:pPr>
      <w:r>
        <w:rPr>
          <w:rFonts w:hint="eastAsia" w:ascii="宋体" w:hAnsi="宋体"/>
          <w:b/>
          <w:bCs/>
          <w:kern w:val="0"/>
          <w:sz w:val="24"/>
          <w:lang w:val="en-US" w:eastAsia="zh-CN"/>
        </w:rPr>
        <w:t>8</w:t>
      </w:r>
      <w:r>
        <w:rPr>
          <w:rFonts w:hint="eastAsia" w:ascii="宋体" w:hAnsi="宋体"/>
          <w:b/>
          <w:bCs/>
          <w:kern w:val="0"/>
          <w:sz w:val="24"/>
        </w:rPr>
        <w:t>.付款方式：</w:t>
      </w:r>
      <w:r>
        <w:rPr>
          <w:rFonts w:hint="eastAsia" w:ascii="宋体" w:hAnsi="宋体"/>
          <w:kern w:val="0"/>
          <w:sz w:val="24"/>
        </w:rPr>
        <w:t>设备到货安装调试完成，经河南省公安消防总队验收合格后支付合同总价的90%，剩余10%满一年无质量问题一次付清。</w:t>
      </w:r>
    </w:p>
    <w:p>
      <w:pPr>
        <w:adjustRightInd w:val="0"/>
        <w:snapToGrid w:val="0"/>
        <w:spacing w:line="440" w:lineRule="exact"/>
        <w:ind w:firstLine="480" w:firstLineChars="200"/>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.合同签订后90日内交货，90日仍未全部交货，采购方有权选择合同终止，供方应承担由此发生的全部费用。供方在本合同规定的交货期内不能交货，应向需方支付全部合同金额10%的违约金，需方有权终止合同。</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项目名称：举高喷射消防车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项目编号：JZFCG-G2018005-2号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项目内容：举高喷射消防车1台及随车器具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cs="宋体"/>
                <w:color w:val="000000"/>
                <w:kern w:val="0"/>
                <w:sz w:val="24"/>
              </w:rPr>
              <w:t>许昌经济技术开发区公安消防大队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cs="宋体"/>
                <w:color w:val="000000"/>
                <w:kern w:val="0"/>
                <w:sz w:val="24"/>
              </w:rPr>
              <w:t>许昌经济技术开发区公安消防大队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w:t>
            </w:r>
            <w:r>
              <w:rPr>
                <w:rFonts w:hint="eastAsia" w:ascii="宋体" w:hAnsi="宋体" w:cs="宋体"/>
                <w:kern w:val="0"/>
                <w:sz w:val="24"/>
              </w:rPr>
              <w:t>工农路与瑞昌路交叉口</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cs="宋体"/>
                <w:kern w:val="0"/>
                <w:sz w:val="24"/>
              </w:rPr>
              <w:t>王景陶</w:t>
            </w:r>
            <w:r>
              <w:rPr>
                <w:rFonts w:hint="eastAsia" w:cs="仿宋_GB2312" w:asciiTheme="minorEastAsia" w:hAnsiTheme="minorEastAsia"/>
                <w:sz w:val="24"/>
                <w:szCs w:val="24"/>
              </w:rPr>
              <w:t xml:space="preserve">     电话：</w:t>
            </w:r>
            <w:r>
              <w:rPr>
                <w:rFonts w:hint="eastAsia" w:ascii="宋体" w:hAnsi="宋体" w:cs="宋体"/>
                <w:kern w:val="0"/>
                <w:sz w:val="24"/>
              </w:rPr>
              <w:t>15038913726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cs="宋体"/>
                <w:kern w:val="0"/>
                <w:sz w:val="24"/>
              </w:rPr>
              <w:t>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fldChar w:fldCharType="begin"/>
            </w:r>
            <w:r>
              <w:instrText xml:space="preserve"> HYPERLINK "mailto:xcgdzfcg@126.com；地址：许昌市莲城大道亨源通世广场1号楼401" </w:instrText>
            </w:r>
            <w:r>
              <w:fldChar w:fldCharType="separate"/>
            </w:r>
            <w:r>
              <w:rPr>
                <w:rFonts w:hint="eastAsia" w:ascii="宋体" w:hAnsi="宋体" w:cs="宋体"/>
                <w:kern w:val="0"/>
                <w:sz w:val="24"/>
              </w:rPr>
              <w:t>许昌市莲城大道亨源通世纪广场1号楼401</w:t>
            </w:r>
            <w:r>
              <w:rPr>
                <w:rFonts w:hint="eastAsia" w:ascii="宋体" w:hAnsi="宋体" w:cs="宋体"/>
                <w:kern w:val="0"/>
                <w:sz w:val="24"/>
              </w:rPr>
              <w:fldChar w:fldCharType="end"/>
            </w:r>
            <w:r>
              <w:rPr>
                <w:rFonts w:hint="eastAsia" w:ascii="宋体" w:hAnsi="宋体" w:cs="宋体"/>
                <w:kern w:val="0"/>
                <w:sz w:val="24"/>
              </w:rPr>
              <w:t>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联系人：刘艳艳     电话：</w:t>
            </w:r>
            <w:r>
              <w:rPr>
                <w:rFonts w:hint="eastAsia" w:ascii="宋体" w:hAnsi="宋体" w:cs="宋体"/>
                <w:kern w:val="0"/>
                <w:sz w:val="24"/>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时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w:t>
            </w:r>
            <w:r>
              <w:rPr>
                <w:rFonts w:hint="eastAsia" w:cs="宋体" w:asciiTheme="minorEastAsia" w:hAnsiTheme="minorEastAsia"/>
                <w:b/>
                <w:bCs/>
                <w:sz w:val="24"/>
                <w:szCs w:val="24"/>
                <w:lang w:val="zh-CN"/>
              </w:rPr>
              <w:t>（其他组织和自然人投标时提供）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150</w:t>
            </w:r>
            <w:r>
              <w:rPr>
                <w:rFonts w:hint="eastAsia" w:cs="宋体" w:asciiTheme="minorEastAsia" w:hAnsiTheme="minorEastAsia"/>
                <w:bCs/>
                <w:sz w:val="24"/>
                <w:szCs w:val="24"/>
                <w:lang w:val="zh-CN"/>
              </w:rPr>
              <w:t xml:space="preserve"> 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0000FF"/>
                <w:sz w:val="24"/>
                <w:szCs w:val="24"/>
                <w:lang w:val="zh-CN"/>
              </w:rPr>
              <w:t>2018年</w:t>
            </w:r>
            <w:r>
              <w:rPr>
                <w:rFonts w:hint="eastAsia" w:cs="宋体" w:asciiTheme="minorEastAsia" w:hAnsiTheme="minorEastAsia"/>
                <w:bCs/>
                <w:color w:val="0000FF"/>
                <w:sz w:val="24"/>
                <w:szCs w:val="24"/>
              </w:rPr>
              <w:t>04</w:t>
            </w:r>
            <w:r>
              <w:rPr>
                <w:rFonts w:hint="eastAsia" w:cs="宋体" w:asciiTheme="minorEastAsia" w:hAnsiTheme="minorEastAsia"/>
                <w:bCs/>
                <w:color w:val="0000FF"/>
                <w:sz w:val="24"/>
                <w:szCs w:val="24"/>
                <w:lang w:val="zh-CN"/>
              </w:rPr>
              <w:t>月</w:t>
            </w:r>
            <w:r>
              <w:rPr>
                <w:rFonts w:hint="eastAsia" w:cs="宋体" w:asciiTheme="minorEastAsia" w:hAnsiTheme="minorEastAsia"/>
                <w:bCs/>
                <w:color w:val="0000FF"/>
                <w:sz w:val="24"/>
                <w:szCs w:val="24"/>
                <w:lang w:val="en-US" w:eastAsia="zh-CN"/>
              </w:rPr>
              <w:t xml:space="preserve">  </w:t>
            </w:r>
            <w:r>
              <w:rPr>
                <w:rFonts w:hint="eastAsia" w:cs="宋体" w:asciiTheme="minorEastAsia" w:hAnsiTheme="minorEastAsia"/>
                <w:bCs/>
                <w:color w:val="0000FF"/>
                <w:sz w:val="24"/>
                <w:szCs w:val="24"/>
                <w:lang w:val="zh-CN"/>
              </w:rPr>
              <w:t>日</w:t>
            </w:r>
            <w:r>
              <w:rPr>
                <w:rFonts w:hint="eastAsia" w:cs="宋体" w:asciiTheme="minorEastAsia" w:hAnsiTheme="minorEastAsia"/>
                <w:bCs/>
                <w:color w:val="0000FF"/>
                <w:sz w:val="24"/>
                <w:szCs w:val="24"/>
              </w:rPr>
              <w:t>9</w:t>
            </w:r>
            <w:r>
              <w:rPr>
                <w:rFonts w:hint="eastAsia" w:cs="宋体" w:asciiTheme="minorEastAsia" w:hAnsiTheme="minorEastAsia"/>
                <w:bCs/>
                <w:color w:val="0000FF"/>
                <w:sz w:val="24"/>
                <w:szCs w:val="24"/>
                <w:lang w:val="zh-CN"/>
              </w:rPr>
              <w:t>时</w:t>
            </w:r>
            <w:r>
              <w:rPr>
                <w:rFonts w:hint="eastAsia" w:cs="宋体" w:asciiTheme="minorEastAsia" w:hAnsiTheme="minorEastAsia"/>
                <w:bCs/>
                <w:color w:val="0000FF"/>
                <w:sz w:val="24"/>
                <w:szCs w:val="24"/>
              </w:rPr>
              <w:t>30</w:t>
            </w:r>
            <w:r>
              <w:rPr>
                <w:rFonts w:hint="eastAsia" w:cs="宋体" w:asciiTheme="minorEastAsia" w:hAnsiTheme="minorEastAsia"/>
                <w:bCs/>
                <w:color w:val="0000FF"/>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sz w:val="24"/>
                <w:szCs w:val="24"/>
                <w:lang w:val="zh-CN"/>
              </w:rPr>
              <w:t>叁万元整（¥30000.00元）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w:t>
            </w:r>
            <w:r>
              <w:rPr>
                <w:rFonts w:hint="eastAsia" w:cs="宋体" w:asciiTheme="minorEastAsia" w:hAnsiTheme="minorEastAsia"/>
                <w:b/>
                <w:bCs/>
                <w:color w:val="000000"/>
                <w:sz w:val="24"/>
                <w:szCs w:val="24"/>
              </w:rPr>
              <w:t>正本一份，副本</w:t>
            </w:r>
            <w:r>
              <w:rPr>
                <w:rFonts w:hint="eastAsia" w:cs="宋体" w:asciiTheme="minorEastAsia" w:hAnsiTheme="minorEastAsia"/>
                <w:b/>
                <w:bCs/>
                <w:color w:val="000000"/>
                <w:sz w:val="24"/>
                <w:szCs w:val="24"/>
                <w:lang w:eastAsia="zh-CN"/>
              </w:rPr>
              <w:t>一</w:t>
            </w:r>
            <w:r>
              <w:rPr>
                <w:rFonts w:hint="eastAsia" w:cs="宋体" w:asciiTheme="minorEastAsia" w:hAnsiTheme="minorEastAsia"/>
                <w:b/>
                <w:bCs/>
                <w:color w:val="000000"/>
                <w:sz w:val="24"/>
                <w:szCs w:val="24"/>
              </w:rPr>
              <w:t>份</w:t>
            </w:r>
            <w:r>
              <w:rPr>
                <w:rFonts w:hint="eastAsia" w:cs="宋体" w:asciiTheme="minorEastAsia" w:hAnsiTheme="minorEastAsia"/>
                <w:color w:val="000000"/>
                <w:sz w:val="24"/>
                <w:szCs w:val="24"/>
              </w:rPr>
              <w:t>。使用格式为“投标文件（供打印）.PDF”的文件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xcgdzfcg@126.com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ind w:firstLine="422" w:firstLineChars="176"/>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kern w:val="0"/>
          <w:sz w:val="24"/>
          <w:szCs w:val="24"/>
        </w:rPr>
        <w:t>（招标文件未明确要求提供证明的评委会不得强制审查）</w:t>
      </w:r>
    </w:p>
    <w:p>
      <w:pPr>
        <w:autoSpaceDE w:val="0"/>
        <w:autoSpaceDN w:val="0"/>
        <w:spacing w:line="360" w:lineRule="auto"/>
        <w:ind w:firstLine="422" w:firstLineChars="176"/>
        <w:contextualSpacing/>
        <w:rPr>
          <w:rFonts w:cs="宋体" w:asciiTheme="minorEastAsia" w:hAnsiTheme="minorEastAsia"/>
          <w:b/>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kern w:val="0"/>
          <w:sz w:val="24"/>
          <w:szCs w:val="24"/>
        </w:rPr>
        <w:t>招标文件未明确要求提供证明的评委会不得强制审查）</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ind w:firstLine="422" w:firstLineChars="176"/>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ind w:firstLine="422" w:firstLineChars="176"/>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6"/>
        <w:spacing w:line="374" w:lineRule="auto"/>
        <w:ind w:firstLine="422" w:firstLineChars="176"/>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ind w:firstLine="422" w:firstLineChars="176"/>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ind w:firstLine="422" w:firstLineChars="176"/>
        <w:contextualSpacing/>
        <w:rPr>
          <w:rFonts w:cs="仿宋_GB2312" w:asciiTheme="minorEastAsia" w:hAnsiTheme="minorEastAsia"/>
          <w:b/>
          <w:sz w:val="24"/>
          <w:szCs w:val="24"/>
        </w:rPr>
      </w:pPr>
      <w:r>
        <w:rPr>
          <w:rFonts w:hint="eastAsia" w:cs="仿宋_GB2312" w:asciiTheme="minorEastAsia" w:hAnsiTheme="minorEastAsia"/>
          <w:sz w:val="24"/>
          <w:szCs w:val="24"/>
        </w:rPr>
        <w:t>16.2.1.4 因投标人自身原因无法及时退还投标保证金，</w:t>
      </w:r>
      <w:r>
        <w:rPr>
          <w:rFonts w:hint="eastAsia" w:cs="仿宋_GB2312" w:asciiTheme="minorEastAsia" w:hAnsiTheme="minorEastAsia"/>
          <w:b/>
          <w:sz w:val="24"/>
          <w:szCs w:val="24"/>
        </w:rPr>
        <w:t>滞留三年以上的，投标保证金上缴财政。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ind w:firstLine="422" w:firstLineChars="176"/>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ind w:firstLine="422" w:firstLineChars="176"/>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ind w:firstLine="422" w:firstLineChars="176"/>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23.3.1 电子投标文件的解密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ind w:firstLine="422" w:firstLineChars="176"/>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2" w:firstLineChars="176"/>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ind w:firstLine="422" w:firstLineChars="176"/>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ind w:firstLine="422" w:firstLineChars="176"/>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4" w:name="OLE_LINK6"/>
      <w:r>
        <w:rPr>
          <w:rFonts w:hint="eastAsia" w:cs="仿宋_GB2312" w:asciiTheme="minorEastAsia" w:hAnsiTheme="minorEastAsia"/>
          <w:sz w:val="24"/>
          <w:szCs w:val="24"/>
          <w:lang w:val="zh-CN"/>
        </w:rPr>
        <w:t>财库[2014]68号</w:t>
      </w:r>
      <w:bookmarkEnd w:id="24"/>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86" w:rightChars="-41"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w:t>
            </w:r>
            <w:r>
              <w:rPr>
                <w:rFonts w:hint="eastAsia" w:asciiTheme="minorEastAsia" w:hAnsiTheme="minorEastAsia"/>
                <w:b/>
                <w:bCs/>
                <w:sz w:val="24"/>
                <w:szCs w:val="24"/>
              </w:rPr>
              <w:t>（其他组织和自然人投标提供）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w:t>
            </w:r>
            <w:r>
              <w:rPr>
                <w:rFonts w:hint="eastAsia" w:asciiTheme="minorEastAsia" w:hAnsiTheme="minorEastAsia"/>
                <w:b/>
                <w:bCs/>
                <w:sz w:val="24"/>
                <w:szCs w:val="24"/>
              </w:rPr>
              <w:t>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到的证书及材料，均须在电子投标文件中提供原件的扫描件（或图片）。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w:t>
      </w:r>
      <w:r>
        <w:rPr>
          <w:rFonts w:hint="eastAsia" w:cs="仿宋_GB2312" w:asciiTheme="minorEastAsia" w:hAnsiTheme="minorEastAsia"/>
          <w:b/>
          <w:sz w:val="24"/>
          <w:szCs w:val="24"/>
          <w:lang w:val="zh-CN"/>
        </w:rPr>
        <w:t>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40</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13</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47</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价格部分（满分</w:t>
            </w:r>
            <w:r>
              <w:rPr>
                <w:rFonts w:hint="eastAsia" w:asciiTheme="minorEastAsia" w:hAnsiTheme="minorEastAsia"/>
                <w:b/>
                <w:color w:val="auto"/>
                <w:sz w:val="24"/>
                <w:szCs w:val="24"/>
                <w:u w:val="single"/>
              </w:rPr>
              <w:t>40</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w:t>
            </w:r>
            <w:r>
              <w:rPr>
                <w:rFonts w:hint="eastAsia" w:asciiTheme="minorEastAsia" w:hAnsiTheme="minorEastAsia"/>
                <w:color w:val="auto"/>
                <w:sz w:val="24"/>
                <w:szCs w:val="24"/>
                <w:u w:val="single"/>
              </w:rPr>
              <w:t>40</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40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13</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信誉</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exact"/>
              <w:rPr>
                <w:rFonts w:ascii="宋体" w:hAnsi="宋体" w:eastAsia="宋体" w:cs="宋体"/>
                <w:b/>
                <w:i/>
                <w:color w:val="auto"/>
                <w:kern w:val="0"/>
                <w:sz w:val="24"/>
                <w:szCs w:val="24"/>
              </w:rPr>
            </w:pPr>
            <w:r>
              <w:rPr>
                <w:rFonts w:hint="eastAsia" w:ascii="宋体" w:hAnsi="宋体" w:eastAsia="宋体" w:cs="宋体"/>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节约能源、保护环境政策加分</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除政府强制采购的节能产品外，投标人所投其他产品属于“节能产品政府采购清单”优先采购产品，投标文件中须提供最新一期《节能产品政府采购清单》中产品所在页并加盖投标人公章的原件扫描件（或图片）。每项0.5分，满分1分。</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2、投标人所投产品属于“环境标志产品政府采购清单”内产品，投标文件中须提供最新一期《环保产品政府采购清单》中产品所在页并加盖投标人公章的原件扫描件（或图片）。每项0.5分，满分1分。</w:t>
            </w:r>
          </w:p>
          <w:p>
            <w:pPr>
              <w:spacing w:line="360" w:lineRule="exact"/>
              <w:rPr>
                <w:rFonts w:ascii="宋体" w:hAnsi="宋体" w:eastAsia="宋体" w:cs="宋体"/>
                <w:color w:val="auto"/>
                <w:sz w:val="24"/>
                <w:szCs w:val="24"/>
                <w:lang w:val="en-GB"/>
              </w:rPr>
            </w:pPr>
            <w:r>
              <w:rPr>
                <w:rFonts w:hint="eastAsia" w:ascii="宋体" w:hAnsi="宋体" w:eastAsia="宋体" w:cs="宋体"/>
                <w:bCs/>
                <w:color w:val="auto"/>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eastAsia="宋体" w:cs="宋体"/>
                <w:color w:val="auto"/>
                <w:sz w:val="24"/>
                <w:szCs w:val="24"/>
                <w:lang w:val="en-GB"/>
              </w:rPr>
            </w:pPr>
            <w:r>
              <w:rPr>
                <w:rFonts w:hint="eastAsia" w:ascii="宋体" w:hAnsi="宋体" w:eastAsia="宋体" w:cs="宋体"/>
                <w:color w:val="auto"/>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业绩</w:t>
            </w:r>
          </w:p>
        </w:tc>
        <w:tc>
          <w:tcPr>
            <w:tcW w:w="6237" w:type="dxa"/>
            <w:vAlign w:val="center"/>
          </w:tcPr>
          <w:p>
            <w:pPr>
              <w:spacing w:line="360" w:lineRule="exact"/>
              <w:rPr>
                <w:rFonts w:ascii="宋体" w:hAnsi="宋体" w:eastAsia="宋体" w:cs="宋体"/>
                <w:b/>
                <w:color w:val="auto"/>
                <w:sz w:val="24"/>
                <w:szCs w:val="24"/>
              </w:rPr>
            </w:pPr>
            <w:r>
              <w:rPr>
                <w:rFonts w:hint="eastAsia" w:ascii="宋体" w:hAnsi="宋体" w:eastAsia="宋体" w:cs="宋体"/>
                <w:color w:val="auto"/>
                <w:sz w:val="24"/>
                <w:szCs w:val="24"/>
              </w:rPr>
              <w:t>2016年来具有同类项目消防车销售合同，合同要素齐全，每份合同2分，最多8分。并提供合同和中标通知书复印件，提供不全者不得分。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bCs/>
                <w:color w:val="auto"/>
                <w:kern w:val="0"/>
                <w:sz w:val="24"/>
                <w:szCs w:val="24"/>
              </w:rPr>
              <w:t>投标文件的规范程度</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投标文件的编制符合招标文件的规定，根据装订整齐印刷精美的情况2分；投标文件编制无目录和页码，排序混乱和缺篇少页的不得分。</w:t>
            </w:r>
          </w:p>
        </w:tc>
        <w:tc>
          <w:tcPr>
            <w:tcW w:w="96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47</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对招标文件响应程度</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（1）未实质响应招标文件的要求为无效投标；</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（2）完全响应招标文件技术要求没有负偏离者35分；</w:t>
            </w:r>
          </w:p>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（3）投标的产品技术参数有正偏离者，经评审为实质性优于招标文件要求，每优于技术参数中有☆的加1分，最多加7分，满分42分。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42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cs="宋体"/>
                <w:bCs/>
                <w:color w:val="auto"/>
                <w:sz w:val="24"/>
                <w:szCs w:val="24"/>
              </w:rPr>
            </w:pPr>
            <w:r>
              <w:rPr>
                <w:rFonts w:hint="eastAsia" w:asciiTheme="minorEastAsia" w:hAnsiTheme="minorEastAsia"/>
                <w:color w:val="auto"/>
                <w:sz w:val="24"/>
                <w:szCs w:val="24"/>
              </w:rPr>
              <w:t>售后服务及培训</w:t>
            </w:r>
          </w:p>
        </w:tc>
        <w:tc>
          <w:tcPr>
            <w:tcW w:w="6237" w:type="dxa"/>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（1）根据投标人提供的售后服务承诺，服务方案、服务体系完整，质保期2年者，得2分；内容不齐全者得1分；未提供者不得分。</w:t>
            </w:r>
            <w:bookmarkStart w:id="33" w:name="_GoBack"/>
            <w:bookmarkEnd w:id="33"/>
          </w:p>
          <w:p>
            <w:pPr>
              <w:spacing w:line="360" w:lineRule="exact"/>
              <w:rPr>
                <w:rFonts w:ascii="宋体" w:hAnsi="宋体" w:eastAsia="宋体" w:cs="宋体"/>
                <w:color w:val="auto"/>
                <w:kern w:val="0"/>
                <w:sz w:val="24"/>
                <w:szCs w:val="24"/>
              </w:rPr>
            </w:pPr>
            <w:r>
              <w:rPr>
                <w:rFonts w:hint="eastAsia" w:ascii="宋体" w:hAnsi="宋体" w:eastAsia="宋体" w:cs="宋体"/>
                <w:color w:val="auto"/>
                <w:sz w:val="24"/>
                <w:szCs w:val="24"/>
              </w:rPr>
              <w:t>（2）投标人有正规的售后服务网点，售后服务人员配备完善，并且签订有授权委托售后服务协议者，得3分；未提供者不得分。</w:t>
            </w:r>
          </w:p>
        </w:tc>
        <w:tc>
          <w:tcPr>
            <w:tcW w:w="967" w:type="dxa"/>
            <w:vAlign w:val="center"/>
          </w:tcPr>
          <w:p>
            <w:pPr>
              <w:jc w:val="center"/>
              <w:rPr>
                <w:rFonts w:asciiTheme="minorEastAsia" w:hAnsiTheme="minorEastAsia"/>
                <w:color w:val="auto"/>
                <w:sz w:val="24"/>
                <w:szCs w:val="24"/>
                <w:u w:val="single"/>
              </w:rPr>
            </w:pPr>
            <w:r>
              <w:rPr>
                <w:rFonts w:hint="eastAsia" w:asciiTheme="minorEastAsia" w:hAnsiTheme="minorEastAsia"/>
                <w:color w:val="auto"/>
                <w:sz w:val="24"/>
                <w:szCs w:val="24"/>
                <w:u w:val="single"/>
              </w:rPr>
              <w:t>5</w:t>
            </w:r>
            <w:r>
              <w:rPr>
                <w:rFonts w:hint="eastAsia" w:asciiTheme="minorEastAsia" w:hAnsiTheme="minorEastAsia"/>
                <w:color w:val="auto"/>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本项目评标委会员向采购人按得分由高到低的顺序推荐不少于3名中标后选人。</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440" w:lineRule="exact"/>
        <w:rPr>
          <w:rFonts w:ascii="Arial" w:hAnsi="宋体" w:cs="Arial"/>
          <w:color w:val="000000"/>
          <w:sz w:val="24"/>
          <w:szCs w:val="24"/>
        </w:rPr>
      </w:pPr>
      <w:r>
        <w:rPr>
          <w:rFonts w:hint="eastAsia" w:ascii="Arial" w:hAnsi="宋体" w:cs="Arial"/>
          <w:color w:val="000000"/>
          <w:sz w:val="24"/>
          <w:szCs w:val="24"/>
        </w:rPr>
        <w:t>采购方（甲方）：</w:t>
      </w:r>
    </w:p>
    <w:p>
      <w:pPr>
        <w:spacing w:line="440" w:lineRule="exact"/>
        <w:rPr>
          <w:rFonts w:ascii="Arial" w:hAnsi="宋体" w:cs="Arial"/>
          <w:color w:val="000000"/>
          <w:sz w:val="24"/>
          <w:szCs w:val="24"/>
        </w:rPr>
      </w:pPr>
      <w:r>
        <w:rPr>
          <w:rFonts w:hint="eastAsia" w:ascii="Arial" w:hAnsi="宋体" w:cs="Arial"/>
          <w:color w:val="000000"/>
          <w:sz w:val="24"/>
          <w:szCs w:val="24"/>
        </w:rPr>
        <w:t xml:space="preserve">法定代表人：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委托代理人：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地址： </w:t>
      </w:r>
    </w:p>
    <w:p>
      <w:pPr>
        <w:spacing w:line="440" w:lineRule="exact"/>
        <w:rPr>
          <w:rFonts w:ascii="Arial" w:hAnsi="宋体" w:cs="Arial"/>
          <w:color w:val="000000"/>
          <w:sz w:val="24"/>
          <w:szCs w:val="24"/>
        </w:rPr>
      </w:pPr>
      <w:r>
        <w:rPr>
          <w:rFonts w:hint="eastAsia" w:ascii="Arial" w:hAnsi="宋体" w:cs="Arial"/>
          <w:color w:val="000000"/>
          <w:sz w:val="24"/>
          <w:szCs w:val="24"/>
        </w:rPr>
        <w:t>供应商（乙方）：</w:t>
      </w:r>
    </w:p>
    <w:p>
      <w:pPr>
        <w:spacing w:line="440" w:lineRule="exact"/>
        <w:rPr>
          <w:rFonts w:ascii="Arial" w:hAnsi="宋体" w:cs="Arial"/>
          <w:color w:val="000000"/>
          <w:sz w:val="24"/>
          <w:szCs w:val="24"/>
        </w:rPr>
      </w:pPr>
      <w:r>
        <w:rPr>
          <w:rFonts w:hint="eastAsia" w:ascii="Arial" w:hAnsi="宋体" w:cs="Arial"/>
          <w:color w:val="000000"/>
          <w:sz w:val="24"/>
          <w:szCs w:val="24"/>
        </w:rPr>
        <w:t>法定代表人：</w:t>
      </w:r>
    </w:p>
    <w:p>
      <w:pPr>
        <w:spacing w:line="440" w:lineRule="exact"/>
        <w:rPr>
          <w:rFonts w:ascii="Arial" w:hAnsi="宋体" w:cs="Arial"/>
          <w:color w:val="000000"/>
          <w:sz w:val="24"/>
          <w:szCs w:val="24"/>
        </w:rPr>
      </w:pPr>
      <w:r>
        <w:rPr>
          <w:rFonts w:hint="eastAsia" w:ascii="Arial" w:hAnsi="宋体" w:cs="Arial"/>
          <w:color w:val="000000"/>
          <w:sz w:val="24"/>
          <w:szCs w:val="24"/>
        </w:rPr>
        <w:t>委托代理人：</w:t>
      </w:r>
    </w:p>
    <w:p>
      <w:pPr>
        <w:spacing w:line="440" w:lineRule="exact"/>
        <w:rPr>
          <w:rFonts w:ascii="Arial" w:hAnsi="宋体" w:cs="Arial"/>
          <w:color w:val="000000"/>
          <w:sz w:val="24"/>
          <w:szCs w:val="24"/>
        </w:rPr>
      </w:pPr>
      <w:r>
        <w:rPr>
          <w:rFonts w:hint="eastAsia" w:ascii="Arial" w:hAnsi="宋体" w:cs="Arial"/>
          <w:color w:val="000000"/>
          <w:sz w:val="24"/>
          <w:szCs w:val="24"/>
        </w:rPr>
        <w:t>地址：</w:t>
      </w:r>
    </w:p>
    <w:p>
      <w:pPr>
        <w:spacing w:line="440" w:lineRule="exact"/>
        <w:rPr>
          <w:rFonts w:ascii="Arial" w:hAnsi="宋体" w:cs="Arial"/>
          <w:color w:val="000000"/>
          <w:sz w:val="24"/>
          <w:szCs w:val="24"/>
        </w:rPr>
      </w:pPr>
      <w:r>
        <w:rPr>
          <w:rFonts w:hint="eastAsia" w:eastAsia="仿宋_GB2312"/>
          <w:sz w:val="28"/>
          <w:szCs w:val="28"/>
        </w:rPr>
        <w:t xml:space="preserve">   </w:t>
      </w:r>
      <w:r>
        <w:rPr>
          <w:rFonts w:hint="eastAsia" w:eastAsia="仿宋_GB2312"/>
          <w:sz w:val="28"/>
          <w:szCs w:val="28"/>
          <w:u w:val="single"/>
        </w:rPr>
        <w:t xml:space="preserve">              </w:t>
      </w:r>
      <w:r>
        <w:rPr>
          <w:rFonts w:hint="eastAsia" w:ascii="Arial" w:hAnsi="宋体" w:cs="Arial"/>
          <w:color w:val="000000"/>
          <w:sz w:val="24"/>
          <w:szCs w:val="24"/>
        </w:rPr>
        <w:t>（以下简称甲方）和</w:t>
      </w:r>
      <w:r>
        <w:rPr>
          <w:rFonts w:hint="eastAsia" w:ascii="Arial" w:hAnsi="宋体" w:cs="Arial"/>
          <w:color w:val="000000"/>
          <w:sz w:val="24"/>
          <w:szCs w:val="24"/>
          <w:u w:val="single"/>
        </w:rPr>
        <w:t xml:space="preserve">                 </w:t>
      </w:r>
      <w:r>
        <w:rPr>
          <w:rFonts w:hint="eastAsia" w:ascii="Arial" w:hAnsi="宋体" w:cs="Arial"/>
          <w:color w:val="000000"/>
          <w:sz w:val="24"/>
          <w:szCs w:val="24"/>
        </w:rPr>
        <w:t>（以下简称卖方），根据《中华人民共和国合同法》和《中华人民共和国政采购法》等有关法律法规的规定，依据</w:t>
      </w:r>
      <w:r>
        <w:rPr>
          <w:rFonts w:hint="eastAsia" w:ascii="Arial" w:hAnsi="宋体" w:cs="Arial"/>
          <w:color w:val="000000"/>
          <w:sz w:val="24"/>
          <w:szCs w:val="24"/>
          <w:u w:val="single"/>
        </w:rPr>
        <w:t>XXXXX</w:t>
      </w:r>
      <w:r>
        <w:rPr>
          <w:rFonts w:hint="eastAsia" w:ascii="Arial" w:hAnsi="宋体" w:cs="Arial"/>
          <w:color w:val="000000"/>
          <w:sz w:val="24"/>
          <w:szCs w:val="24"/>
        </w:rPr>
        <w:t>项目（编号</w:t>
      </w:r>
      <w:r>
        <w:rPr>
          <w:rFonts w:hint="eastAsia" w:ascii="Arial" w:hAnsi="宋体" w:cs="Arial"/>
          <w:color w:val="000000"/>
          <w:sz w:val="24"/>
          <w:szCs w:val="24"/>
          <w:u w:val="single"/>
        </w:rPr>
        <w:t>：  号</w:t>
      </w:r>
      <w:r>
        <w:rPr>
          <w:rFonts w:hint="eastAsia" w:ascii="Arial" w:hAnsi="宋体" w:cs="Arial"/>
          <w:color w:val="000000"/>
          <w:sz w:val="24"/>
          <w:szCs w:val="24"/>
        </w:rPr>
        <w:t>）的中标通知书要求，遵循平等、自愿、公平和诚实信用原则，同意按照下面的条款和条件订立以下合同条款，共同信守。</w:t>
      </w:r>
    </w:p>
    <w:p>
      <w:pPr>
        <w:spacing w:line="440" w:lineRule="exact"/>
        <w:rPr>
          <w:rFonts w:ascii="宋体" w:hAnsi="宋体" w:cs="宋体"/>
          <w:b/>
          <w:bCs/>
          <w:sz w:val="24"/>
          <w:szCs w:val="24"/>
        </w:rPr>
      </w:pPr>
      <w:r>
        <w:rPr>
          <w:rFonts w:hint="eastAsia" w:ascii="Arial" w:hAnsi="宋体" w:cs="Arial"/>
          <w:color w:val="000000"/>
          <w:sz w:val="24"/>
          <w:szCs w:val="24"/>
        </w:rPr>
        <w:t xml:space="preserve">  </w:t>
      </w:r>
      <w:r>
        <w:rPr>
          <w:rFonts w:hint="eastAsia" w:ascii="宋体" w:hAnsi="宋体" w:cs="宋体"/>
          <w:color w:val="000000"/>
          <w:sz w:val="24"/>
          <w:szCs w:val="24"/>
        </w:rPr>
        <w:t xml:space="preserve">  </w:t>
      </w:r>
      <w:r>
        <w:rPr>
          <w:rFonts w:hint="eastAsia" w:ascii="宋体" w:hAnsi="宋体" w:cs="宋体"/>
          <w:b/>
          <w:bCs/>
          <w:sz w:val="24"/>
          <w:szCs w:val="24"/>
        </w:rPr>
        <w:t>第一条 组成本合同的文件</w:t>
      </w:r>
    </w:p>
    <w:p>
      <w:pPr>
        <w:spacing w:line="520" w:lineRule="exact"/>
        <w:rPr>
          <w:rFonts w:ascii="宋体" w:hAnsi="宋体" w:cs="宋体"/>
          <w:sz w:val="24"/>
          <w:szCs w:val="24"/>
        </w:rPr>
      </w:pPr>
      <w:r>
        <w:rPr>
          <w:rFonts w:hint="eastAsia" w:ascii="宋体" w:hAnsi="宋体" w:cs="宋体"/>
          <w:sz w:val="24"/>
          <w:szCs w:val="24"/>
        </w:rPr>
        <w:t xml:space="preserve">    本合同所附下列文件是构成本合同不可分割的部分：</w:t>
      </w:r>
    </w:p>
    <w:p>
      <w:pPr>
        <w:spacing w:line="520" w:lineRule="exact"/>
        <w:rPr>
          <w:rFonts w:ascii="宋体" w:hAnsi="宋体" w:cs="宋体"/>
          <w:sz w:val="24"/>
          <w:szCs w:val="24"/>
        </w:rPr>
      </w:pPr>
      <w:r>
        <w:rPr>
          <w:rFonts w:hint="eastAsia" w:ascii="宋体" w:hAnsi="宋体" w:cs="宋体"/>
          <w:sz w:val="24"/>
          <w:szCs w:val="24"/>
        </w:rPr>
        <w:t xml:space="preserve">    1、招标文件（招标文件编号：        ）；</w:t>
      </w:r>
    </w:p>
    <w:p>
      <w:pPr>
        <w:spacing w:line="520" w:lineRule="exact"/>
        <w:rPr>
          <w:rFonts w:ascii="宋体" w:hAnsi="宋体" w:cs="宋体"/>
          <w:sz w:val="24"/>
          <w:szCs w:val="24"/>
        </w:rPr>
      </w:pPr>
      <w:r>
        <w:rPr>
          <w:rFonts w:hint="eastAsia" w:ascii="宋体" w:hAnsi="宋体" w:cs="宋体"/>
          <w:sz w:val="24"/>
          <w:szCs w:val="24"/>
        </w:rPr>
        <w:t xml:space="preserve">    2、乙方提交的投标文件；</w:t>
      </w:r>
    </w:p>
    <w:p>
      <w:pPr>
        <w:spacing w:line="520" w:lineRule="exact"/>
        <w:rPr>
          <w:rFonts w:ascii="宋体" w:hAnsi="宋体" w:cs="宋体"/>
          <w:sz w:val="24"/>
          <w:szCs w:val="24"/>
        </w:rPr>
      </w:pPr>
      <w:r>
        <w:rPr>
          <w:rFonts w:hint="eastAsia" w:ascii="宋体" w:hAnsi="宋体" w:cs="宋体"/>
          <w:sz w:val="24"/>
          <w:szCs w:val="24"/>
        </w:rPr>
        <w:t xml:space="preserve">    3、中标通知书；</w:t>
      </w:r>
    </w:p>
    <w:p>
      <w:pPr>
        <w:spacing w:line="520" w:lineRule="exact"/>
        <w:rPr>
          <w:rFonts w:ascii="宋体" w:hAnsi="宋体" w:cs="宋体"/>
          <w:sz w:val="24"/>
          <w:szCs w:val="24"/>
        </w:rPr>
      </w:pPr>
      <w:r>
        <w:rPr>
          <w:rFonts w:hint="eastAsia" w:ascii="宋体" w:hAnsi="宋体" w:cs="宋体"/>
          <w:sz w:val="24"/>
          <w:szCs w:val="24"/>
        </w:rPr>
        <w:t xml:space="preserve">    4、评标过程中的质疑、澄清资料；</w:t>
      </w:r>
    </w:p>
    <w:p>
      <w:pPr>
        <w:spacing w:line="520" w:lineRule="exact"/>
        <w:rPr>
          <w:rFonts w:ascii="宋体" w:hAnsi="宋体" w:cs="宋体"/>
          <w:sz w:val="24"/>
          <w:szCs w:val="24"/>
        </w:rPr>
      </w:pPr>
      <w:r>
        <w:rPr>
          <w:rFonts w:hint="eastAsia" w:ascii="宋体" w:hAnsi="宋体" w:cs="宋体"/>
          <w:sz w:val="24"/>
          <w:szCs w:val="24"/>
        </w:rPr>
        <w:t xml:space="preserve">    5、投标货物明细表；</w:t>
      </w:r>
    </w:p>
    <w:p>
      <w:pPr>
        <w:tabs>
          <w:tab w:val="left" w:pos="6171"/>
        </w:tabs>
        <w:spacing w:line="520" w:lineRule="exact"/>
        <w:rPr>
          <w:rFonts w:ascii="宋体" w:hAnsi="宋体" w:cs="宋体"/>
          <w:sz w:val="24"/>
          <w:szCs w:val="24"/>
        </w:rPr>
      </w:pPr>
      <w:r>
        <w:rPr>
          <w:rFonts w:hint="eastAsia" w:ascii="宋体" w:hAnsi="宋体" w:cs="宋体"/>
          <w:sz w:val="24"/>
          <w:szCs w:val="24"/>
        </w:rPr>
        <w:t xml:space="preserve">    6、图纸；</w:t>
      </w:r>
      <w:r>
        <w:rPr>
          <w:rFonts w:hint="eastAsia" w:ascii="宋体" w:hAnsi="宋体" w:cs="宋体"/>
          <w:sz w:val="24"/>
          <w:szCs w:val="24"/>
        </w:rPr>
        <w:tab/>
      </w:r>
    </w:p>
    <w:p>
      <w:pPr>
        <w:spacing w:line="520" w:lineRule="exact"/>
        <w:rPr>
          <w:rFonts w:ascii="宋体" w:hAnsi="宋体" w:cs="宋体"/>
          <w:sz w:val="24"/>
          <w:szCs w:val="24"/>
        </w:rPr>
      </w:pPr>
      <w:r>
        <w:rPr>
          <w:rFonts w:hint="eastAsia" w:ascii="宋体" w:hAnsi="宋体" w:cs="宋体"/>
          <w:sz w:val="24"/>
          <w:szCs w:val="24"/>
        </w:rPr>
        <w:t xml:space="preserve">    7、双方有关项目的洽商、变更等全部书面资料。</w:t>
      </w:r>
    </w:p>
    <w:p>
      <w:pPr>
        <w:spacing w:line="520" w:lineRule="exact"/>
        <w:ind w:firstLine="420"/>
        <w:rPr>
          <w:rFonts w:ascii="宋体" w:hAnsi="宋体" w:cs="宋体"/>
          <w:b/>
          <w:bCs/>
          <w:sz w:val="24"/>
          <w:szCs w:val="24"/>
        </w:rPr>
      </w:pPr>
      <w:r>
        <w:rPr>
          <w:rFonts w:hint="eastAsia" w:ascii="宋体" w:hAnsi="宋体" w:cs="宋体"/>
          <w:b/>
          <w:bCs/>
          <w:sz w:val="24"/>
          <w:szCs w:val="24"/>
        </w:rPr>
        <w:t>第二条 项目概况</w:t>
      </w:r>
    </w:p>
    <w:p>
      <w:pPr>
        <w:spacing w:line="520" w:lineRule="exact"/>
        <w:ind w:firstLine="56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560"/>
        <w:rPr>
          <w:rFonts w:ascii="宋体" w:hAnsi="宋体" w:cs="宋体"/>
          <w:sz w:val="24"/>
          <w:szCs w:val="24"/>
        </w:rPr>
      </w:pPr>
      <w:r>
        <w:rPr>
          <w:rFonts w:hint="eastAsia" w:ascii="宋体" w:hAnsi="宋体" w:cs="宋体"/>
          <w:sz w:val="24"/>
          <w:szCs w:val="24"/>
        </w:rPr>
        <w:t>项目地点：</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第三条 合同金额</w:t>
      </w:r>
    </w:p>
    <w:p>
      <w:pPr>
        <w:spacing w:line="520" w:lineRule="exact"/>
        <w:ind w:firstLine="360" w:firstLineChars="150"/>
        <w:rPr>
          <w:rFonts w:ascii="宋体" w:hAnsi="宋体" w:cs="宋体"/>
          <w:sz w:val="24"/>
          <w:szCs w:val="24"/>
        </w:rPr>
      </w:pPr>
      <w:r>
        <w:rPr>
          <w:rFonts w:hint="eastAsia" w:ascii="宋体" w:hAnsi="宋体" w:cs="宋体"/>
          <w:sz w:val="24"/>
          <w:szCs w:val="24"/>
        </w:rPr>
        <w:t xml:space="preserve"> 合同总额：</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第四条 采购内容</w:t>
      </w:r>
    </w:p>
    <w:p>
      <w:pPr>
        <w:numPr>
          <w:ilvl w:val="0"/>
          <w:numId w:val="7"/>
        </w:numPr>
        <w:spacing w:line="520" w:lineRule="exact"/>
        <w:ind w:firstLine="420" w:firstLineChars="175"/>
        <w:rPr>
          <w:rFonts w:ascii="宋体" w:hAnsi="宋体" w:cs="宋体"/>
          <w:sz w:val="24"/>
          <w:szCs w:val="24"/>
        </w:rPr>
      </w:pPr>
      <w:r>
        <w:rPr>
          <w:rFonts w:hint="eastAsia" w:ascii="宋体" w:hAnsi="宋体" w:cs="宋体"/>
          <w:sz w:val="24"/>
          <w:szCs w:val="24"/>
        </w:rPr>
        <w:t>采购明细表：</w:t>
      </w:r>
    </w:p>
    <w:tbl>
      <w:tblPr>
        <w:tblStyle w:val="24"/>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23"/>
        <w:gridCol w:w="1215"/>
        <w:gridCol w:w="2715"/>
        <w:gridCol w:w="1140"/>
        <w:gridCol w:w="795"/>
        <w:gridCol w:w="96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320" w:lineRule="exact"/>
              <w:ind w:right="-361" w:rightChars="-172"/>
              <w:rPr>
                <w:rFonts w:ascii="宋体" w:hAnsi="宋体" w:cs="宋体"/>
                <w:szCs w:val="21"/>
              </w:rPr>
            </w:pPr>
            <w:r>
              <w:rPr>
                <w:rFonts w:hint="eastAsia" w:ascii="宋体" w:hAnsi="宋体" w:cs="宋体"/>
                <w:szCs w:val="21"/>
              </w:rPr>
              <w:t>序号</w:t>
            </w:r>
          </w:p>
        </w:tc>
        <w:tc>
          <w:tcPr>
            <w:tcW w:w="1223" w:type="dxa"/>
          </w:tcPr>
          <w:p>
            <w:pPr>
              <w:spacing w:line="320" w:lineRule="exact"/>
              <w:rPr>
                <w:rFonts w:ascii="宋体" w:hAnsi="宋体" w:cs="宋体"/>
                <w:szCs w:val="21"/>
              </w:rPr>
            </w:pPr>
            <w:r>
              <w:rPr>
                <w:rFonts w:hint="eastAsia" w:ascii="宋体" w:hAnsi="宋体" w:cs="宋体"/>
                <w:szCs w:val="21"/>
              </w:rPr>
              <w:t>货物名称</w:t>
            </w:r>
          </w:p>
        </w:tc>
        <w:tc>
          <w:tcPr>
            <w:tcW w:w="1215" w:type="dxa"/>
          </w:tcPr>
          <w:p>
            <w:pPr>
              <w:spacing w:line="320" w:lineRule="exact"/>
              <w:rPr>
                <w:rFonts w:ascii="宋体" w:hAnsi="宋体" w:cs="宋体"/>
                <w:szCs w:val="21"/>
              </w:rPr>
            </w:pPr>
            <w:r>
              <w:rPr>
                <w:rFonts w:hint="eastAsia" w:ascii="宋体" w:hAnsi="宋体" w:cs="宋体"/>
                <w:szCs w:val="21"/>
              </w:rPr>
              <w:t>厂家产地</w:t>
            </w:r>
          </w:p>
        </w:tc>
        <w:tc>
          <w:tcPr>
            <w:tcW w:w="2715" w:type="dxa"/>
          </w:tcPr>
          <w:p>
            <w:pPr>
              <w:spacing w:line="320" w:lineRule="exact"/>
              <w:ind w:right="-65" w:rightChars="-31"/>
              <w:rPr>
                <w:rFonts w:ascii="宋体" w:hAnsi="宋体" w:cs="宋体"/>
                <w:szCs w:val="21"/>
              </w:rPr>
            </w:pPr>
            <w:r>
              <w:rPr>
                <w:rFonts w:hint="eastAsia" w:ascii="宋体" w:hAnsi="宋体" w:cs="宋体"/>
                <w:szCs w:val="21"/>
              </w:rPr>
              <w:t>品牌型号详细技术功能参数</w:t>
            </w:r>
          </w:p>
        </w:tc>
        <w:tc>
          <w:tcPr>
            <w:tcW w:w="1140" w:type="dxa"/>
          </w:tcPr>
          <w:p>
            <w:pPr>
              <w:spacing w:line="320" w:lineRule="exact"/>
              <w:rPr>
                <w:rFonts w:ascii="宋体" w:hAnsi="宋体" w:cs="宋体"/>
                <w:szCs w:val="21"/>
              </w:rPr>
            </w:pPr>
            <w:r>
              <w:rPr>
                <w:rFonts w:hint="eastAsia" w:ascii="宋体" w:hAnsi="宋体" w:cs="宋体"/>
                <w:szCs w:val="21"/>
              </w:rPr>
              <w:t>单位</w:t>
            </w:r>
          </w:p>
        </w:tc>
        <w:tc>
          <w:tcPr>
            <w:tcW w:w="795" w:type="dxa"/>
          </w:tcPr>
          <w:p>
            <w:pPr>
              <w:spacing w:line="320" w:lineRule="exact"/>
              <w:rPr>
                <w:rFonts w:ascii="宋体" w:hAnsi="宋体" w:cs="宋体"/>
                <w:szCs w:val="21"/>
              </w:rPr>
            </w:pPr>
            <w:r>
              <w:rPr>
                <w:rFonts w:hint="eastAsia" w:ascii="宋体" w:hAnsi="宋体" w:cs="宋体"/>
                <w:szCs w:val="21"/>
              </w:rPr>
              <w:t>数量</w:t>
            </w:r>
          </w:p>
        </w:tc>
        <w:tc>
          <w:tcPr>
            <w:tcW w:w="960" w:type="dxa"/>
          </w:tcPr>
          <w:p>
            <w:pPr>
              <w:spacing w:line="320" w:lineRule="exact"/>
              <w:rPr>
                <w:rFonts w:ascii="宋体" w:hAnsi="宋体" w:cs="宋体"/>
                <w:szCs w:val="21"/>
              </w:rPr>
            </w:pPr>
            <w:r>
              <w:rPr>
                <w:rFonts w:hint="eastAsia" w:ascii="宋体" w:hAnsi="宋体" w:cs="宋体"/>
                <w:szCs w:val="21"/>
              </w:rPr>
              <w:t>单价</w:t>
            </w:r>
          </w:p>
        </w:tc>
        <w:tc>
          <w:tcPr>
            <w:tcW w:w="858" w:type="dxa"/>
          </w:tcPr>
          <w:p>
            <w:pPr>
              <w:spacing w:line="320" w:lineRule="exact"/>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9" w:type="dxa"/>
            <w:gridSpan w:val="8"/>
          </w:tcPr>
          <w:p>
            <w:pPr>
              <w:spacing w:line="520" w:lineRule="exact"/>
              <w:rPr>
                <w:rFonts w:ascii="宋体" w:hAnsi="宋体" w:cs="宋体"/>
                <w:szCs w:val="21"/>
              </w:rPr>
            </w:pPr>
            <w:r>
              <w:rPr>
                <w:rFonts w:hint="eastAsia" w:ascii="宋体" w:hAnsi="宋体" w:cs="宋体"/>
                <w:szCs w:val="21"/>
              </w:rPr>
              <w:t>合计：大写：                                          小写：￥</w:t>
            </w:r>
          </w:p>
        </w:tc>
      </w:tr>
    </w:tbl>
    <w:p>
      <w:pPr>
        <w:numPr>
          <w:ilvl w:val="0"/>
          <w:numId w:val="7"/>
        </w:numPr>
        <w:spacing w:line="440" w:lineRule="exact"/>
        <w:ind w:firstLine="420" w:firstLineChars="175"/>
        <w:rPr>
          <w:rFonts w:ascii="宋体" w:hAnsi="宋体" w:cs="宋体"/>
          <w:color w:val="000000"/>
          <w:sz w:val="24"/>
          <w:szCs w:val="24"/>
        </w:rPr>
      </w:pPr>
      <w:r>
        <w:rPr>
          <w:rFonts w:hint="eastAsia" w:ascii="宋体" w:hAnsi="宋体" w:cs="宋体"/>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pPr>
        <w:tabs>
          <w:tab w:val="left" w:pos="0"/>
        </w:tabs>
        <w:spacing w:line="520" w:lineRule="exact"/>
        <w:ind w:firstLine="422" w:firstLineChars="175"/>
        <w:rPr>
          <w:rFonts w:ascii="宋体" w:hAnsi="宋体" w:cs="宋体"/>
          <w:color w:val="000000"/>
          <w:sz w:val="24"/>
          <w:szCs w:val="24"/>
        </w:rPr>
      </w:pPr>
      <w:r>
        <w:rPr>
          <w:rFonts w:hint="eastAsia" w:ascii="宋体" w:hAnsi="宋体" w:cs="宋体"/>
          <w:b/>
          <w:bCs/>
          <w:color w:val="000000"/>
          <w:sz w:val="24"/>
          <w:szCs w:val="24"/>
        </w:rPr>
        <w:t>第五条 交货期</w:t>
      </w:r>
      <w:r>
        <w:rPr>
          <w:rFonts w:hint="eastAsia" w:ascii="宋体" w:hAnsi="宋体" w:cs="宋体"/>
          <w:b/>
          <w:bCs/>
          <w:color w:val="000000"/>
          <w:sz w:val="24"/>
          <w:szCs w:val="24"/>
        </w:rPr>
        <w:br w:type="textWrapping"/>
      </w:r>
      <w:r>
        <w:rPr>
          <w:rFonts w:hint="eastAsia" w:ascii="宋体" w:hAnsi="宋体" w:cs="宋体"/>
          <w:color w:val="000000"/>
          <w:sz w:val="24"/>
          <w:szCs w:val="24"/>
        </w:rPr>
        <w:t>　　合同签订后90日交货。</w:t>
      </w:r>
    </w:p>
    <w:p>
      <w:pPr>
        <w:tabs>
          <w:tab w:val="left" w:pos="0"/>
        </w:tabs>
        <w:spacing w:line="520" w:lineRule="exact"/>
        <w:ind w:firstLine="420"/>
        <w:rPr>
          <w:rFonts w:ascii="宋体" w:hAnsi="宋体" w:cs="宋体"/>
          <w:b/>
          <w:bCs/>
          <w:color w:val="000000"/>
          <w:sz w:val="24"/>
          <w:szCs w:val="24"/>
        </w:rPr>
      </w:pPr>
      <w:r>
        <w:rPr>
          <w:rFonts w:hint="eastAsia" w:ascii="宋体" w:hAnsi="宋体" w:cs="宋体"/>
          <w:b/>
          <w:bCs/>
          <w:color w:val="000000"/>
          <w:sz w:val="24"/>
          <w:szCs w:val="24"/>
        </w:rPr>
        <w:t>第六条 付款方式</w:t>
      </w:r>
    </w:p>
    <w:p>
      <w:pPr>
        <w:pStyle w:val="51"/>
        <w:spacing w:line="440" w:lineRule="exact"/>
        <w:ind w:left="0" w:firstLine="420" w:firstLineChars="175"/>
        <w:rPr>
          <w:rFonts w:hAnsi="宋体"/>
          <w:sz w:val="24"/>
          <w:szCs w:val="24"/>
        </w:rPr>
      </w:pPr>
      <w:r>
        <w:rPr>
          <w:rFonts w:hint="eastAsia" w:hAnsi="宋体"/>
          <w:color w:val="000000"/>
          <w:sz w:val="24"/>
          <w:szCs w:val="24"/>
        </w:rPr>
        <w:t>按招标文件约定执行。</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第七条 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（1）按招投标文件约定的标准执行。　　　</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（2）符合国家规范质量标准。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（3）符合行业质量标准。</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第八条  甲方权利和义务 </w:t>
      </w:r>
    </w:p>
    <w:p>
      <w:pPr>
        <w:pStyle w:val="52"/>
        <w:tabs>
          <w:tab w:val="clear" w:pos="525"/>
        </w:tabs>
        <w:spacing w:line="520" w:lineRule="exact"/>
        <w:ind w:left="412" w:leftChars="196" w:firstLine="0" w:firstLineChars="0"/>
        <w:rPr>
          <w:rFonts w:ascii="宋体" w:eastAsia="宋体"/>
        </w:rPr>
      </w:pPr>
      <w:r>
        <w:rPr>
          <w:rFonts w:hint="eastAsia" w:ascii="宋体" w:eastAsia="宋体"/>
        </w:rPr>
        <w:t>1.权利</w:t>
      </w:r>
    </w:p>
    <w:p>
      <w:pPr>
        <w:pStyle w:val="52"/>
        <w:numPr>
          <w:ilvl w:val="0"/>
          <w:numId w:val="8"/>
        </w:numPr>
        <w:tabs>
          <w:tab w:val="clear" w:pos="525"/>
        </w:tabs>
        <w:spacing w:line="440" w:lineRule="exact"/>
        <w:rPr>
          <w:rFonts w:ascii="宋体" w:eastAsia="宋体"/>
        </w:rPr>
      </w:pPr>
      <w:r>
        <w:rPr>
          <w:rFonts w:hint="eastAsia" w:ascii="宋体" w:eastAsia="宋体"/>
        </w:rPr>
        <w:t>甲方在本合同项目施实期间，有权查验货物（软硬件设备、材料、配件等），阻止不合规范的行为，拒绝不合格或不符采购合同规定的设备进行安装。</w:t>
      </w:r>
    </w:p>
    <w:p>
      <w:pPr>
        <w:pStyle w:val="52"/>
        <w:numPr>
          <w:ilvl w:val="0"/>
          <w:numId w:val="8"/>
        </w:numPr>
        <w:tabs>
          <w:tab w:val="clear" w:pos="525"/>
        </w:tabs>
        <w:spacing w:line="440" w:lineRule="exact"/>
        <w:rPr>
          <w:rFonts w:ascii="宋体" w:eastAsia="宋体"/>
        </w:rPr>
      </w:pPr>
      <w:r>
        <w:rPr>
          <w:rFonts w:hint="eastAsia" w:ascii="宋体" w:eastAsia="宋体"/>
        </w:rPr>
        <w:t>根据项建设实际需要，可调整部分采购数量，但需与乙方签署补充协议。</w:t>
      </w:r>
    </w:p>
    <w:p>
      <w:pPr>
        <w:pStyle w:val="52"/>
        <w:numPr>
          <w:ilvl w:val="0"/>
          <w:numId w:val="8"/>
        </w:numPr>
        <w:tabs>
          <w:tab w:val="clear" w:pos="525"/>
        </w:tabs>
        <w:spacing w:line="440" w:lineRule="exact"/>
        <w:rPr>
          <w:rFonts w:ascii="宋体" w:eastAsia="宋体"/>
        </w:rPr>
      </w:pPr>
      <w:r>
        <w:rPr>
          <w:rFonts w:hint="eastAsia" w:ascii="宋体" w:eastAsia="宋体"/>
        </w:rPr>
        <w:t>在履约过程中甲方有权对乙方进行监督和管理的权力，对乙方的违规、违约行为进行处罚。</w:t>
      </w:r>
    </w:p>
    <w:p>
      <w:pPr>
        <w:pStyle w:val="52"/>
        <w:numPr>
          <w:ilvl w:val="0"/>
          <w:numId w:val="8"/>
        </w:numPr>
        <w:tabs>
          <w:tab w:val="clear" w:pos="525"/>
        </w:tabs>
        <w:spacing w:line="440" w:lineRule="exact"/>
        <w:rPr>
          <w:rFonts w:ascii="宋体" w:eastAsia="宋体"/>
        </w:rPr>
      </w:pPr>
      <w:r>
        <w:rPr>
          <w:rFonts w:hint="eastAsia" w:ascii="宋体" w:eastAsia="宋体"/>
        </w:rPr>
        <w:t>甲方自主委托第三方技术监理机构对项目进行全面技术监理，监理机构受委托依法对乙方行为进行监督和检查。</w:t>
      </w:r>
    </w:p>
    <w:p>
      <w:pPr>
        <w:pStyle w:val="52"/>
        <w:tabs>
          <w:tab w:val="clear" w:pos="525"/>
        </w:tabs>
        <w:spacing w:line="520" w:lineRule="exact"/>
        <w:ind w:firstLine="480" w:firstLineChars="200"/>
        <w:rPr>
          <w:rFonts w:ascii="宋体" w:eastAsia="宋体"/>
        </w:rPr>
      </w:pPr>
      <w:r>
        <w:rPr>
          <w:rFonts w:hint="eastAsia" w:ascii="宋体" w:eastAsia="宋体"/>
        </w:rPr>
        <w:t>2.义务</w:t>
      </w:r>
    </w:p>
    <w:p>
      <w:pPr>
        <w:pStyle w:val="52"/>
        <w:tabs>
          <w:tab w:val="clear" w:pos="525"/>
        </w:tabs>
        <w:spacing w:line="440" w:lineRule="exact"/>
        <w:rPr>
          <w:rFonts w:ascii="宋体" w:eastAsia="宋体"/>
          <w:kern w:val="2"/>
        </w:rPr>
      </w:pPr>
      <w:r>
        <w:rPr>
          <w:rFonts w:hint="eastAsia" w:ascii="宋体" w:eastAsia="宋体"/>
        </w:rPr>
        <w:t>（1）</w:t>
      </w:r>
      <w:r>
        <w:rPr>
          <w:rFonts w:hint="eastAsia" w:ascii="宋体" w:eastAsia="宋体"/>
          <w:kern w:val="2"/>
        </w:rPr>
        <w:t>甲方应指定项目负责人，负责协调本合同项目相关事宜，确保乙方货物、设备及工具、人员顺利进场，进行正常的调试工作。</w:t>
      </w:r>
    </w:p>
    <w:p>
      <w:pPr>
        <w:pStyle w:val="52"/>
        <w:tabs>
          <w:tab w:val="clear" w:pos="525"/>
        </w:tabs>
        <w:spacing w:line="440" w:lineRule="exact"/>
        <w:ind w:firstLine="480" w:firstLineChars="200"/>
        <w:rPr>
          <w:rFonts w:ascii="宋体" w:eastAsia="宋体"/>
          <w:kern w:val="2"/>
        </w:rPr>
      </w:pPr>
      <w:r>
        <w:rPr>
          <w:rFonts w:hint="eastAsia" w:ascii="宋体" w:eastAsia="宋体"/>
          <w:kern w:val="2"/>
        </w:rPr>
        <w:t>（2）甲方应向乙方提供本合同相关的存放场地和调试环境。</w:t>
      </w:r>
    </w:p>
    <w:p>
      <w:pPr>
        <w:pStyle w:val="52"/>
        <w:tabs>
          <w:tab w:val="clear" w:pos="525"/>
        </w:tabs>
        <w:spacing w:line="440" w:lineRule="exact"/>
        <w:ind w:firstLine="480" w:firstLineChars="200"/>
        <w:rPr>
          <w:rFonts w:ascii="宋体" w:eastAsia="宋体"/>
          <w:kern w:val="2"/>
        </w:rPr>
      </w:pPr>
      <w:r>
        <w:rPr>
          <w:rFonts w:hint="eastAsia" w:ascii="宋体" w:eastAsia="宋体"/>
        </w:rPr>
        <w:t>（</w:t>
      </w:r>
      <w:r>
        <w:rPr>
          <w:rFonts w:hint="eastAsia" w:ascii="宋体" w:eastAsia="宋体"/>
          <w:kern w:val="2"/>
        </w:rPr>
        <w:t>3）甲方应按合同规定要求，按时支付乙方本合同项目款项。</w:t>
      </w:r>
    </w:p>
    <w:p>
      <w:pPr>
        <w:pStyle w:val="52"/>
        <w:tabs>
          <w:tab w:val="clear" w:pos="525"/>
        </w:tabs>
        <w:spacing w:line="440" w:lineRule="exact"/>
        <w:ind w:firstLine="480" w:firstLineChars="200"/>
        <w:rPr>
          <w:rFonts w:ascii="宋体" w:eastAsia="宋体"/>
          <w:kern w:val="2"/>
        </w:rPr>
      </w:pPr>
      <w:r>
        <w:rPr>
          <w:rFonts w:hint="eastAsia" w:ascii="宋体" w:eastAsia="宋体"/>
          <w:kern w:val="2"/>
        </w:rPr>
        <w:t>（4）甲方不得违规干扰乙方按计规进行项目施实。</w:t>
      </w:r>
    </w:p>
    <w:p>
      <w:pPr>
        <w:tabs>
          <w:tab w:val="left" w:pos="0"/>
        </w:tabs>
        <w:spacing w:line="520" w:lineRule="exact"/>
        <w:ind w:firstLine="481"/>
        <w:rPr>
          <w:rFonts w:ascii="宋体" w:hAnsi="宋体" w:cs="宋体"/>
          <w:b/>
          <w:bCs/>
          <w:sz w:val="24"/>
          <w:szCs w:val="24"/>
        </w:rPr>
      </w:pPr>
      <w:r>
        <w:rPr>
          <w:rFonts w:hint="eastAsia" w:ascii="宋体" w:hAnsi="宋体" w:cs="宋体"/>
          <w:b/>
          <w:bCs/>
          <w:sz w:val="24"/>
          <w:szCs w:val="24"/>
        </w:rPr>
        <w:t xml:space="preserve">第九条 乙方权利和义务 </w:t>
      </w:r>
    </w:p>
    <w:p>
      <w:pPr>
        <w:tabs>
          <w:tab w:val="left" w:pos="0"/>
        </w:tabs>
        <w:spacing w:line="520" w:lineRule="exact"/>
        <w:ind w:firstLine="481"/>
        <w:rPr>
          <w:rFonts w:ascii="宋体" w:hAnsi="宋体" w:cs="宋体"/>
          <w:sz w:val="24"/>
          <w:szCs w:val="24"/>
        </w:rPr>
      </w:pPr>
      <w:r>
        <w:rPr>
          <w:rFonts w:hint="eastAsia" w:ascii="宋体" w:cs="宋体"/>
          <w:sz w:val="24"/>
          <w:szCs w:val="24"/>
        </w:rPr>
        <w:t>1.</w:t>
      </w:r>
      <w:r>
        <w:rPr>
          <w:rFonts w:hint="eastAsia" w:ascii="宋体" w:hAnsi="宋体" w:cs="宋体"/>
          <w:sz w:val="24"/>
          <w:szCs w:val="24"/>
        </w:rPr>
        <w:t>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乙方享有甲方按时足额支付本合同项目款；提供场地和本合同项目相关事宜协调的权利。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乙方有权力就供货物过程出现的问题向甲方提出修改、变更和解决问题的权利，所有变更应签署补充协议。</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乙方对甲方的违约行为所造成的损失有要求补偿的权利。</w:t>
      </w:r>
    </w:p>
    <w:p>
      <w:pPr>
        <w:pStyle w:val="52"/>
        <w:numPr>
          <w:ilvl w:val="0"/>
          <w:numId w:val="9"/>
        </w:numPr>
        <w:tabs>
          <w:tab w:val="clear" w:pos="525"/>
        </w:tabs>
        <w:spacing w:line="440" w:lineRule="exact"/>
        <w:ind w:firstLine="480" w:firstLineChars="200"/>
        <w:rPr>
          <w:rFonts w:ascii="宋体" w:eastAsia="宋体"/>
          <w:kern w:val="2"/>
        </w:rPr>
      </w:pPr>
      <w:r>
        <w:rPr>
          <w:rFonts w:hint="eastAsia" w:ascii="宋体" w:eastAsia="宋体"/>
          <w:kern w:val="2"/>
        </w:rPr>
        <w:t>甲方在履约过程中有违法行为时，乙方有拒绝的权利，并及时其监管部门反映违法情况。</w:t>
      </w:r>
    </w:p>
    <w:p>
      <w:pPr>
        <w:pStyle w:val="52"/>
        <w:tabs>
          <w:tab w:val="clear" w:pos="525"/>
        </w:tabs>
        <w:spacing w:line="520" w:lineRule="exact"/>
        <w:ind w:left="420" w:leftChars="200" w:firstLine="0" w:firstLineChars="0"/>
        <w:rPr>
          <w:rFonts w:ascii="宋体" w:eastAsia="宋体"/>
          <w:kern w:val="2"/>
        </w:rPr>
      </w:pPr>
      <w:r>
        <w:rPr>
          <w:rFonts w:hint="eastAsia" w:ascii="宋体" w:eastAsia="宋体"/>
          <w:kern w:val="2"/>
        </w:rPr>
        <w:t>2.义务</w:t>
      </w:r>
    </w:p>
    <w:p>
      <w:pPr>
        <w:pStyle w:val="52"/>
        <w:tabs>
          <w:tab w:val="clear" w:pos="525"/>
        </w:tabs>
        <w:spacing w:line="440" w:lineRule="exact"/>
        <w:rPr>
          <w:rFonts w:ascii="宋体" w:eastAsia="宋体"/>
          <w:kern w:val="2"/>
        </w:rPr>
      </w:pPr>
      <w:r>
        <w:rPr>
          <w:rFonts w:hint="eastAsia" w:ascii="宋体" w:eastAsia="宋体"/>
          <w:kern w:val="2"/>
        </w:rPr>
        <w:t>（1）乙方应指派约定的项目负责人，负责整个项目的组织协调，包括人员组织、货物入场及安装调试、安全、质量及工期等有关事务。</w:t>
      </w:r>
    </w:p>
    <w:p>
      <w:pPr>
        <w:pStyle w:val="52"/>
        <w:tabs>
          <w:tab w:val="clear" w:pos="525"/>
        </w:tabs>
        <w:spacing w:line="440" w:lineRule="exact"/>
        <w:rPr>
          <w:rFonts w:ascii="宋体" w:eastAsia="宋体"/>
          <w:kern w:val="2"/>
        </w:rPr>
      </w:pPr>
      <w:r>
        <w:rPr>
          <w:rFonts w:hint="eastAsia" w:ascii="宋体" w:eastAsia="宋体"/>
          <w:kern w:val="2"/>
        </w:rPr>
        <w:t>（2）乙方应按本合同要求进行供货、施工和服务，并保证项目进度。</w:t>
      </w:r>
    </w:p>
    <w:p>
      <w:pPr>
        <w:pStyle w:val="52"/>
        <w:tabs>
          <w:tab w:val="clear" w:pos="525"/>
        </w:tabs>
        <w:spacing w:line="440" w:lineRule="exact"/>
        <w:rPr>
          <w:rFonts w:ascii="宋体" w:eastAsia="宋体"/>
          <w:kern w:val="2"/>
        </w:rPr>
      </w:pPr>
      <w:r>
        <w:rPr>
          <w:rFonts w:hint="eastAsia" w:ascii="宋体" w:eastAsia="宋体"/>
          <w:kern w:val="2"/>
        </w:rPr>
        <w:t>（3）乙方应向甲方提供货物、施工和服务等合格证明及相关手续。</w:t>
      </w:r>
    </w:p>
    <w:p>
      <w:pPr>
        <w:pStyle w:val="52"/>
        <w:tabs>
          <w:tab w:val="clear" w:pos="525"/>
        </w:tabs>
        <w:spacing w:line="440" w:lineRule="exact"/>
        <w:rPr>
          <w:rFonts w:ascii="宋体" w:eastAsia="宋体"/>
          <w:kern w:val="2"/>
        </w:rPr>
      </w:pPr>
      <w:r>
        <w:rPr>
          <w:rFonts w:hint="eastAsia" w:ascii="宋体" w:eastAsia="宋体"/>
          <w:kern w:val="2"/>
        </w:rPr>
        <w:t>（4）乙方应当接受甲方及委托的监理机构的监督和检查，并有义务接受对不当行为的处理。</w:t>
      </w:r>
    </w:p>
    <w:p>
      <w:pPr>
        <w:spacing w:line="520" w:lineRule="exact"/>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第十条 验收 </w:t>
      </w:r>
    </w:p>
    <w:p>
      <w:pPr>
        <w:pStyle w:val="52"/>
        <w:tabs>
          <w:tab w:val="clear" w:pos="525"/>
        </w:tabs>
        <w:spacing w:line="440" w:lineRule="exact"/>
        <w:rPr>
          <w:rFonts w:ascii="宋体" w:eastAsia="宋体"/>
          <w:kern w:val="2"/>
        </w:rPr>
      </w:pPr>
      <w:r>
        <w:rPr>
          <w:rFonts w:hint="eastAsia" w:ascii="宋体" w:eastAsia="宋体"/>
          <w:kern w:val="2"/>
        </w:rPr>
        <w:t>1.竣工，乙方须完成设备测试、培训工作，具备验收条件时，乙方须书面向甲方提出验收申请及验收所需相关材料。　　</w:t>
      </w:r>
    </w:p>
    <w:p>
      <w:pPr>
        <w:pStyle w:val="52"/>
        <w:tabs>
          <w:tab w:val="clear" w:pos="525"/>
        </w:tabs>
        <w:spacing w:line="440" w:lineRule="exact"/>
        <w:rPr>
          <w:rFonts w:ascii="宋体" w:eastAsia="宋体"/>
          <w:kern w:val="2"/>
        </w:rPr>
      </w:pPr>
      <w:r>
        <w:rPr>
          <w:rFonts w:hint="eastAsia" w:ascii="宋体" w:eastAsia="宋体"/>
          <w:kern w:val="2"/>
        </w:rPr>
        <w:t>2.甲方组织验收。在收到项目验收申请后，10日内通知采购相关当事方进行验收，各方应配合做好验收相关工作。</w:t>
      </w:r>
    </w:p>
    <w:p>
      <w:pPr>
        <w:pStyle w:val="52"/>
        <w:tabs>
          <w:tab w:val="clear" w:pos="525"/>
        </w:tabs>
        <w:spacing w:line="440" w:lineRule="exact"/>
        <w:rPr>
          <w:rFonts w:ascii="宋体" w:eastAsia="宋体"/>
          <w:kern w:val="2"/>
        </w:rPr>
      </w:pPr>
      <w:r>
        <w:rPr>
          <w:rFonts w:hint="eastAsia" w:ascii="宋体" w:eastAsia="宋体"/>
          <w:kern w:val="2"/>
        </w:rPr>
        <w:t xml:space="preserve">3.如验收不合格，乙方须承担重复验收等发生的一切费用。 </w:t>
      </w:r>
    </w:p>
    <w:p>
      <w:pPr>
        <w:pStyle w:val="52"/>
        <w:tabs>
          <w:tab w:val="clear" w:pos="525"/>
        </w:tabs>
        <w:spacing w:line="520" w:lineRule="exact"/>
        <w:ind w:left="412" w:leftChars="196" w:firstLine="0" w:firstLineChars="0"/>
        <w:rPr>
          <w:rFonts w:ascii="宋体" w:eastAsia="宋体"/>
          <w:b/>
          <w:bCs/>
          <w:kern w:val="2"/>
        </w:rPr>
      </w:pPr>
      <w:r>
        <w:rPr>
          <w:rFonts w:hint="eastAsia" w:ascii="宋体" w:eastAsia="宋体"/>
          <w:b/>
          <w:bCs/>
          <w:kern w:val="2"/>
        </w:rPr>
        <w:t xml:space="preserve"> 第十一条 不可抗力 </w:t>
      </w:r>
    </w:p>
    <w:p>
      <w:pPr>
        <w:pStyle w:val="52"/>
        <w:tabs>
          <w:tab w:val="clear" w:pos="525"/>
        </w:tabs>
        <w:spacing w:line="440" w:lineRule="exact"/>
        <w:ind w:firstLine="480" w:firstLineChars="0"/>
        <w:rPr>
          <w:rFonts w:ascii="宋体" w:eastAsia="宋体"/>
          <w:kern w:val="2"/>
        </w:rPr>
      </w:pPr>
      <w:r>
        <w:rPr>
          <w:rFonts w:hint="eastAsia" w:ascii="宋体" w:eastAsia="宋体"/>
          <w:kern w:val="2"/>
        </w:rPr>
        <w:t>不可抗力（包括因战争、动乱、空中飞行物体坠落或其他非发包人承包人责任造成的爆炸、火灾、暴雨、暴雪、洪水、地震等自然灾害及瘟疫等）应以国家和本市有关主管部门正式发布为准。</w:t>
      </w:r>
    </w:p>
    <w:p>
      <w:pPr>
        <w:pStyle w:val="52"/>
        <w:tabs>
          <w:tab w:val="clear" w:pos="525"/>
        </w:tabs>
        <w:spacing w:line="440" w:lineRule="exact"/>
        <w:ind w:firstLine="480" w:firstLineChars="0"/>
        <w:rPr>
          <w:rFonts w:ascii="宋体" w:eastAsia="宋体"/>
          <w:kern w:val="2"/>
        </w:rPr>
      </w:pPr>
      <w:r>
        <w:rPr>
          <w:rFonts w:hint="eastAsia" w:ascii="宋体" w:eastAsia="宋体"/>
          <w:kern w:val="2"/>
        </w:rPr>
        <w:t>不可抗力事件发生后，乙方应迅速采取措施，尽力减少损失，甲方应协助乙方采取措施。乙方不承担延期违约责任。</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第十二条 售后服务及培训</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1.质保期。自竣工验收合格后</w:t>
      </w:r>
      <w:r>
        <w:rPr>
          <w:rFonts w:hint="eastAsia" w:ascii="宋体" w:hAnsi="宋体" w:cs="宋体"/>
          <w:sz w:val="24"/>
          <w:szCs w:val="24"/>
          <w:u w:val="single"/>
        </w:rPr>
        <w:t xml:space="preserve">   </w:t>
      </w:r>
      <w:r>
        <w:rPr>
          <w:rFonts w:hint="eastAsia" w:ascii="宋体" w:hAnsi="宋体" w:cs="宋体"/>
          <w:sz w:val="24"/>
          <w:szCs w:val="24"/>
        </w:rPr>
        <w:t>个月。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4.人员培训。乙方在安装、调试设备的同时，对甲方相关操作人员免费进行技术培训，使其熟悉例行维护的程序。</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第十三条 违约责任</w:t>
      </w:r>
    </w:p>
    <w:p>
      <w:pPr>
        <w:spacing w:line="520" w:lineRule="exact"/>
        <w:jc w:val="left"/>
        <w:rPr>
          <w:rFonts w:ascii="宋体" w:hAnsi="宋体" w:cs="宋体"/>
          <w:b/>
          <w:bCs/>
          <w:sz w:val="24"/>
          <w:szCs w:val="24"/>
        </w:rPr>
      </w:pPr>
      <w:r>
        <w:rPr>
          <w:rFonts w:hint="eastAsia" w:ascii="宋体" w:hAnsi="宋体" w:cs="宋体"/>
          <w:b/>
          <w:bCs/>
          <w:sz w:val="24"/>
          <w:szCs w:val="24"/>
        </w:rPr>
        <w:t xml:space="preserve">    1.甲方违约责任</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甲方无正当理由拒收设备，应向供方支付无正当理由拒收设备金额5%的违约金。</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因甲方责任给乙方造成损失的应当承担相应的补偿责任。</w:t>
      </w:r>
    </w:p>
    <w:p>
      <w:pPr>
        <w:numPr>
          <w:ilvl w:val="0"/>
          <w:numId w:val="10"/>
        </w:numPr>
        <w:spacing w:line="440" w:lineRule="exact"/>
        <w:ind w:firstLine="420" w:firstLineChars="175"/>
        <w:jc w:val="left"/>
        <w:rPr>
          <w:rFonts w:ascii="宋体" w:hAnsi="宋体" w:cs="宋体"/>
          <w:sz w:val="24"/>
          <w:szCs w:val="24"/>
        </w:rPr>
      </w:pPr>
      <w:r>
        <w:rPr>
          <w:rFonts w:hint="eastAsia" w:ascii="宋体" w:hAnsi="宋体" w:cs="宋体"/>
          <w:sz w:val="24"/>
          <w:szCs w:val="24"/>
        </w:rPr>
        <w:t>因乙方原因造成逾期付款或损失，甲方方不承担责任。</w:t>
      </w:r>
    </w:p>
    <w:p>
      <w:pPr>
        <w:spacing w:line="440" w:lineRule="exact"/>
        <w:ind w:firstLine="422" w:firstLineChars="175"/>
        <w:jc w:val="left"/>
        <w:rPr>
          <w:rFonts w:ascii="宋体" w:hAnsi="宋体" w:cs="宋体"/>
          <w:sz w:val="24"/>
          <w:szCs w:val="24"/>
        </w:rPr>
      </w:pPr>
      <w:r>
        <w:rPr>
          <w:rFonts w:hint="eastAsia" w:ascii="宋体" w:hAnsi="宋体" w:cs="宋体"/>
          <w:b/>
          <w:bCs/>
          <w:sz w:val="24"/>
          <w:szCs w:val="24"/>
        </w:rPr>
        <w:t>2.乙方违约责任</w:t>
      </w:r>
      <w:r>
        <w:rPr>
          <w:rFonts w:hint="eastAsia" w:ascii="宋体" w:hAnsi="宋体" w:cs="宋体"/>
          <w:b/>
          <w:bCs/>
          <w:sz w:val="24"/>
          <w:szCs w:val="24"/>
        </w:rPr>
        <w:br w:type="textWrapping"/>
      </w:r>
      <w:r>
        <w:rPr>
          <w:rFonts w:hint="eastAsia" w:ascii="宋体" w:hAnsi="宋体" w:cs="宋体"/>
          <w:sz w:val="24"/>
          <w:szCs w:val="24"/>
        </w:rPr>
        <w:t>　 （1）所供的货物品种、品牌、型号、规格、质量不符国家标准或不符合招、投标文件规定，需方有权拒收，乙方应在本合同规定的交货期内负责更换并承担因更换而支付的费用。因更换而造成的逾期交货，则按逾期交货处理。</w:t>
      </w:r>
    </w:p>
    <w:p>
      <w:pPr>
        <w:spacing w:line="440" w:lineRule="exact"/>
        <w:ind w:firstLine="420" w:firstLineChars="175"/>
        <w:jc w:val="left"/>
        <w:rPr>
          <w:rFonts w:ascii="宋体" w:hAnsi="宋体" w:cs="宋体"/>
          <w:sz w:val="24"/>
          <w:szCs w:val="24"/>
        </w:rPr>
      </w:pPr>
      <w:r>
        <w:rPr>
          <w:rFonts w:hint="eastAsia" w:ascii="宋体" w:hAnsi="宋体" w:cs="宋体"/>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pPr>
        <w:numPr>
          <w:ilvl w:val="0"/>
          <w:numId w:val="11"/>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乙方在本合同履行过程中出现了甲方认为实质性的违约，甲方有权解除乙方合，终止合同执行，若符合追究乙方责任时应当依法进行。</w:t>
      </w:r>
    </w:p>
    <w:p>
      <w:pPr>
        <w:numPr>
          <w:ilvl w:val="0"/>
          <w:numId w:val="11"/>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因乙方责任给甲方造成损失应当进行赔偿。</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 xml:space="preserve">第十四条 争议 </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1.质量鉴定：因质量问题发生争议，由项目所在地质量技术监督局或其指定的机构进行质量量鉴定，该鉴定结论是终局的，供需双方均应当接受鉴定结论。</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2.因本协议发生的争议，甲乙双方应友好协商解决；协商不成的，向本项目所在地中裁机构或人民法院提起诉讼。</w:t>
      </w:r>
    </w:p>
    <w:p>
      <w:pPr>
        <w:spacing w:line="440" w:lineRule="exact"/>
        <w:ind w:firstLine="472" w:firstLineChars="196"/>
        <w:jc w:val="left"/>
        <w:rPr>
          <w:rFonts w:ascii="宋体" w:hAnsi="宋体" w:cs="宋体"/>
          <w:sz w:val="24"/>
          <w:szCs w:val="24"/>
        </w:rPr>
      </w:pPr>
      <w:r>
        <w:rPr>
          <w:rFonts w:hint="eastAsia" w:ascii="宋体" w:hAnsi="宋体" w:cs="宋体"/>
          <w:b/>
          <w:bCs/>
          <w:sz w:val="24"/>
          <w:szCs w:val="24"/>
        </w:rPr>
        <w:t xml:space="preserve">第十五条 合同份数 </w:t>
      </w:r>
      <w:r>
        <w:rPr>
          <w:rFonts w:hint="eastAsia" w:ascii="宋体" w:hAnsi="宋体" w:cs="宋体"/>
          <w:sz w:val="24"/>
          <w:szCs w:val="24"/>
        </w:rPr>
        <w:br w:type="textWrapping"/>
      </w:r>
      <w:r>
        <w:rPr>
          <w:rFonts w:hint="eastAsia" w:ascii="宋体" w:hAnsi="宋体" w:cs="宋体"/>
          <w:sz w:val="24"/>
          <w:szCs w:val="24"/>
        </w:rPr>
        <w:t>　　双方约定合同份数：本合同一式5份，具有相同的效力。（甲方3份和乙方2份）</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第十六条 其他</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未尽事宜双方协商另行签订补充协议，对本合同内容的任何修改、补充或变更须采用书面形式，经双方加盖公章后正式生效。</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甲方：（公章）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法定代表人或委托代理人签字：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电话：                  传真：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乙方：（公章）</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法定代表人或委托代理人签字：</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电话：                  传真：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spacing w:line="480" w:lineRule="exact"/>
        <w:jc w:val="left"/>
        <w:rPr>
          <w:rFonts w:hint="eastAsia" w:ascii="宋体" w:hAnsi="宋体" w:eastAsia="宋体" w:cs="Times New Roman"/>
          <w:b/>
          <w:color w:val="000000"/>
          <w:kern w:val="0"/>
          <w:sz w:val="24"/>
          <w:szCs w:val="24"/>
        </w:rPr>
      </w:pPr>
      <w:bookmarkStart w:id="25" w:name="_Toc184023138"/>
      <w:bookmarkStart w:id="26" w:name="_Toc174185203"/>
      <w:bookmarkStart w:id="27" w:name="_Toc186274126"/>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tabs>
          <w:tab w:val="left" w:pos="360"/>
        </w:tabs>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招 标 编号：</w:t>
      </w: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tabs>
          <w:tab w:val="left" w:pos="360"/>
        </w:tabs>
        <w:rPr>
          <w:rFonts w:hint="eastAsia" w:ascii="宋体" w:hAnsi="宋体" w:eastAsia="宋体" w:cs="Times New Roman"/>
          <w:b/>
          <w:sz w:val="36"/>
          <w:szCs w:val="36"/>
        </w:rPr>
      </w:pPr>
      <w:r>
        <w:rPr>
          <w:rFonts w:hint="eastAsia" w:ascii="宋体" w:hAnsi="宋体" w:eastAsia="宋体" w:cs="Times New Roman"/>
          <w:b/>
          <w:sz w:val="36"/>
          <w:szCs w:val="36"/>
        </w:rPr>
        <w:t xml:space="preserve"> </w:t>
      </w: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时      间：  </w:t>
      </w: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  </w:t>
      </w:r>
    </w:p>
    <w:p>
      <w:pPr>
        <w:pStyle w:val="2"/>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2"/>
          <w:szCs w:val="32"/>
          <w:lang w:val="zh-CN"/>
        </w:rPr>
      </w:pPr>
      <w:r>
        <w:rPr>
          <w:rFonts w:hint="eastAsia" w:cs="黑体" w:asciiTheme="minorEastAsia" w:hAnsiTheme="minorEastAsia" w:eastAsiaTheme="minorEastAsia"/>
          <w:color w:val="auto"/>
          <w:kern w:val="2"/>
          <w:sz w:val="32"/>
          <w:szCs w:val="32"/>
          <w:lang w:val="zh-CN"/>
        </w:rPr>
        <w:t>一、投标人应答索引表</w:t>
      </w:r>
      <w:bookmarkEnd w:id="25"/>
      <w:bookmarkEnd w:id="26"/>
      <w:bookmarkEnd w:id="2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4"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9"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说明：</w:t>
      </w:r>
    </w:p>
    <w:p>
      <w:pPr>
        <w:pStyle w:val="13"/>
        <w:spacing w:line="360" w:lineRule="auto"/>
        <w:ind w:firstLine="424" w:firstLineChars="176"/>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pPr>
        <w:pStyle w:val="13"/>
        <w:spacing w:line="360" w:lineRule="auto"/>
        <w:ind w:firstLine="424" w:firstLineChars="176"/>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Cs w:val="24"/>
        </w:rPr>
        <w:t>评标时，评委会应当认真阅读招标文件，决定是否是必审项，否决投标项或认定无效投标必须具有充分理由。</w:t>
      </w: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 w:val="24"/>
                <w:szCs w:val="24"/>
                <w:lang w:val="zh-CN" w:eastAsia="zh-CN"/>
              </w:rPr>
            </w:pPr>
            <w:r>
              <w:rPr>
                <w:rFonts w:hint="eastAsia" w:cs="宋体" w:asciiTheme="minorEastAsia" w:hAnsiTheme="minorEastAsia"/>
                <w:sz w:val="24"/>
                <w:szCs w:val="24"/>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36"/>
          <w:szCs w:val="36"/>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8" w:name="_资格证明文件"/>
            <w:bookmarkEnd w:id="28"/>
            <w:bookmarkStart w:id="29" w:name="_Toc364329026"/>
            <w:r>
              <w:rPr>
                <w:rFonts w:hint="eastAsia" w:asciiTheme="minorEastAsia" w:hAnsiTheme="minorEastAsia"/>
                <w:sz w:val="24"/>
                <w:szCs w:val="24"/>
              </w:rPr>
              <w:t>法定代表人授权代表身份证（正面）</w:t>
            </w:r>
            <w:bookmarkEnd w:id="29"/>
          </w:p>
        </w:tc>
        <w:tc>
          <w:tcPr>
            <w:tcW w:w="4492" w:type="dxa"/>
            <w:gridSpan w:val="2"/>
            <w:vAlign w:val="center"/>
          </w:tcPr>
          <w:p>
            <w:pPr>
              <w:jc w:val="center"/>
              <w:rPr>
                <w:rFonts w:asciiTheme="minorEastAsia" w:hAnsiTheme="minorEastAsia"/>
                <w:sz w:val="24"/>
                <w:szCs w:val="24"/>
              </w:rPr>
            </w:pPr>
            <w:bookmarkStart w:id="30" w:name="_Toc364329027"/>
            <w:r>
              <w:rPr>
                <w:rFonts w:hint="eastAsia" w:asciiTheme="minorEastAsia" w:hAnsiTheme="minorEastAsia"/>
                <w:sz w:val="24"/>
                <w:szCs w:val="24"/>
              </w:rPr>
              <w:t>法定代表人授权代表身份证（反面）</w:t>
            </w:r>
            <w:bookmarkEnd w:id="3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（注：开标现场单独提供一份“许昌公共资源交易中心保证金缴纳回执”以备查询，最终以交易中心确认为准）</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（此表投标人如无业绩可不提供）</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566" w:firstLineChars="236"/>
        <w:rPr>
          <w:rFonts w:cs="宋体" w:asciiTheme="minorEastAsia" w:hAnsiTheme="minorEastAsia"/>
          <w:sz w:val="24"/>
          <w:szCs w:val="24"/>
          <w:lang w:val="zh-CN"/>
        </w:rPr>
      </w:pPr>
      <w:r>
        <w:rPr>
          <w:rFonts w:hint="eastAsia" w:cs="宋体" w:asciiTheme="minorEastAsia" w:hAnsiTheme="minorEastAsia"/>
          <w:sz w:val="24"/>
          <w:szCs w:val="24"/>
          <w:lang w:val="zh-CN"/>
        </w:rPr>
        <w:t>所投产品节能清单所在页复印件并加盖投标人公章须附后。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所投产品“节能产品政府采购清单”所在页复印件并加盖投标人公章须附后。</w:t>
      </w:r>
    </w:p>
    <w:p>
      <w:pPr>
        <w:spacing w:line="360" w:lineRule="auto"/>
        <w:jc w:val="center"/>
        <w:rPr>
          <w:rFonts w:ascii="宋体" w:hAnsi="宋体"/>
          <w:b/>
          <w:bCs/>
          <w:color w:val="000000"/>
          <w:sz w:val="36"/>
          <w:szCs w:val="36"/>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left="2"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所投产品“环境标志产品政府采购清单”所在页复印件并加盖投标人公章须附后。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31" w:name="OLE_LINK14"/>
      <w:bookmarkStart w:id="32" w:name="OLE_LINK13"/>
      <w:r>
        <w:rPr>
          <w:rFonts w:hint="eastAsia" w:ascii="宋体" w:hAnsi="宋体"/>
          <w:b/>
          <w:bCs/>
          <w:color w:val="000000"/>
          <w:sz w:val="36"/>
          <w:szCs w:val="36"/>
        </w:rPr>
        <w:t>4.10 残疾人福利性单位声明函</w:t>
      </w:r>
    </w:p>
    <w:bookmarkEnd w:id="31"/>
    <w:bookmarkEnd w:id="3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r>
        <w:rPr>
          <w:rFonts w:hint="eastAsia"/>
          <w:sz w:val="24"/>
          <w:szCs w:val="24"/>
        </w:rPr>
        <w:t>（如是须提供，否则无须提供</w:t>
      </w:r>
      <w:r>
        <w:rPr>
          <w:rFonts w:hint="eastAsia"/>
        </w:rPr>
        <w:t>）</w:t>
      </w:r>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投标人所投产品涉及国家有属强制性规定的，须承诺其所投产品符合国家强制性要求。（格式自拟）</w:t>
      </w:r>
    </w:p>
    <w:p>
      <w:pPr>
        <w:widowControl/>
        <w:spacing w:before="100" w:beforeAutospacing="1" w:after="100" w:afterAutospacing="1" w:line="360" w:lineRule="auto"/>
        <w:jc w:val="left"/>
        <w:rPr>
          <w:rFonts w:ascii="宋体" w:hAnsi="宋体"/>
          <w:b/>
          <w:bCs/>
          <w:color w:val="000000"/>
          <w:sz w:val="24"/>
          <w:szCs w:val="24"/>
        </w:rPr>
      </w:pPr>
      <w:r>
        <w:rPr>
          <w:rFonts w:hint="eastAsia" w:ascii="宋体" w:hAnsi="宋体"/>
          <w:b/>
          <w:bCs/>
          <w:color w:val="000000"/>
          <w:sz w:val="24"/>
          <w:szCs w:val="24"/>
        </w:rPr>
        <w:t>说明：</w:t>
      </w:r>
    </w:p>
    <w:p>
      <w:pPr>
        <w:widowControl/>
        <w:spacing w:before="100" w:beforeAutospacing="1" w:after="100" w:afterAutospacing="1" w:line="360" w:lineRule="auto"/>
        <w:ind w:firstLine="424" w:firstLineChars="176"/>
        <w:jc w:val="left"/>
        <w:rPr>
          <w:rFonts w:ascii="宋体" w:hAnsi="宋体"/>
          <w:b/>
          <w:bCs/>
          <w:color w:val="000000"/>
          <w:sz w:val="24"/>
          <w:szCs w:val="24"/>
        </w:rPr>
      </w:pPr>
      <w:r>
        <w:rPr>
          <w:rFonts w:hint="eastAsia" w:ascii="宋体" w:hAnsi="宋体"/>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五、</w:t>
      </w:r>
      <w:r>
        <w:rPr>
          <w:rFonts w:cs="黑体" w:asciiTheme="minorEastAsia" w:hAnsiTheme="minorEastAsia"/>
          <w:b/>
          <w:sz w:val="36"/>
          <w:szCs w:val="36"/>
          <w:lang w:val="zh-CN"/>
        </w:rPr>
        <w:t>其他资料（若有）</w:t>
      </w:r>
    </w:p>
    <w:p/>
    <w:p/>
    <w:p/>
    <w:p>
      <w:pPr>
        <w:spacing w:line="360" w:lineRule="auto"/>
        <w:ind w:firstLine="424" w:firstLineChars="176"/>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TimesNewRomanPSMT">
    <w:altName w:val="MingLiU"/>
    <w:panose1 w:val="00000000000000000000"/>
    <w:charset w:val="00"/>
    <w:family w:val="roman"/>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84513F"/>
    <w:multiLevelType w:val="singleLevel"/>
    <w:tmpl w:val="5984513F"/>
    <w:lvl w:ilvl="0" w:tentative="0">
      <w:start w:val="1"/>
      <w:numFmt w:val="decimal"/>
      <w:suff w:val="nothing"/>
      <w:lvlText w:val="%1."/>
      <w:lvlJc w:val="left"/>
    </w:lvl>
  </w:abstractNum>
  <w:abstractNum w:abstractNumId="4">
    <w:nsid w:val="5987BE5D"/>
    <w:multiLevelType w:val="singleLevel"/>
    <w:tmpl w:val="5987BE5D"/>
    <w:lvl w:ilvl="0" w:tentative="0">
      <w:start w:val="1"/>
      <w:numFmt w:val="decimal"/>
      <w:suff w:val="nothing"/>
      <w:lvlText w:val="（%1）"/>
      <w:lvlJc w:val="left"/>
    </w:lvl>
  </w:abstractNum>
  <w:abstractNum w:abstractNumId="5">
    <w:nsid w:val="5987E2BE"/>
    <w:multiLevelType w:val="singleLevel"/>
    <w:tmpl w:val="5987E2BE"/>
    <w:lvl w:ilvl="0" w:tentative="0">
      <w:start w:val="2"/>
      <w:numFmt w:val="decimal"/>
      <w:suff w:val="nothing"/>
      <w:lvlText w:val="（%1）"/>
      <w:lvlJc w:val="left"/>
    </w:lvl>
  </w:abstractNum>
  <w:abstractNum w:abstractNumId="6">
    <w:nsid w:val="5987E3D9"/>
    <w:multiLevelType w:val="singleLevel"/>
    <w:tmpl w:val="5987E3D9"/>
    <w:lvl w:ilvl="0" w:tentative="0">
      <w:start w:val="1"/>
      <w:numFmt w:val="decimal"/>
      <w:suff w:val="nothing"/>
      <w:lvlText w:val="（%1）"/>
      <w:lvlJc w:val="left"/>
    </w:lvl>
  </w:abstractNum>
  <w:abstractNum w:abstractNumId="7">
    <w:nsid w:val="59890AAD"/>
    <w:multiLevelType w:val="singleLevel"/>
    <w:tmpl w:val="59890AAD"/>
    <w:lvl w:ilvl="0" w:tentative="0">
      <w:start w:val="1"/>
      <w:numFmt w:val="decimal"/>
      <w:suff w:val="nothing"/>
      <w:lvlText w:val="%1."/>
      <w:lvlJc w:val="left"/>
    </w:lvl>
  </w:abstractNum>
  <w:abstractNum w:abstractNumId="8">
    <w:nsid w:val="59890CAC"/>
    <w:multiLevelType w:val="singleLevel"/>
    <w:tmpl w:val="59890CAC"/>
    <w:lvl w:ilvl="0" w:tentative="0">
      <w:start w:val="1"/>
      <w:numFmt w:val="decimal"/>
      <w:suff w:val="nothing"/>
      <w:lvlText w:val="（%1）"/>
      <w:lvlJc w:val="left"/>
    </w:lvl>
  </w:abstractNum>
  <w:abstractNum w:abstractNumId="9">
    <w:nsid w:val="59F817E8"/>
    <w:multiLevelType w:val="singleLevel"/>
    <w:tmpl w:val="59F817E8"/>
    <w:lvl w:ilvl="0" w:tentative="0">
      <w:start w:val="1"/>
      <w:numFmt w:val="chineseCounting"/>
      <w:pStyle w:val="47"/>
      <w:suff w:val="nothing"/>
      <w:lvlText w:val="%1、"/>
      <w:lvlJc w:val="left"/>
    </w:lvl>
  </w:abstractNum>
  <w:abstractNum w:abstractNumId="10">
    <w:nsid w:val="5A02945B"/>
    <w:multiLevelType w:val="singleLevel"/>
    <w:tmpl w:val="5A02945B"/>
    <w:lvl w:ilvl="0" w:tentative="0">
      <w:start w:val="2"/>
      <w:numFmt w:val="decimal"/>
      <w:lvlText w:val="%1."/>
      <w:lvlJc w:val="left"/>
      <w:pPr>
        <w:tabs>
          <w:tab w:val="left" w:pos="312"/>
        </w:tabs>
      </w:pPr>
    </w:lvl>
  </w:abstractNum>
  <w:abstractNum w:abstractNumId="11">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9"/>
  </w:num>
  <w:num w:numId="4">
    <w:abstractNumId w:val="10"/>
  </w:num>
  <w:num w:numId="5">
    <w:abstractNumId w:val="7"/>
  </w:num>
  <w:num w:numId="6">
    <w:abstractNumId w:val="11"/>
  </w:num>
  <w:num w:numId="7">
    <w:abstractNumId w:val="3"/>
  </w:num>
  <w:num w:numId="8">
    <w:abstractNumId w:val="8"/>
  </w:num>
  <w:num w:numId="9">
    <w:abstractNumId w:val="4"/>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0E8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06784"/>
    <w:rsid w:val="002121A9"/>
    <w:rsid w:val="00212788"/>
    <w:rsid w:val="00215FC1"/>
    <w:rsid w:val="00216728"/>
    <w:rsid w:val="002232E0"/>
    <w:rsid w:val="00223E42"/>
    <w:rsid w:val="0023671B"/>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2720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62FD"/>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4639"/>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5734D"/>
    <w:rsid w:val="005601D7"/>
    <w:rsid w:val="0056210B"/>
    <w:rsid w:val="00572C46"/>
    <w:rsid w:val="005755F7"/>
    <w:rsid w:val="00576428"/>
    <w:rsid w:val="00590F3F"/>
    <w:rsid w:val="005939AD"/>
    <w:rsid w:val="00594467"/>
    <w:rsid w:val="0059516F"/>
    <w:rsid w:val="005A1C0C"/>
    <w:rsid w:val="005B439F"/>
    <w:rsid w:val="005B6237"/>
    <w:rsid w:val="005B7ED5"/>
    <w:rsid w:val="005C2C3A"/>
    <w:rsid w:val="005C34CD"/>
    <w:rsid w:val="005D272E"/>
    <w:rsid w:val="005D3E02"/>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7693F"/>
    <w:rsid w:val="00680403"/>
    <w:rsid w:val="0068441A"/>
    <w:rsid w:val="00685CAE"/>
    <w:rsid w:val="00687238"/>
    <w:rsid w:val="0069117B"/>
    <w:rsid w:val="006951C7"/>
    <w:rsid w:val="006A419C"/>
    <w:rsid w:val="006B3B14"/>
    <w:rsid w:val="006B4193"/>
    <w:rsid w:val="006C1B6D"/>
    <w:rsid w:val="006C33F0"/>
    <w:rsid w:val="006C575E"/>
    <w:rsid w:val="006D24FE"/>
    <w:rsid w:val="006D7995"/>
    <w:rsid w:val="006E1073"/>
    <w:rsid w:val="006E5294"/>
    <w:rsid w:val="006E69A9"/>
    <w:rsid w:val="006E7D75"/>
    <w:rsid w:val="006F1882"/>
    <w:rsid w:val="006F42BD"/>
    <w:rsid w:val="006F6735"/>
    <w:rsid w:val="00702EE1"/>
    <w:rsid w:val="00703498"/>
    <w:rsid w:val="00714EA5"/>
    <w:rsid w:val="00723ED1"/>
    <w:rsid w:val="0072488A"/>
    <w:rsid w:val="00727688"/>
    <w:rsid w:val="00730668"/>
    <w:rsid w:val="0073735A"/>
    <w:rsid w:val="007373E3"/>
    <w:rsid w:val="00737B3F"/>
    <w:rsid w:val="00742F47"/>
    <w:rsid w:val="00743379"/>
    <w:rsid w:val="00743F24"/>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27A"/>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22E1"/>
    <w:rsid w:val="00A26A2D"/>
    <w:rsid w:val="00A272CE"/>
    <w:rsid w:val="00A30773"/>
    <w:rsid w:val="00A409A7"/>
    <w:rsid w:val="00A5050D"/>
    <w:rsid w:val="00A57099"/>
    <w:rsid w:val="00A634C2"/>
    <w:rsid w:val="00A6700A"/>
    <w:rsid w:val="00A71479"/>
    <w:rsid w:val="00A9002A"/>
    <w:rsid w:val="00AA0FE4"/>
    <w:rsid w:val="00AA16B6"/>
    <w:rsid w:val="00AA265E"/>
    <w:rsid w:val="00AC0D4D"/>
    <w:rsid w:val="00AC6B92"/>
    <w:rsid w:val="00AD310A"/>
    <w:rsid w:val="00AD37D7"/>
    <w:rsid w:val="00AD43D5"/>
    <w:rsid w:val="00AD5C9F"/>
    <w:rsid w:val="00AE0428"/>
    <w:rsid w:val="00B010CD"/>
    <w:rsid w:val="00B0198A"/>
    <w:rsid w:val="00B0319F"/>
    <w:rsid w:val="00B17370"/>
    <w:rsid w:val="00B2055A"/>
    <w:rsid w:val="00B24B86"/>
    <w:rsid w:val="00B30A6C"/>
    <w:rsid w:val="00B40771"/>
    <w:rsid w:val="00B40C7E"/>
    <w:rsid w:val="00B66E6E"/>
    <w:rsid w:val="00B75416"/>
    <w:rsid w:val="00B80C52"/>
    <w:rsid w:val="00B8792E"/>
    <w:rsid w:val="00B91885"/>
    <w:rsid w:val="00B95A20"/>
    <w:rsid w:val="00BB1EC0"/>
    <w:rsid w:val="00BB6CC2"/>
    <w:rsid w:val="00BC01E9"/>
    <w:rsid w:val="00BD3AFF"/>
    <w:rsid w:val="00BD7145"/>
    <w:rsid w:val="00BE7117"/>
    <w:rsid w:val="00BF1DA5"/>
    <w:rsid w:val="00C06F9E"/>
    <w:rsid w:val="00C1514A"/>
    <w:rsid w:val="00C23622"/>
    <w:rsid w:val="00C36189"/>
    <w:rsid w:val="00C414AD"/>
    <w:rsid w:val="00C430C9"/>
    <w:rsid w:val="00C45EEC"/>
    <w:rsid w:val="00C51319"/>
    <w:rsid w:val="00C60FFC"/>
    <w:rsid w:val="00C638EC"/>
    <w:rsid w:val="00C67486"/>
    <w:rsid w:val="00C7070E"/>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17C86"/>
    <w:rsid w:val="00D21019"/>
    <w:rsid w:val="00D35049"/>
    <w:rsid w:val="00D409E1"/>
    <w:rsid w:val="00D54C29"/>
    <w:rsid w:val="00D60BC1"/>
    <w:rsid w:val="00D87CA6"/>
    <w:rsid w:val="00D90CE2"/>
    <w:rsid w:val="00D95770"/>
    <w:rsid w:val="00DA3386"/>
    <w:rsid w:val="00DB748A"/>
    <w:rsid w:val="00DD116A"/>
    <w:rsid w:val="00DD1648"/>
    <w:rsid w:val="00DD7936"/>
    <w:rsid w:val="00E10EF9"/>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42CF"/>
    <w:rsid w:val="00EF56E4"/>
    <w:rsid w:val="00EF684F"/>
    <w:rsid w:val="00EF69A2"/>
    <w:rsid w:val="00F01880"/>
    <w:rsid w:val="00F06A23"/>
    <w:rsid w:val="00F13EFD"/>
    <w:rsid w:val="00F165A3"/>
    <w:rsid w:val="00F21E3B"/>
    <w:rsid w:val="00F3359B"/>
    <w:rsid w:val="00F43428"/>
    <w:rsid w:val="00F44074"/>
    <w:rsid w:val="00F4626B"/>
    <w:rsid w:val="00F51389"/>
    <w:rsid w:val="00F51E01"/>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0E28"/>
    <w:rsid w:val="00FC4909"/>
    <w:rsid w:val="00FC4962"/>
    <w:rsid w:val="00FD12DE"/>
    <w:rsid w:val="00FD62FF"/>
    <w:rsid w:val="00FE2F78"/>
    <w:rsid w:val="00FE61C6"/>
    <w:rsid w:val="00FF4EA4"/>
    <w:rsid w:val="013D4D85"/>
    <w:rsid w:val="03301845"/>
    <w:rsid w:val="062062C8"/>
    <w:rsid w:val="0938719A"/>
    <w:rsid w:val="0B7C7CF7"/>
    <w:rsid w:val="0EEE414A"/>
    <w:rsid w:val="142063C0"/>
    <w:rsid w:val="150E2ADE"/>
    <w:rsid w:val="18A77C8D"/>
    <w:rsid w:val="22E1086F"/>
    <w:rsid w:val="23454469"/>
    <w:rsid w:val="266A6CD9"/>
    <w:rsid w:val="298A78DD"/>
    <w:rsid w:val="29AC42A7"/>
    <w:rsid w:val="335D147F"/>
    <w:rsid w:val="353071A6"/>
    <w:rsid w:val="395333EF"/>
    <w:rsid w:val="3A4770C4"/>
    <w:rsid w:val="3CB67A1C"/>
    <w:rsid w:val="4568123C"/>
    <w:rsid w:val="4AA94FDB"/>
    <w:rsid w:val="4B80017D"/>
    <w:rsid w:val="4D2C16DC"/>
    <w:rsid w:val="4D3815C9"/>
    <w:rsid w:val="50CB4221"/>
    <w:rsid w:val="54C85695"/>
    <w:rsid w:val="55F11889"/>
    <w:rsid w:val="5D69733E"/>
    <w:rsid w:val="638909D1"/>
    <w:rsid w:val="64CA39E0"/>
    <w:rsid w:val="6D180B3A"/>
    <w:rsid w:val="718479FA"/>
    <w:rsid w:val="7A3271FC"/>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as"/>
    <w:basedOn w:val="1"/>
    <w:qFormat/>
    <w:uiPriority w:val="0"/>
    <w:pPr>
      <w:tabs>
        <w:tab w:val="left" w:pos="525"/>
      </w:tabs>
      <w:ind w:left="525" w:firstLine="315"/>
    </w:pPr>
    <w:rPr>
      <w:rFonts w:ascii="宋体" w:hAnsi="Calibri" w:eastAsia="宋体" w:cs="宋体"/>
      <w:sz w:val="28"/>
      <w:szCs w:val="28"/>
    </w:rPr>
  </w:style>
  <w:style w:type="paragraph" w:customStyle="1" w:styleId="52">
    <w:name w:val="sa"/>
    <w:basedOn w:val="51"/>
    <w:qFormat/>
    <w:uiPriority w:val="0"/>
    <w:pPr>
      <w:ind w:left="0" w:firstLine="470" w:firstLineChars="196"/>
    </w:pPr>
    <w:rPr>
      <w:rFonts w:ascii="仿宋_GB2312" w:hAnsi="宋体" w:eastAsia="仿宋_GB2312"/>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6435</Words>
  <Characters>36685</Characters>
  <Lines>305</Lines>
  <Paragraphs>86</Paragraphs>
  <ScaleCrop>false</ScaleCrop>
  <LinksUpToDate>false</LinksUpToDate>
  <CharactersWithSpaces>43034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ASUS</cp:lastModifiedBy>
  <cp:lastPrinted>2018-03-16T06:29:00Z</cp:lastPrinted>
  <dcterms:modified xsi:type="dcterms:W3CDTF">2018-04-04T01:51:48Z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